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ERDA, UTAH</w:t>
      </w:r>
      <w:r w:rsidDel="00000000" w:rsidR="00000000" w:rsidRPr="00000000">
        <w:rPr>
          <w:rtl w:val="0"/>
        </w:rPr>
      </w:r>
    </w:p>
    <w:p w:rsidR="00000000" w:rsidDel="00000000" w:rsidP="00000000" w:rsidRDefault="00000000" w:rsidRPr="00000000" w14:paraId="00000002">
      <w:pPr>
        <w:ind w:left="0" w:hanging="2"/>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ORDINANCE NO. 23-06___</w:t>
      </w:r>
      <w:r w:rsidDel="00000000" w:rsidR="00000000" w:rsidRPr="00000000">
        <w:rPr>
          <w:rtl w:val="0"/>
        </w:rPr>
      </w:r>
    </w:p>
    <w:p w:rsidR="00000000" w:rsidDel="00000000" w:rsidP="00000000" w:rsidRDefault="00000000" w:rsidRPr="00000000" w14:paraId="00000003">
      <w:pPr>
        <w:ind w:left="0" w:hanging="2"/>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0" w:hang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AN ORDINANCE OF THE ERDA COUNCIL REGULATING, PREVENTING, AND BANNING THE DISCHARGE OF FIREWORKS WITHIN CERTAIN AREAS OF THE CITY</w:t>
      </w:r>
      <w:r w:rsidDel="00000000" w:rsidR="00000000" w:rsidRPr="00000000">
        <w:rPr>
          <w:rtl w:val="0"/>
        </w:rPr>
      </w:r>
    </w:p>
    <w:p w:rsidR="00000000" w:rsidDel="00000000" w:rsidP="00000000" w:rsidRDefault="00000000" w:rsidRPr="00000000" w14:paraId="00000006">
      <w:pPr>
        <w:ind w:left="0" w:hanging="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 </w:t>
      </w:r>
      <w:r w:rsidDel="00000000" w:rsidR="00000000" w:rsidRPr="00000000">
        <w:rPr>
          <w:rFonts w:ascii="Times New Roman" w:cs="Times New Roman" w:eastAsia="Times New Roman" w:hAnsi="Times New Roman"/>
          <w:rtl w:val="0"/>
        </w:rPr>
        <w:t xml:space="preserve">the Erda City Council (the </w:t>
      </w:r>
      <w:r w:rsidDel="00000000" w:rsidR="00000000" w:rsidRPr="00000000">
        <w:rPr>
          <w:rFonts w:ascii="Times New Roman" w:cs="Times New Roman" w:eastAsia="Times New Roman" w:hAnsi="Times New Roman"/>
          <w:i w:val="1"/>
          <w:rtl w:val="0"/>
        </w:rPr>
        <w:t xml:space="preserve">“Council”</w:t>
      </w:r>
      <w:r w:rsidDel="00000000" w:rsidR="00000000" w:rsidRPr="00000000">
        <w:rPr>
          <w:rFonts w:ascii="Times New Roman" w:cs="Times New Roman" w:eastAsia="Times New Roman" w:hAnsi="Times New Roman"/>
          <w:rtl w:val="0"/>
        </w:rPr>
        <w:t xml:space="preserve">) met in regular session on Thursday June 22, 2023, to consider among other things, regulating, preventing, and banning the discharge of fireworks   within certain areas of the city; and</w:t>
      </w:r>
    </w:p>
    <w:p w:rsidR="00000000" w:rsidDel="00000000" w:rsidP="00000000" w:rsidRDefault="00000000" w:rsidRPr="00000000" w14:paraId="00000008">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ind w:left="0" w:hanging="2"/>
        <w:jc w:val="both"/>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WHEREAS,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fire code official has advised the Council and has determined that existing or historical hazardous environmental conditions under Utah Code Ann. § 15A-5-202.5(1)(b) necessitates controlled use of any ignition source including fireworks as defined in Utah Code Ann. § 53-7-202, lighters, matches, sky lanterns, and smoking materials in bush-covered or dry grass-covered areas, within 200 feet of waterways, trails, canyons, washes, ravines, or similar area, or a limited area outside the hazardous areas described above to  facilitate a readily identifiable closed area in accordance with Utah Code Ann. § 15A-5-202.5(2); and</w:t>
      </w:r>
    </w:p>
    <w:p w:rsidR="00000000" w:rsidDel="00000000" w:rsidP="00000000" w:rsidRDefault="00000000" w:rsidRPr="00000000" w14:paraId="0000000B">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0" w:hanging="2"/>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b w:val="1"/>
          <w:rtl w:val="0"/>
        </w:rPr>
        <w:t xml:space="preserve">WHEREAS, </w:t>
      </w:r>
      <w:r w:rsidDel="00000000" w:rsidR="00000000" w:rsidRPr="00000000">
        <w:rPr>
          <w:rFonts w:ascii="Times New Roman" w:cs="Times New Roman" w:eastAsia="Times New Roman" w:hAnsi="Times New Roman"/>
          <w:rtl w:val="0"/>
        </w:rPr>
        <w:t xml:space="preserve">the fire code official has produced a map (“Map”) a copy of which is attached hereto, that identifies the existing or historical hazardous environmental conditions under Utah Code Ann. § 15A-5-202.5(1)(b) that necessitate controlled use of any ignition source including fireworks, lighters, matches, sky lanterns, and smoking materials in bush-covered or dry grass-covered areas, within 200 feet of waterways, trails, canyons, washes, ravines, or similar area, or a limited area outside the hazardous areas described above to  facilitate a readily identifiable closed area</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in accordance with Utah Code Ann. § 15A-5-202.5(2); and</w:t>
      </w:r>
    </w:p>
    <w:p w:rsidR="00000000" w:rsidDel="00000000" w:rsidP="00000000" w:rsidRDefault="00000000" w:rsidRPr="00000000" w14:paraId="0000000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the Council finds that based on the Map that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areas designate for closure are closed areas along readily identifiable features like major roadways, waterways, or geographic features</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in accordance with Utah Code Ann. § 15A-5-202.5(2); and </w:t>
      </w:r>
    </w:p>
    <w:p w:rsidR="00000000" w:rsidDel="00000000" w:rsidP="00000000" w:rsidRDefault="00000000" w:rsidRPr="00000000" w14:paraId="0000000F">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the Council finds that based on the Map the boundary of the designated closed areas are as close as is practical to the defined hazardous area, provided that the closed area may include areas outside of the hazardous area to facilitate a readily identifiable line; and </w:t>
      </w:r>
    </w:p>
    <w:p w:rsidR="00000000" w:rsidDel="00000000" w:rsidP="00000000" w:rsidRDefault="00000000" w:rsidRPr="00000000" w14:paraId="00000011">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 </w:t>
      </w:r>
      <w:r w:rsidDel="00000000" w:rsidR="00000000" w:rsidRPr="00000000">
        <w:rPr>
          <w:rFonts w:ascii="Times New Roman" w:cs="Times New Roman" w:eastAsia="Times New Roman" w:hAnsi="Times New Roman"/>
          <w:rtl w:val="0"/>
        </w:rPr>
        <w:t xml:space="preserve">the Council finds that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the Map is readily available to the public because the Map will supplement the historical hazardous environmental conditions county-wide map as contemplated in Utah Code Ann. § 53-7-225(6); and </w:t>
      </w:r>
    </w:p>
    <w:p w:rsidR="00000000" w:rsidDel="00000000" w:rsidP="00000000" w:rsidRDefault="00000000" w:rsidRPr="00000000" w14:paraId="00000013">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after careful consideration, the Council has determined that it is in the best interest of the health, safety, and welfare of the inhabitants of Erda to ban the use of fireworks within certain areas of the city. </w:t>
      </w:r>
    </w:p>
    <w:p w:rsidR="00000000" w:rsidDel="00000000" w:rsidP="00000000" w:rsidRDefault="00000000" w:rsidRPr="00000000" w14:paraId="00000015">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NOW, THEREFORE, BE IT ORDAINED</w:t>
      </w:r>
      <w:r w:rsidDel="00000000" w:rsidR="00000000" w:rsidRPr="00000000">
        <w:rPr>
          <w:rFonts w:ascii="Times New Roman" w:cs="Times New Roman" w:eastAsia="Times New Roman" w:hAnsi="Times New Roman"/>
          <w:rtl w:val="0"/>
        </w:rPr>
        <w:t xml:space="preserve"> except for display operators properly licensed as required by Utah law it is unlawful for any person to discharge a class C common state approved explosive in the areas identified as Firework Restricted on the Map.   </w:t>
      </w:r>
    </w:p>
    <w:p w:rsidR="00000000" w:rsidDel="00000000" w:rsidP="00000000" w:rsidRDefault="00000000" w:rsidRPr="00000000" w14:paraId="00000017">
      <w:pPr>
        <w:ind w:left="0"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 IT FURTHER ORDAINED</w:t>
      </w:r>
      <w:r w:rsidDel="00000000" w:rsidR="00000000" w:rsidRPr="00000000">
        <w:rPr>
          <w:rFonts w:ascii="Times New Roman" w:cs="Times New Roman" w:eastAsia="Times New Roman" w:hAnsi="Times New Roman"/>
          <w:rtl w:val="0"/>
        </w:rPr>
        <w:t xml:space="preserve"> that the definition of “a class C common state approved explosive” shall be as defined in Utah Code Ann. § 53-7-202(5).  All other terms shall have the same meaning as set forth in the Utah Fireworks Act, Utah Code Ann § 53-7-220 et seq.  </w:t>
      </w:r>
    </w:p>
    <w:p w:rsidR="00000000" w:rsidDel="00000000" w:rsidP="00000000" w:rsidRDefault="00000000" w:rsidRPr="00000000" w14:paraId="00000019">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 IT FURTHER ORDAINED</w:t>
      </w:r>
      <w:r w:rsidDel="00000000" w:rsidR="00000000" w:rsidRPr="00000000">
        <w:rPr>
          <w:rFonts w:ascii="Times New Roman" w:cs="Times New Roman" w:eastAsia="Times New Roman" w:hAnsi="Times New Roman"/>
          <w:rtl w:val="0"/>
        </w:rPr>
        <w:t xml:space="preserve"> that any person convicted of violating the provisions of this ordinance shall be guilty of a “Class B Misdemeanor”. </w:t>
      </w:r>
    </w:p>
    <w:p w:rsidR="00000000" w:rsidDel="00000000" w:rsidP="00000000" w:rsidRDefault="00000000" w:rsidRPr="00000000" w14:paraId="0000001B">
      <w:pPr>
        <w:ind w:left="0"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PASSED AND APPROVED</w:t>
      </w:r>
      <w:r w:rsidDel="00000000" w:rsidR="00000000" w:rsidRPr="00000000">
        <w:rPr>
          <w:rFonts w:ascii="Times New Roman" w:cs="Times New Roman" w:eastAsia="Times New Roman" w:hAnsi="Times New Roman"/>
          <w:rtl w:val="0"/>
        </w:rPr>
        <w:t xml:space="preserve"> this 22nd day of June 2023.</w:t>
      </w:r>
    </w:p>
    <w:p w:rsidR="00000000" w:rsidDel="00000000" w:rsidP="00000000" w:rsidRDefault="00000000" w:rsidRPr="00000000" w14:paraId="0000001D">
      <w:pPr>
        <w:ind w:lef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b w:val="1"/>
          <w:color w:val="000000"/>
          <w:rtl w:val="0"/>
        </w:rPr>
        <w:t xml:space="preserve">ERDA</w:t>
      </w:r>
      <w:r w:rsidDel="00000000" w:rsidR="00000000" w:rsidRPr="00000000">
        <w:rPr>
          <w:rtl w:val="0"/>
        </w:rPr>
      </w:r>
    </w:p>
    <w:p w:rsidR="00000000" w:rsidDel="00000000" w:rsidP="00000000" w:rsidRDefault="00000000" w:rsidRPr="00000000" w14:paraId="0000001F">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000000"/>
          <w:rtl w:val="0"/>
        </w:rPr>
        <w:t xml:space="preserve">By:_________________________________</w:t>
      </w:r>
    </w:p>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tabs>
          <w:tab w:val="left" w:leader="none" w:pos="5040"/>
          <w:tab w:val="right" w:leader="none" w:pos="9360"/>
        </w:tabs>
        <w:spacing w:line="240" w:lineRule="auto"/>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tab/>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Jess Bird, Chair</w:t>
      </w:r>
    </w:p>
    <w:p w:rsidR="00000000" w:rsidDel="00000000" w:rsidP="00000000" w:rsidRDefault="00000000" w:rsidRPr="00000000" w14:paraId="00000022">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ATTEST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4">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ind w:left="0"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w:t>
      </w:r>
    </w:p>
    <w:p w:rsidR="00000000" w:rsidDel="00000000" w:rsidP="00000000" w:rsidRDefault="00000000" w:rsidRPr="00000000" w14:paraId="00000027">
      <w:pPr>
        <w:ind w:left="0" w:hanging="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Jennifer Poole, City Recorder</w:t>
      </w:r>
    </w:p>
    <w:p w:rsidR="00000000" w:rsidDel="00000000" w:rsidP="00000000" w:rsidRDefault="00000000" w:rsidRPr="00000000" w14:paraId="00000028">
      <w:pPr>
        <w:ind w:left="0" w:hanging="2"/>
        <w:rPr>
          <w:color w:val="000000"/>
        </w:rPr>
      </w:pPr>
      <w:r w:rsidDel="00000000" w:rsidR="00000000" w:rsidRPr="00000000">
        <w:rPr>
          <w:rtl w:val="0"/>
        </w:rPr>
      </w:r>
    </w:p>
    <w:sectPr>
      <w:footerReference r:id="rId7" w:type="default"/>
      <w:pgSz w:h="15840" w:w="12240" w:orient="portrait"/>
      <w:pgMar w:bottom="1008" w:top="1440" w:left="1354" w:right="1440" w:header="360"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ookman Old Style" w:cs="Bookman Old Style" w:eastAsia="Bookman Old Style" w:hAnsi="Bookman Old Style"/>
        <w:sz w:val="24"/>
        <w:szCs w:val="24"/>
        <w:lang w:val="en-US"/>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autoSpaceDE w:val="0"/>
      <w:autoSpaceDN w:val="0"/>
      <w:adjustRightInd w:val="0"/>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FootnoteReference">
    <w:name w:val="footnote reference"/>
    <w:rPr>
      <w:w w:val="100"/>
      <w:position w:val="-1"/>
      <w:effect w:val="none"/>
      <w:vertAlign w:val="baseline"/>
      <w:cs w:val="0"/>
      <w:em w:val="none"/>
    </w:rPr>
  </w:style>
  <w:style w:type="paragraph" w:styleId="Header">
    <w:name w:val="header"/>
    <w:basedOn w:val="Normal"/>
    <w:pPr>
      <w:tabs>
        <w:tab w:val="center" w:pos="4680"/>
        <w:tab w:val="right" w:pos="9360"/>
      </w:tabs>
    </w:pPr>
  </w:style>
  <w:style w:type="character" w:styleId="HeaderChar" w:customStyle="1">
    <w:name w:val="Header Char"/>
    <w:rPr>
      <w:rFonts w:ascii="Bookman Old Style" w:hAnsi="Bookman Old Style"/>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styleId="FooterChar" w:customStyle="1">
    <w:name w:val="Footer Char"/>
    <w:rPr>
      <w:rFonts w:ascii="Bookman Old Style" w:hAnsi="Bookman Old Style"/>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Style3" w:customStyle="1">
    <w:name w:val="Style 3"/>
    <w:basedOn w:val="Normal"/>
    <w:pPr>
      <w:keepNext w:val="1"/>
      <w:keepLines w:val="1"/>
      <w:widowControl w:val="1"/>
      <w:tabs>
        <w:tab w:val="left" w:pos="5040"/>
        <w:tab w:val="right" w:pos="9360"/>
      </w:tabs>
      <w:autoSpaceDE w:val="1"/>
      <w:autoSpaceDN w:val="1"/>
      <w:adjustRightInd w:val="1"/>
      <w:ind w:left="4320"/>
    </w:pPr>
    <w:rPr>
      <w:rFonts w:ascii="Times New Roman" w:hAnsi="Times New Roma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2HNXR7p0odVHjpPD7kYsTs5dA==">CgMxLjAyCGguZ2pkZ3hzMgloLjMwajB6bGw4AHIhMWJlTERCT0gzMV91X2RSYmppbmFxa3NUZ0l4STVzXzFU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2022-06-28T15:30:00Z</dcterms:created>
  <dc:creator>Jackie Nostrom</dc:creator>
</cp:coreProperties>
</file>