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46ACD" w14:textId="77777777" w:rsidR="0061554D" w:rsidRPr="006D5C24" w:rsidRDefault="00EF4D6A" w:rsidP="006D5C24">
      <w:pPr>
        <w:spacing w:after="0"/>
        <w:rPr>
          <w:rFonts w:ascii="Times New Roman" w:hAnsi="Times New Roman" w:cs="Times New Roman"/>
          <w:b/>
          <w:color w:val="2F5496" w:themeColor="accent5" w:themeShade="BF"/>
          <w:sz w:val="28"/>
        </w:rPr>
      </w:pPr>
      <w:r w:rsidRPr="006C2FB5">
        <w:rPr>
          <w:rFonts w:ascii="Times New Roman" w:hAnsi="Times New Roman" w:cs="Times New Roman"/>
          <w:noProof/>
          <w:sz w:val="24"/>
        </w:rPr>
        <w:drawing>
          <wp:anchor distT="0" distB="0" distL="114300" distR="114300" simplePos="0" relativeHeight="251659264" behindDoc="0" locked="0" layoutInCell="1" allowOverlap="1" wp14:anchorId="2068581E" wp14:editId="5E093949">
            <wp:simplePos x="0" y="0"/>
            <wp:positionH relativeFrom="column">
              <wp:posOffset>4788535</wp:posOffset>
            </wp:positionH>
            <wp:positionV relativeFrom="paragraph">
              <wp:posOffset>-80645</wp:posOffset>
            </wp:positionV>
            <wp:extent cx="1134745" cy="356235"/>
            <wp:effectExtent l="0" t="0" r="8255"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Logo Files\Logo BW\Payson Final Logo BW.jp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134745" cy="3562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C82">
        <w:rPr>
          <w:rFonts w:ascii="Times New Roman" w:hAnsi="Times New Roman" w:cs="Times New Roman"/>
          <w:noProof/>
          <w:sz w:val="24"/>
        </w:rPr>
        <mc:AlternateContent>
          <mc:Choice Requires="wps">
            <w:drawing>
              <wp:anchor distT="0" distB="0" distL="114300" distR="114300" simplePos="0" relativeHeight="251662336" behindDoc="0" locked="0" layoutInCell="1" allowOverlap="1" wp14:anchorId="22E77CD0" wp14:editId="25AC027E">
                <wp:simplePos x="0" y="0"/>
                <wp:positionH relativeFrom="column">
                  <wp:posOffset>-284981</wp:posOffset>
                </wp:positionH>
                <wp:positionV relativeFrom="paragraph">
                  <wp:posOffset>-159385</wp:posOffset>
                </wp:positionV>
                <wp:extent cx="117446" cy="1216404"/>
                <wp:effectExtent l="0" t="0" r="0" b="3175"/>
                <wp:wrapNone/>
                <wp:docPr id="5" name="Text Box 5"/>
                <wp:cNvGraphicFramePr/>
                <a:graphic xmlns:a="http://schemas.openxmlformats.org/drawingml/2006/main">
                  <a:graphicData uri="http://schemas.microsoft.com/office/word/2010/wordprocessingShape">
                    <wps:wsp>
                      <wps:cNvSpPr txBox="1"/>
                      <wps:spPr>
                        <a:xfrm>
                          <a:off x="0" y="0"/>
                          <a:ext cx="117446" cy="1216404"/>
                        </a:xfrm>
                        <a:prstGeom prst="rect">
                          <a:avLst/>
                        </a:prstGeom>
                        <a:solidFill>
                          <a:schemeClr val="bg1">
                            <a:lumMod val="65000"/>
                          </a:schemeClr>
                        </a:solidFill>
                        <a:ln w="6350">
                          <a:noFill/>
                        </a:ln>
                      </wps:spPr>
                      <wps:txbx>
                        <w:txbxContent>
                          <w:p w14:paraId="6070C925" w14:textId="77777777" w:rsidR="00E61C82" w:rsidRDefault="00E61C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2E77CD0" id="_x0000_t202" coordsize="21600,21600" o:spt="202" path="m,l,21600r21600,l21600,xe">
                <v:stroke joinstyle="miter"/>
                <v:path gradientshapeok="t" o:connecttype="rect"/>
              </v:shapetype>
              <v:shape id="Text Box 5" o:spid="_x0000_s1026" type="#_x0000_t202" style="position:absolute;margin-left:-22.45pt;margin-top:-12.55pt;width:9.25pt;height:95.8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" fillcolor="#a5a5a5 [2092]" stroked="f" strokeweight=".5pt">
                <v:textbox>
                  <w:txbxContent>
                    <w:p w14:paraId="6070C925" w14:textId="77777777" w:rsidR="00E61C82" w:rsidRDefault="00E61C82"/>
                  </w:txbxContent>
                </v:textbox>
              </v:shape>
            </w:pict>
          </mc:Fallback>
        </mc:AlternateContent>
      </w:r>
      <w:r w:rsidR="003D0657">
        <w:rPr>
          <w:rFonts w:ascii="Times New Roman" w:hAnsi="Times New Roman" w:cs="Times New Roman"/>
          <w:b/>
          <w:color w:val="2F5496" w:themeColor="accent5" w:themeShade="BF"/>
          <w:sz w:val="28"/>
        </w:rPr>
        <w:t xml:space="preserve">Planning Commission </w:t>
      </w:r>
      <w:r w:rsidR="005052B1">
        <w:rPr>
          <w:rFonts w:ascii="Times New Roman" w:hAnsi="Times New Roman" w:cs="Times New Roman"/>
          <w:b/>
          <w:color w:val="2F5496" w:themeColor="accent5" w:themeShade="BF"/>
          <w:sz w:val="28"/>
        </w:rPr>
        <w:t>Staff Report</w:t>
      </w:r>
    </w:p>
    <w:p w14:paraId="36F1F943" w14:textId="77777777" w:rsidR="006D5C24" w:rsidRPr="006D5C24" w:rsidRDefault="00D435A3" w:rsidP="006D5C24">
      <w:pPr>
        <w:spacing w:after="0"/>
        <w:rPr>
          <w:rFonts w:ascii="Times New Roman" w:hAnsi="Times New Roman" w:cs="Times New Roman"/>
        </w:rPr>
      </w:pPr>
      <w:r>
        <w:rPr>
          <w:rFonts w:ascii="Times New Roman" w:hAnsi="Times New Roman" w:cs="Times New Roman"/>
          <w:b/>
          <w:color w:val="2F5496" w:themeColor="accent5" w:themeShade="BF"/>
          <w:sz w:val="28"/>
        </w:rPr>
        <w:t>May 2</w:t>
      </w:r>
      <w:r w:rsidR="004742C6">
        <w:rPr>
          <w:rFonts w:ascii="Times New Roman" w:hAnsi="Times New Roman" w:cs="Times New Roman"/>
          <w:b/>
          <w:color w:val="2F5496" w:themeColor="accent5" w:themeShade="BF"/>
          <w:sz w:val="28"/>
        </w:rPr>
        <w:t>4</w:t>
      </w:r>
      <w:r w:rsidR="00BD4B9D">
        <w:rPr>
          <w:rFonts w:ascii="Times New Roman" w:hAnsi="Times New Roman" w:cs="Times New Roman"/>
          <w:b/>
          <w:color w:val="2F5496" w:themeColor="accent5" w:themeShade="BF"/>
          <w:sz w:val="28"/>
        </w:rPr>
        <w:t>, 202</w:t>
      </w:r>
      <w:r w:rsidR="004742C6">
        <w:rPr>
          <w:rFonts w:ascii="Times New Roman" w:hAnsi="Times New Roman" w:cs="Times New Roman"/>
          <w:b/>
          <w:color w:val="2F5496" w:themeColor="accent5" w:themeShade="BF"/>
          <w:sz w:val="28"/>
        </w:rPr>
        <w:t>3</w:t>
      </w:r>
    </w:p>
    <w:p w14:paraId="7BF4616B" w14:textId="701D0D88" w:rsidR="005052B1" w:rsidRDefault="005052B1" w:rsidP="006D5C24">
      <w:pPr>
        <w:spacing w:after="0"/>
        <w:rPr>
          <w:rFonts w:ascii="Times New Roman" w:hAnsi="Times New Roman" w:cs="Times New Roman"/>
        </w:rPr>
      </w:pPr>
    </w:p>
    <w:p w14:paraId="694A3D28" w14:textId="6E72FB5E" w:rsidR="006D5C24" w:rsidRPr="006D5C24" w:rsidRDefault="00831047" w:rsidP="006D5C24">
      <w:pPr>
        <w:spacing w:after="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52E867D3" wp14:editId="359DDF52">
                <wp:simplePos x="0" y="0"/>
                <wp:positionH relativeFrom="column">
                  <wp:posOffset>1762125</wp:posOffset>
                </wp:positionH>
                <wp:positionV relativeFrom="paragraph">
                  <wp:posOffset>13970</wp:posOffset>
                </wp:positionV>
                <wp:extent cx="4552950" cy="7581900"/>
                <wp:effectExtent l="0" t="0" r="0" b="0"/>
                <wp:wrapNone/>
                <wp:docPr id="4" name="Text Box 4"/>
                <wp:cNvGraphicFramePr/>
                <a:graphic xmlns:a="http://schemas.openxmlformats.org/drawingml/2006/main">
                  <a:graphicData uri="http://schemas.microsoft.com/office/word/2010/wordprocessingShape">
                    <wps:wsp>
                      <wps:cNvSpPr txBox="1"/>
                      <wps:spPr>
                        <a:xfrm>
                          <a:off x="0" y="0"/>
                          <a:ext cx="4552950" cy="7581900"/>
                        </a:xfrm>
                        <a:prstGeom prst="rect">
                          <a:avLst/>
                        </a:prstGeom>
                        <a:solidFill>
                          <a:schemeClr val="lt1"/>
                        </a:solidFill>
                        <a:ln w="6350">
                          <a:noFill/>
                        </a:ln>
                      </wps:spPr>
                      <wps:txbx>
                        <w:txbxContent>
                          <w:p w14:paraId="20AE52B5" w14:textId="77777777" w:rsidR="00EA6C73" w:rsidRPr="00F43C3A" w:rsidRDefault="00EA6C73" w:rsidP="00EA6C73">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REQUEST</w:t>
                            </w:r>
                          </w:p>
                          <w:p w14:paraId="5AA7BA00" w14:textId="77777777" w:rsidR="003C758E" w:rsidRDefault="003C758E" w:rsidP="00EA6C73">
                            <w:pPr>
                              <w:spacing w:after="0"/>
                              <w:jc w:val="both"/>
                              <w:rPr>
                                <w:rFonts w:ascii="Times New Roman" w:hAnsi="Times New Roman" w:cs="Times New Roman"/>
                                <w:sz w:val="20"/>
                                <w:szCs w:val="24"/>
                              </w:rPr>
                            </w:pPr>
                          </w:p>
                          <w:p w14:paraId="6F978071" w14:textId="27F859A4" w:rsidR="00EA6C73" w:rsidRDefault="00BD4B9D" w:rsidP="00EA6C73">
                            <w:pPr>
                              <w:spacing w:after="0"/>
                              <w:jc w:val="both"/>
                              <w:rPr>
                                <w:rFonts w:ascii="Times New Roman" w:hAnsi="Times New Roman" w:cs="Times New Roman"/>
                                <w:sz w:val="20"/>
                                <w:szCs w:val="24"/>
                              </w:rPr>
                            </w:pPr>
                            <w:r>
                              <w:rPr>
                                <w:rFonts w:ascii="Times New Roman" w:hAnsi="Times New Roman" w:cs="Times New Roman"/>
                                <w:sz w:val="20"/>
                                <w:szCs w:val="24"/>
                              </w:rPr>
                              <w:t xml:space="preserve">The applicant, Tyler Horan is requesting </w:t>
                            </w:r>
                            <w:r w:rsidR="004742C6">
                              <w:rPr>
                                <w:rFonts w:ascii="Times New Roman" w:hAnsi="Times New Roman" w:cs="Times New Roman"/>
                                <w:sz w:val="20"/>
                                <w:szCs w:val="24"/>
                              </w:rPr>
                              <w:t>preliminary plan approval for the Hiatt Creek Plat B Subdivision. The subdivision consists of 11.82</w:t>
                            </w:r>
                            <w:r w:rsidR="00993F07">
                              <w:rPr>
                                <w:rFonts w:ascii="Times New Roman" w:hAnsi="Times New Roman" w:cs="Times New Roman"/>
                                <w:sz w:val="20"/>
                                <w:szCs w:val="24"/>
                              </w:rPr>
                              <w:t xml:space="preserve"> acres of land</w:t>
                            </w:r>
                            <w:r w:rsidR="004742C6">
                              <w:rPr>
                                <w:rFonts w:ascii="Times New Roman" w:hAnsi="Times New Roman" w:cs="Times New Roman"/>
                                <w:sz w:val="20"/>
                                <w:szCs w:val="24"/>
                              </w:rPr>
                              <w:t xml:space="preserve"> on Utah County</w:t>
                            </w:r>
                            <w:r w:rsidR="00993F07">
                              <w:rPr>
                                <w:rFonts w:ascii="Times New Roman" w:hAnsi="Times New Roman" w:cs="Times New Roman"/>
                                <w:sz w:val="20"/>
                                <w:szCs w:val="24"/>
                              </w:rPr>
                              <w:t xml:space="preserve"> P</w:t>
                            </w:r>
                            <w:r w:rsidR="00EF4D6A">
                              <w:rPr>
                                <w:rFonts w:ascii="Times New Roman" w:hAnsi="Times New Roman" w:cs="Times New Roman"/>
                                <w:sz w:val="20"/>
                                <w:szCs w:val="24"/>
                              </w:rPr>
                              <w:t>arcel</w:t>
                            </w:r>
                            <w:r w:rsidR="00FF71A1">
                              <w:rPr>
                                <w:rFonts w:ascii="Times New Roman" w:hAnsi="Times New Roman" w:cs="Times New Roman"/>
                                <w:sz w:val="20"/>
                                <w:szCs w:val="24"/>
                              </w:rPr>
                              <w:t xml:space="preserve"> </w:t>
                            </w:r>
                            <w:r>
                              <w:rPr>
                                <w:rFonts w:ascii="Times New Roman" w:hAnsi="Times New Roman" w:cs="Times New Roman"/>
                                <w:sz w:val="20"/>
                                <w:szCs w:val="24"/>
                              </w:rPr>
                              <w:t>29:023:004</w:t>
                            </w:r>
                            <w:r w:rsidR="004742C6">
                              <w:rPr>
                                <w:rFonts w:ascii="Times New Roman" w:hAnsi="Times New Roman" w:cs="Times New Roman"/>
                                <w:sz w:val="20"/>
                                <w:szCs w:val="24"/>
                              </w:rPr>
                              <w:t>8</w:t>
                            </w:r>
                            <w:r w:rsidR="00FF71A1">
                              <w:rPr>
                                <w:rFonts w:ascii="Times New Roman" w:hAnsi="Times New Roman" w:cs="Times New Roman"/>
                                <w:sz w:val="20"/>
                                <w:szCs w:val="24"/>
                              </w:rPr>
                              <w:t xml:space="preserve"> </w:t>
                            </w:r>
                            <w:r w:rsidR="004742C6">
                              <w:rPr>
                                <w:rFonts w:ascii="Times New Roman" w:hAnsi="Times New Roman" w:cs="Times New Roman"/>
                                <w:sz w:val="20"/>
                                <w:szCs w:val="24"/>
                              </w:rPr>
                              <w:t>within the RMF-10, Residential Multi-Family Zone. The subdivision consists of 100 single-family attached townhome style housing units.</w:t>
                            </w:r>
                          </w:p>
                          <w:p w14:paraId="22276537" w14:textId="77777777" w:rsidR="009B78F9" w:rsidRPr="00AD2CE4" w:rsidRDefault="009B78F9" w:rsidP="00EA6C73">
                            <w:pPr>
                              <w:spacing w:after="0"/>
                              <w:jc w:val="both"/>
                              <w:rPr>
                                <w:rFonts w:ascii="Times New Roman" w:hAnsi="Times New Roman" w:cs="Times New Roman"/>
                                <w:sz w:val="16"/>
                                <w:szCs w:val="24"/>
                              </w:rPr>
                            </w:pPr>
                          </w:p>
                          <w:p w14:paraId="5C62B3B0" w14:textId="77777777" w:rsidR="00EA6C73" w:rsidRPr="00F43C3A" w:rsidRDefault="00EA6C73" w:rsidP="00EA6C73">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BACKGROUND AND PROJECT DESCRIPTION</w:t>
                            </w:r>
                          </w:p>
                          <w:p w14:paraId="5194566E" w14:textId="6D97791B" w:rsidR="00F56AAE" w:rsidRDefault="00057490" w:rsidP="00F56AAE">
                            <w:pPr>
                              <w:spacing w:before="225"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The </w:t>
                            </w:r>
                            <w:r w:rsidR="002C3C12">
                              <w:rPr>
                                <w:rFonts w:ascii="Times New Roman" w:eastAsia="Times New Roman" w:hAnsi="Times New Roman" w:cs="Times New Roman"/>
                                <w:color w:val="000000"/>
                                <w:sz w:val="20"/>
                              </w:rPr>
                              <w:t>owner</w:t>
                            </w:r>
                            <w:r>
                              <w:rPr>
                                <w:rFonts w:ascii="Times New Roman" w:eastAsia="Times New Roman" w:hAnsi="Times New Roman" w:cs="Times New Roman"/>
                                <w:color w:val="000000"/>
                                <w:sz w:val="20"/>
                              </w:rPr>
                              <w:t xml:space="preserve"> </w:t>
                            </w:r>
                            <w:proofErr w:type="spellStart"/>
                            <w:r>
                              <w:rPr>
                                <w:rFonts w:ascii="Times New Roman" w:eastAsia="Times New Roman" w:hAnsi="Times New Roman" w:cs="Times New Roman"/>
                                <w:color w:val="000000"/>
                                <w:sz w:val="20"/>
                              </w:rPr>
                              <w:t>Hawkmoon</w:t>
                            </w:r>
                            <w:proofErr w:type="spellEnd"/>
                            <w:r>
                              <w:rPr>
                                <w:rFonts w:ascii="Times New Roman" w:eastAsia="Times New Roman" w:hAnsi="Times New Roman" w:cs="Times New Roman"/>
                                <w:color w:val="000000"/>
                                <w:sz w:val="20"/>
                              </w:rPr>
                              <w:t xml:space="preserve"> Holdings has submitted several renditions of a preliminary plan over the past two and a half years. The initial submittal included plat B and C and was a total of 149 attached and detached single family housing units on a total of 20.49 acres. The portion that is now plat B consisted of 90 townhome housing units on a total of 9.94 acres.</w:t>
                            </w:r>
                          </w:p>
                          <w:p w14:paraId="165805DA" w14:textId="77777777" w:rsidR="002C3C12" w:rsidRDefault="002C3C12" w:rsidP="002C3C12">
                            <w:pPr>
                              <w:spacing w:before="225"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This area is part of the South Meadows Area Specific Plan. This plan was created to apply the principles and goals of the General Plan on a more focused scale and to a more exact level. </w:t>
                            </w:r>
                          </w:p>
                          <w:p w14:paraId="417114FC" w14:textId="6A005FEA" w:rsidR="00680BCD" w:rsidRPr="00680BCD" w:rsidRDefault="00680BCD" w:rsidP="00680BCD">
                            <w:pPr>
                              <w:spacing w:line="235" w:lineRule="atLeast"/>
                              <w:rPr>
                                <w:rFonts w:ascii="Calibri" w:hAnsi="Calibri" w:cs="Calibri"/>
                              </w:rPr>
                            </w:pPr>
                            <w:r>
                              <w:rPr>
                                <w:rFonts w:ascii="Times New Roman" w:eastAsia="Times New Roman" w:hAnsi="Times New Roman" w:cs="Times New Roman"/>
                                <w:color w:val="000000"/>
                                <w:sz w:val="20"/>
                              </w:rPr>
                              <w:t xml:space="preserve">A zone change request for RMF-10 was requested and approved for Utah County Parcel 29:023:0048 on March 2, 2022. The applicant previously brought this request to the planning commission in July 2021. At that time, the request was remanded back to staff because the western half of the property showed a density level of 3 units/acre in the South Meadows Plan. Since then, the applicant has divided the property through an exemption in state code that allows them to bypass the normal subdivision process </w:t>
                            </w:r>
                            <w:r w:rsidRPr="008A77E8">
                              <w:rPr>
                                <w:rFonts w:ascii="Times New Roman" w:eastAsia="Times New Roman" w:hAnsi="Times New Roman" w:cs="Times New Roman"/>
                                <w:color w:val="000000"/>
                                <w:sz w:val="20"/>
                                <w:szCs w:val="20"/>
                              </w:rPr>
                              <w:t>(</w:t>
                            </w:r>
                            <w:r w:rsidRPr="008A77E8">
                              <w:rPr>
                                <w:rFonts w:ascii="Times New Roman" w:hAnsi="Times New Roman" w:cs="Times New Roman"/>
                                <w:sz w:val="20"/>
                                <w:szCs w:val="20"/>
                              </w:rPr>
                              <w:t>Utah Code 10-9a-103(65)(c)(v).</w:t>
                            </w:r>
                            <w:r>
                              <w:rPr>
                                <w:rFonts w:ascii="Times New Roman" w:hAnsi="Times New Roman" w:cs="Times New Roman"/>
                                <w:sz w:val="20"/>
                                <w:szCs w:val="20"/>
                              </w:rPr>
                              <w:t xml:space="preserve"> As such, the March 2, 2022 request was for the eastern </w:t>
                            </w:r>
                            <w:r w:rsidR="002C3C12">
                              <w:rPr>
                                <w:rFonts w:ascii="Times New Roman" w:hAnsi="Times New Roman" w:cs="Times New Roman"/>
                                <w:sz w:val="20"/>
                                <w:szCs w:val="20"/>
                              </w:rPr>
                              <w:t>parcel (</w:t>
                            </w:r>
                            <w:r>
                              <w:rPr>
                                <w:rFonts w:ascii="Times New Roman" w:hAnsi="Times New Roman" w:cs="Times New Roman"/>
                                <w:sz w:val="20"/>
                                <w:szCs w:val="20"/>
                              </w:rPr>
                              <w:t xml:space="preserve">28:023:0048) while the previous request in July of 2021 was for the eastern </w:t>
                            </w:r>
                            <w:r>
                              <w:rPr>
                                <w:rFonts w:ascii="Times New Roman" w:hAnsi="Times New Roman" w:cs="Times New Roman"/>
                                <w:i/>
                                <w:sz w:val="20"/>
                                <w:szCs w:val="20"/>
                              </w:rPr>
                              <w:t xml:space="preserve">half </w:t>
                            </w:r>
                            <w:r>
                              <w:rPr>
                                <w:rFonts w:ascii="Times New Roman" w:hAnsi="Times New Roman" w:cs="Times New Roman"/>
                                <w:sz w:val="20"/>
                                <w:szCs w:val="20"/>
                              </w:rPr>
                              <w:t>of the un-subdivided parcel.</w:t>
                            </w:r>
                          </w:p>
                          <w:p w14:paraId="4E79C2E9" w14:textId="6F2B3AEA" w:rsidR="00A656B3" w:rsidRPr="003C758E" w:rsidRDefault="00A656B3" w:rsidP="00F56AAE">
                            <w:pPr>
                              <w:spacing w:before="225"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In March of 2022 the applicant submitted a revised plat B that consisted of 100 townhome style housing units on a total of 13 acres. In September of 2022 the applicant revised plat B</w:t>
                            </w:r>
                            <w:r w:rsidR="002C3C12">
                              <w:rPr>
                                <w:rFonts w:ascii="Times New Roman" w:eastAsia="Times New Roman" w:hAnsi="Times New Roman" w:cs="Times New Roman"/>
                                <w:color w:val="000000"/>
                                <w:sz w:val="20"/>
                              </w:rPr>
                              <w:t>,</w:t>
                            </w:r>
                            <w:r>
                              <w:rPr>
                                <w:rFonts w:ascii="Times New Roman" w:eastAsia="Times New Roman" w:hAnsi="Times New Roman" w:cs="Times New Roman"/>
                                <w:color w:val="000000"/>
                                <w:sz w:val="20"/>
                              </w:rPr>
                              <w:t xml:space="preserve"> this time it included 100 townhome style housing units on a total of 11.82 acres. This number of lots, configuration and total acreage is what presently exists in the </w:t>
                            </w:r>
                            <w:r w:rsidR="002C3C12">
                              <w:rPr>
                                <w:rFonts w:ascii="Times New Roman" w:eastAsia="Times New Roman" w:hAnsi="Times New Roman" w:cs="Times New Roman"/>
                                <w:color w:val="000000"/>
                                <w:sz w:val="20"/>
                              </w:rPr>
                              <w:t>applicant’s</w:t>
                            </w:r>
                            <w:r>
                              <w:rPr>
                                <w:rFonts w:ascii="Times New Roman" w:eastAsia="Times New Roman" w:hAnsi="Times New Roman" w:cs="Times New Roman"/>
                                <w:color w:val="000000"/>
                                <w:sz w:val="20"/>
                              </w:rPr>
                              <w:t xml:space="preserve"> request.</w:t>
                            </w:r>
                          </w:p>
                          <w:p w14:paraId="7BE0A2EF" w14:textId="6254B16E" w:rsidR="002C3C12" w:rsidRDefault="002C3C12" w:rsidP="003C758E">
                            <w:pPr>
                              <w:spacing w:after="0"/>
                              <w:jc w:val="both"/>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The applicant seeks to use a storm retention area as part of the required open space. This is permissible under </w:t>
                            </w:r>
                            <w:r w:rsidRPr="002C3C12">
                              <w:rPr>
                                <w:rFonts w:ascii="Times New Roman" w:eastAsia="Times New Roman" w:hAnsi="Times New Roman" w:cs="Times New Roman"/>
                                <w:b/>
                                <w:bCs/>
                                <w:color w:val="000000"/>
                                <w:sz w:val="20"/>
                              </w:rPr>
                              <w:t>13.14.070.13 Open Space</w:t>
                            </w:r>
                            <w:r>
                              <w:rPr>
                                <w:rFonts w:ascii="Times New Roman" w:eastAsia="Times New Roman" w:hAnsi="Times New Roman" w:cs="Times New Roman"/>
                                <w:color w:val="000000"/>
                                <w:sz w:val="20"/>
                              </w:rPr>
                              <w:t xml:space="preserve"> subsection of the RMF Multi-Family Residential Zone section of the Payson City Code (see below).</w:t>
                            </w:r>
                          </w:p>
                          <w:p w14:paraId="0E38B160" w14:textId="77777777" w:rsidR="002C3C12" w:rsidRPr="002C3C12" w:rsidRDefault="00E946A2" w:rsidP="00831047">
                            <w:pPr>
                              <w:shd w:val="clear" w:color="auto" w:fill="FFFFFF"/>
                              <w:spacing w:after="0" w:line="240" w:lineRule="auto"/>
                              <w:ind w:firstLine="720"/>
                              <w:jc w:val="both"/>
                              <w:rPr>
                                <w:rFonts w:ascii="Times New Roman" w:eastAsia="Times New Roman" w:hAnsi="Times New Roman" w:cs="Times New Roman"/>
                                <w:b/>
                                <w:bCs/>
                                <w:i/>
                                <w:iCs/>
                                <w:color w:val="515967"/>
                                <w:sz w:val="20"/>
                                <w:szCs w:val="20"/>
                              </w:rPr>
                            </w:pPr>
                            <w:hyperlink r:id="rId8" w:anchor="name=13.14.070.13_Open_Space" w:history="1">
                              <w:r w:rsidR="002C3C12" w:rsidRPr="002C3C12">
                                <w:rPr>
                                  <w:rFonts w:ascii="Times New Roman" w:eastAsia="Times New Roman" w:hAnsi="Times New Roman" w:cs="Times New Roman"/>
                                  <w:b/>
                                  <w:bCs/>
                                  <w:i/>
                                  <w:iCs/>
                                  <w:color w:val="000000"/>
                                  <w:sz w:val="20"/>
                                  <w:szCs w:val="20"/>
                                  <w:u w:val="single"/>
                                </w:rPr>
                                <w:t>13.14.070.13 Open Space</w:t>
                              </w:r>
                            </w:hyperlink>
                          </w:p>
                          <w:p w14:paraId="665310E1" w14:textId="1E6B01F7" w:rsidR="00831047" w:rsidRPr="002C3C12" w:rsidRDefault="00831047" w:rsidP="00831047">
                            <w:pPr>
                              <w:ind w:left="1440"/>
                              <w:rPr>
                                <w:rFonts w:ascii="Times New Roman" w:hAnsi="Times New Roman" w:cs="Times New Roman"/>
                                <w:b/>
                                <w:sz w:val="24"/>
                              </w:rPr>
                            </w:pPr>
                            <w:r w:rsidRPr="002C3C12">
                              <w:rPr>
                                <w:rFonts w:ascii="Times New Roman" w:eastAsia="Times New Roman" w:hAnsi="Times New Roman" w:cs="Times New Roman"/>
                                <w:i/>
                                <w:iCs/>
                                <w:color w:val="515967"/>
                                <w:sz w:val="20"/>
                                <w:szCs w:val="20"/>
                              </w:rPr>
                              <w:t>In general, the acreage set aside for storm water facilities should not be used toward the open space requirement.</w:t>
                            </w:r>
                            <w:r w:rsidRPr="00831047">
                              <w:rPr>
                                <w:rFonts w:ascii="Times New Roman" w:eastAsia="Times New Roman" w:hAnsi="Times New Roman" w:cs="Times New Roman"/>
                                <w:i/>
                                <w:iCs/>
                                <w:color w:val="515967"/>
                                <w:sz w:val="20"/>
                                <w:szCs w:val="20"/>
                              </w:rPr>
                              <w:t xml:space="preserve"> </w:t>
                            </w:r>
                            <w:r w:rsidRPr="002C3C12">
                              <w:rPr>
                                <w:rFonts w:ascii="Times New Roman" w:eastAsia="Times New Roman" w:hAnsi="Times New Roman" w:cs="Times New Roman"/>
                                <w:i/>
                                <w:iCs/>
                                <w:color w:val="515967"/>
                                <w:sz w:val="20"/>
                                <w:szCs w:val="20"/>
                              </w:rPr>
                              <w:t>However, depending on the location, size, design, access and usability of the storm water facility</w:t>
                            </w:r>
                            <w:r w:rsidRPr="00831047">
                              <w:rPr>
                                <w:rFonts w:ascii="Times New Roman" w:eastAsia="Times New Roman" w:hAnsi="Times New Roman" w:cs="Times New Roman"/>
                                <w:i/>
                                <w:iCs/>
                                <w:color w:val="515967"/>
                                <w:sz w:val="20"/>
                                <w:szCs w:val="20"/>
                              </w:rPr>
                              <w:t xml:space="preserve"> </w:t>
                            </w:r>
                            <w:r w:rsidRPr="002C3C12">
                              <w:rPr>
                                <w:rFonts w:ascii="Times New Roman" w:eastAsia="Times New Roman" w:hAnsi="Times New Roman" w:cs="Times New Roman"/>
                                <w:i/>
                                <w:iCs/>
                                <w:color w:val="515967"/>
                                <w:sz w:val="20"/>
                                <w:szCs w:val="20"/>
                              </w:rPr>
                              <w:t>the City Council</w:t>
                            </w:r>
                            <w:bookmarkStart w:id="0" w:name="_Hlk135292417"/>
                            <w:r w:rsidRPr="00831047">
                              <w:rPr>
                                <w:rFonts w:ascii="Times New Roman" w:eastAsia="Times New Roman" w:hAnsi="Times New Roman" w:cs="Times New Roman"/>
                                <w:i/>
                                <w:iCs/>
                                <w:color w:val="515967"/>
                                <w:sz w:val="20"/>
                                <w:szCs w:val="20"/>
                              </w:rPr>
                              <w:t xml:space="preserve"> </w:t>
                            </w:r>
                            <w:r w:rsidRPr="002C3C12">
                              <w:rPr>
                                <w:rFonts w:ascii="Times New Roman" w:eastAsia="Times New Roman" w:hAnsi="Times New Roman" w:cs="Times New Roman"/>
                                <w:i/>
                                <w:iCs/>
                                <w:color w:val="515967"/>
                                <w:sz w:val="20"/>
                                <w:szCs w:val="20"/>
                              </w:rPr>
                              <w:t>may</w:t>
                            </w:r>
                            <w:bookmarkEnd w:id="0"/>
                            <w:r w:rsidRPr="002C3C12">
                              <w:rPr>
                                <w:rFonts w:ascii="Times New Roman" w:eastAsia="Times New Roman" w:hAnsi="Times New Roman" w:cs="Times New Roman"/>
                                <w:i/>
                                <w:iCs/>
                                <w:color w:val="515967"/>
                                <w:sz w:val="20"/>
                                <w:szCs w:val="20"/>
                              </w:rPr>
                              <w:t>, but is not obligated to, allow the acreage to be used to satisfy the open space requirement. At a minimum, the storm water basin must satisfy the following:</w:t>
                            </w:r>
                          </w:p>
                          <w:p w14:paraId="5636D08A" w14:textId="77777777" w:rsidR="00831047" w:rsidRDefault="00831047" w:rsidP="00831047">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515967"/>
                                <w:sz w:val="20"/>
                                <w:szCs w:val="20"/>
                              </w:rPr>
                            </w:pPr>
                            <w:r w:rsidRPr="002C3C12">
                              <w:rPr>
                                <w:rFonts w:ascii="Times New Roman" w:eastAsia="Times New Roman" w:hAnsi="Times New Roman" w:cs="Times New Roman"/>
                                <w:i/>
                                <w:iCs/>
                                <w:color w:val="515967"/>
                                <w:sz w:val="20"/>
                                <w:szCs w:val="20"/>
                              </w:rPr>
                              <w:t>Placed in a centralized location within the project or reasonably connected to other project amenities.</w:t>
                            </w:r>
                            <w:r w:rsidRPr="00831047">
                              <w:rPr>
                                <w:rFonts w:ascii="Times New Roman" w:eastAsia="Times New Roman" w:hAnsi="Times New Roman" w:cs="Times New Roman"/>
                                <w:color w:val="515967"/>
                                <w:sz w:val="20"/>
                                <w:szCs w:val="20"/>
                              </w:rPr>
                              <w:t xml:space="preserve"> </w:t>
                            </w:r>
                          </w:p>
                          <w:p w14:paraId="1CCEDB68" w14:textId="4D7F261B" w:rsidR="00831047" w:rsidRPr="00786570" w:rsidRDefault="00831047" w:rsidP="00786570">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515967"/>
                                <w:sz w:val="20"/>
                                <w:szCs w:val="20"/>
                              </w:rPr>
                            </w:pPr>
                            <w:r w:rsidRPr="002C3C12">
                              <w:rPr>
                                <w:rFonts w:ascii="Times New Roman" w:eastAsia="Times New Roman" w:hAnsi="Times New Roman" w:cs="Times New Roman"/>
                                <w:i/>
                                <w:iCs/>
                                <w:color w:val="515967"/>
                                <w:sz w:val="20"/>
                                <w:szCs w:val="20"/>
                              </w:rPr>
                              <w:t>The slope of the basin cannot be steeper than 5:1.</w:t>
                            </w:r>
                            <w:r w:rsidRPr="00831047">
                              <w:rPr>
                                <w:rFonts w:ascii="Times New Roman" w:eastAsia="Times New Roman" w:hAnsi="Times New Roman" w:cs="Times New Roman"/>
                                <w:i/>
                                <w:iCs/>
                                <w:color w:val="515967"/>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E867D3" id="Text Box 4" o:spid="_x0000_s1027" type="#_x0000_t202" style="position:absolute;margin-left:138.75pt;margin-top:1.1pt;width:358.5pt;height:59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" fillcolor="white [3201]" stroked="f" strokeweight=".5pt">
                <v:textbox>
                  <w:txbxContent>
                    <w:p w14:paraId="20AE52B5" w14:textId="77777777" w:rsidR="00EA6C73" w:rsidRPr="00F43C3A" w:rsidRDefault="00EA6C73" w:rsidP="00EA6C73">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REQUEST</w:t>
                      </w:r>
                    </w:p>
                    <w:p w14:paraId="5AA7BA00" w14:textId="77777777" w:rsidR="003C758E" w:rsidRDefault="003C758E" w:rsidP="00EA6C73">
                      <w:pPr>
                        <w:spacing w:after="0"/>
                        <w:jc w:val="both"/>
                        <w:rPr>
                          <w:rFonts w:ascii="Times New Roman" w:hAnsi="Times New Roman" w:cs="Times New Roman"/>
                          <w:sz w:val="20"/>
                          <w:szCs w:val="24"/>
                        </w:rPr>
                      </w:pPr>
                    </w:p>
                    <w:p w14:paraId="6F978071" w14:textId="27F859A4" w:rsidR="00EA6C73" w:rsidRDefault="00BD4B9D" w:rsidP="00EA6C73">
                      <w:pPr>
                        <w:spacing w:after="0"/>
                        <w:jc w:val="both"/>
                        <w:rPr>
                          <w:rFonts w:ascii="Times New Roman" w:hAnsi="Times New Roman" w:cs="Times New Roman"/>
                          <w:sz w:val="20"/>
                          <w:szCs w:val="24"/>
                        </w:rPr>
                      </w:pPr>
                      <w:r>
                        <w:rPr>
                          <w:rFonts w:ascii="Times New Roman" w:hAnsi="Times New Roman" w:cs="Times New Roman"/>
                          <w:sz w:val="20"/>
                          <w:szCs w:val="24"/>
                        </w:rPr>
                        <w:t xml:space="preserve">The applicant, Tyler Horan is requesting </w:t>
                      </w:r>
                      <w:r w:rsidR="004742C6">
                        <w:rPr>
                          <w:rFonts w:ascii="Times New Roman" w:hAnsi="Times New Roman" w:cs="Times New Roman"/>
                          <w:sz w:val="20"/>
                          <w:szCs w:val="24"/>
                        </w:rPr>
                        <w:t>preliminary plan approval for the Hiatt Creek Plat B Subdivision. The subdivision consists of 11.82</w:t>
                      </w:r>
                      <w:r w:rsidR="00993F07">
                        <w:rPr>
                          <w:rFonts w:ascii="Times New Roman" w:hAnsi="Times New Roman" w:cs="Times New Roman"/>
                          <w:sz w:val="20"/>
                          <w:szCs w:val="24"/>
                        </w:rPr>
                        <w:t xml:space="preserve"> acres of land</w:t>
                      </w:r>
                      <w:r w:rsidR="004742C6">
                        <w:rPr>
                          <w:rFonts w:ascii="Times New Roman" w:hAnsi="Times New Roman" w:cs="Times New Roman"/>
                          <w:sz w:val="20"/>
                          <w:szCs w:val="24"/>
                        </w:rPr>
                        <w:t xml:space="preserve"> on Utah County</w:t>
                      </w:r>
                      <w:r w:rsidR="00993F07">
                        <w:rPr>
                          <w:rFonts w:ascii="Times New Roman" w:hAnsi="Times New Roman" w:cs="Times New Roman"/>
                          <w:sz w:val="20"/>
                          <w:szCs w:val="24"/>
                        </w:rPr>
                        <w:t xml:space="preserve"> P</w:t>
                      </w:r>
                      <w:r w:rsidR="00EF4D6A">
                        <w:rPr>
                          <w:rFonts w:ascii="Times New Roman" w:hAnsi="Times New Roman" w:cs="Times New Roman"/>
                          <w:sz w:val="20"/>
                          <w:szCs w:val="24"/>
                        </w:rPr>
                        <w:t>arcel</w:t>
                      </w:r>
                      <w:r w:rsidR="00FF71A1">
                        <w:rPr>
                          <w:rFonts w:ascii="Times New Roman" w:hAnsi="Times New Roman" w:cs="Times New Roman"/>
                          <w:sz w:val="20"/>
                          <w:szCs w:val="24"/>
                        </w:rPr>
                        <w:t xml:space="preserve"> </w:t>
                      </w:r>
                      <w:r>
                        <w:rPr>
                          <w:rFonts w:ascii="Times New Roman" w:hAnsi="Times New Roman" w:cs="Times New Roman"/>
                          <w:sz w:val="20"/>
                          <w:szCs w:val="24"/>
                        </w:rPr>
                        <w:t>29:023:004</w:t>
                      </w:r>
                      <w:r w:rsidR="004742C6">
                        <w:rPr>
                          <w:rFonts w:ascii="Times New Roman" w:hAnsi="Times New Roman" w:cs="Times New Roman"/>
                          <w:sz w:val="20"/>
                          <w:szCs w:val="24"/>
                        </w:rPr>
                        <w:t>8</w:t>
                      </w:r>
                      <w:r w:rsidR="00FF71A1">
                        <w:rPr>
                          <w:rFonts w:ascii="Times New Roman" w:hAnsi="Times New Roman" w:cs="Times New Roman"/>
                          <w:sz w:val="20"/>
                          <w:szCs w:val="24"/>
                        </w:rPr>
                        <w:t xml:space="preserve"> </w:t>
                      </w:r>
                      <w:r w:rsidR="004742C6">
                        <w:rPr>
                          <w:rFonts w:ascii="Times New Roman" w:hAnsi="Times New Roman" w:cs="Times New Roman"/>
                          <w:sz w:val="20"/>
                          <w:szCs w:val="24"/>
                        </w:rPr>
                        <w:t>within the RMF-10, Residential Multi-Family Zone. The subdivision consists of 100 single-family attached townhome style housing units.</w:t>
                      </w:r>
                    </w:p>
                    <w:p w14:paraId="22276537" w14:textId="77777777" w:rsidR="009B78F9" w:rsidRPr="00AD2CE4" w:rsidRDefault="009B78F9" w:rsidP="00EA6C73">
                      <w:pPr>
                        <w:spacing w:after="0"/>
                        <w:jc w:val="both"/>
                        <w:rPr>
                          <w:rFonts w:ascii="Times New Roman" w:hAnsi="Times New Roman" w:cs="Times New Roman"/>
                          <w:sz w:val="16"/>
                          <w:szCs w:val="24"/>
                        </w:rPr>
                      </w:pPr>
                    </w:p>
                    <w:p w14:paraId="5C62B3B0" w14:textId="77777777" w:rsidR="00EA6C73" w:rsidRPr="00F43C3A" w:rsidRDefault="00EA6C73" w:rsidP="00EA6C73">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BACKGROUND AND PROJECT DESCRIPTION</w:t>
                      </w:r>
                    </w:p>
                    <w:p w14:paraId="5194566E" w14:textId="6D97791B" w:rsidR="00F56AAE" w:rsidRDefault="00057490" w:rsidP="00F56AAE">
                      <w:pPr>
                        <w:spacing w:before="225"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The </w:t>
                      </w:r>
                      <w:r w:rsidR="002C3C12">
                        <w:rPr>
                          <w:rFonts w:ascii="Times New Roman" w:eastAsia="Times New Roman" w:hAnsi="Times New Roman" w:cs="Times New Roman"/>
                          <w:color w:val="000000"/>
                          <w:sz w:val="20"/>
                        </w:rPr>
                        <w:t>owner</w:t>
                      </w:r>
                      <w:r>
                        <w:rPr>
                          <w:rFonts w:ascii="Times New Roman" w:eastAsia="Times New Roman" w:hAnsi="Times New Roman" w:cs="Times New Roman"/>
                          <w:color w:val="000000"/>
                          <w:sz w:val="20"/>
                        </w:rPr>
                        <w:t xml:space="preserve"> </w:t>
                      </w:r>
                      <w:proofErr w:type="spellStart"/>
                      <w:r>
                        <w:rPr>
                          <w:rFonts w:ascii="Times New Roman" w:eastAsia="Times New Roman" w:hAnsi="Times New Roman" w:cs="Times New Roman"/>
                          <w:color w:val="000000"/>
                          <w:sz w:val="20"/>
                        </w:rPr>
                        <w:t>Hawkmoon</w:t>
                      </w:r>
                      <w:proofErr w:type="spellEnd"/>
                      <w:r>
                        <w:rPr>
                          <w:rFonts w:ascii="Times New Roman" w:eastAsia="Times New Roman" w:hAnsi="Times New Roman" w:cs="Times New Roman"/>
                          <w:color w:val="000000"/>
                          <w:sz w:val="20"/>
                        </w:rPr>
                        <w:t xml:space="preserve"> Holdings has submitted several renditions of a preliminary plan over the past two and a half years. The initial submittal included plat B and C and was a total of 149 attached and detached single family housing units on a total of 20.49 acres. The portion that is now plat B consisted of 90 townhome housing units on a total of 9.94 acres.</w:t>
                      </w:r>
                    </w:p>
                    <w:p w14:paraId="165805DA" w14:textId="77777777" w:rsidR="002C3C12" w:rsidRDefault="002C3C12" w:rsidP="002C3C12">
                      <w:pPr>
                        <w:spacing w:before="225"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This area is part of the South Meadows Area Specific Plan. This plan was created to apply the principles and goals of the General Plan on a more focused scale and to a more exact level. </w:t>
                      </w:r>
                    </w:p>
                    <w:p w14:paraId="417114FC" w14:textId="6A005FEA" w:rsidR="00680BCD" w:rsidRPr="00680BCD" w:rsidRDefault="00680BCD" w:rsidP="00680BCD">
                      <w:pPr>
                        <w:spacing w:line="235" w:lineRule="atLeast"/>
                        <w:rPr>
                          <w:rFonts w:ascii="Calibri" w:hAnsi="Calibri" w:cs="Calibri"/>
                        </w:rPr>
                      </w:pPr>
                      <w:r>
                        <w:rPr>
                          <w:rFonts w:ascii="Times New Roman" w:eastAsia="Times New Roman" w:hAnsi="Times New Roman" w:cs="Times New Roman"/>
                          <w:color w:val="000000"/>
                          <w:sz w:val="20"/>
                        </w:rPr>
                        <w:t xml:space="preserve">A zone change request for RMF-10 was requested and approved for Utah County Parcel 29:023:0048 on March 2, 2022. The applicant previously brought this request to the planning commission in July 2021. At that time, the request was remanded back to staff because the western half of the property showed a density level of 3 units/acre in the South Meadows Plan. Since then, the applicant has divided the property through an exemption in state code that allows them to bypass the normal subdivision process </w:t>
                      </w:r>
                      <w:r w:rsidRPr="008A77E8">
                        <w:rPr>
                          <w:rFonts w:ascii="Times New Roman" w:eastAsia="Times New Roman" w:hAnsi="Times New Roman" w:cs="Times New Roman"/>
                          <w:color w:val="000000"/>
                          <w:sz w:val="20"/>
                          <w:szCs w:val="20"/>
                        </w:rPr>
                        <w:t>(</w:t>
                      </w:r>
                      <w:r w:rsidRPr="008A77E8">
                        <w:rPr>
                          <w:rFonts w:ascii="Times New Roman" w:hAnsi="Times New Roman" w:cs="Times New Roman"/>
                          <w:sz w:val="20"/>
                          <w:szCs w:val="20"/>
                        </w:rPr>
                        <w:t>Utah Code 10-9a-103(65)(c)(v).</w:t>
                      </w:r>
                      <w:r>
                        <w:rPr>
                          <w:rFonts w:ascii="Times New Roman" w:hAnsi="Times New Roman" w:cs="Times New Roman"/>
                          <w:sz w:val="20"/>
                          <w:szCs w:val="20"/>
                        </w:rPr>
                        <w:t xml:space="preserve"> As such, the March 2, 2022 request was for the eastern </w:t>
                      </w:r>
                      <w:r w:rsidR="002C3C12">
                        <w:rPr>
                          <w:rFonts w:ascii="Times New Roman" w:hAnsi="Times New Roman" w:cs="Times New Roman"/>
                          <w:sz w:val="20"/>
                          <w:szCs w:val="20"/>
                        </w:rPr>
                        <w:t>parcel (</w:t>
                      </w:r>
                      <w:r>
                        <w:rPr>
                          <w:rFonts w:ascii="Times New Roman" w:hAnsi="Times New Roman" w:cs="Times New Roman"/>
                          <w:sz w:val="20"/>
                          <w:szCs w:val="20"/>
                        </w:rPr>
                        <w:t xml:space="preserve">28:023:0048) while the previous request in July of 2021 was for the eastern </w:t>
                      </w:r>
                      <w:r>
                        <w:rPr>
                          <w:rFonts w:ascii="Times New Roman" w:hAnsi="Times New Roman" w:cs="Times New Roman"/>
                          <w:i/>
                          <w:sz w:val="20"/>
                          <w:szCs w:val="20"/>
                        </w:rPr>
                        <w:t xml:space="preserve">half </w:t>
                      </w:r>
                      <w:r>
                        <w:rPr>
                          <w:rFonts w:ascii="Times New Roman" w:hAnsi="Times New Roman" w:cs="Times New Roman"/>
                          <w:sz w:val="20"/>
                          <w:szCs w:val="20"/>
                        </w:rPr>
                        <w:t>of the un-subdivided parcel.</w:t>
                      </w:r>
                    </w:p>
                    <w:p w14:paraId="4E79C2E9" w14:textId="6F2B3AEA" w:rsidR="00A656B3" w:rsidRPr="003C758E" w:rsidRDefault="00A656B3" w:rsidP="00F56AAE">
                      <w:pPr>
                        <w:spacing w:before="225"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In March of 2022 the applicant submitted a revised plat B that consisted of 100 townhome style housing units on a total of 13 acres. In September of 2022 the applicant revised plat B</w:t>
                      </w:r>
                      <w:r w:rsidR="002C3C12">
                        <w:rPr>
                          <w:rFonts w:ascii="Times New Roman" w:eastAsia="Times New Roman" w:hAnsi="Times New Roman" w:cs="Times New Roman"/>
                          <w:color w:val="000000"/>
                          <w:sz w:val="20"/>
                        </w:rPr>
                        <w:t>,</w:t>
                      </w:r>
                      <w:r>
                        <w:rPr>
                          <w:rFonts w:ascii="Times New Roman" w:eastAsia="Times New Roman" w:hAnsi="Times New Roman" w:cs="Times New Roman"/>
                          <w:color w:val="000000"/>
                          <w:sz w:val="20"/>
                        </w:rPr>
                        <w:t xml:space="preserve"> this time it included 100 townhome style housing units on a total of 11.82 acres. This number of lots, configuration and total acreage is what presently exists in the </w:t>
                      </w:r>
                      <w:r w:rsidR="002C3C12">
                        <w:rPr>
                          <w:rFonts w:ascii="Times New Roman" w:eastAsia="Times New Roman" w:hAnsi="Times New Roman" w:cs="Times New Roman"/>
                          <w:color w:val="000000"/>
                          <w:sz w:val="20"/>
                        </w:rPr>
                        <w:t>applicant’s</w:t>
                      </w:r>
                      <w:r>
                        <w:rPr>
                          <w:rFonts w:ascii="Times New Roman" w:eastAsia="Times New Roman" w:hAnsi="Times New Roman" w:cs="Times New Roman"/>
                          <w:color w:val="000000"/>
                          <w:sz w:val="20"/>
                        </w:rPr>
                        <w:t xml:space="preserve"> request.</w:t>
                      </w:r>
                    </w:p>
                    <w:p w14:paraId="7BE0A2EF" w14:textId="6254B16E" w:rsidR="002C3C12" w:rsidRDefault="002C3C12" w:rsidP="003C758E">
                      <w:pPr>
                        <w:spacing w:after="0"/>
                        <w:jc w:val="both"/>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The applicant seeks to use a storm retention area as part of the required open space. This is permissible under </w:t>
                      </w:r>
                      <w:r w:rsidRPr="002C3C12">
                        <w:rPr>
                          <w:rFonts w:ascii="Times New Roman" w:eastAsia="Times New Roman" w:hAnsi="Times New Roman" w:cs="Times New Roman"/>
                          <w:b/>
                          <w:bCs/>
                          <w:color w:val="000000"/>
                          <w:sz w:val="20"/>
                        </w:rPr>
                        <w:t>13.14.070.13 Open Space</w:t>
                      </w:r>
                      <w:r>
                        <w:rPr>
                          <w:rFonts w:ascii="Times New Roman" w:eastAsia="Times New Roman" w:hAnsi="Times New Roman" w:cs="Times New Roman"/>
                          <w:color w:val="000000"/>
                          <w:sz w:val="20"/>
                        </w:rPr>
                        <w:t xml:space="preserve"> subsection of the RMF Multi-Family Residential Zone section of the Payson City Code (see below).</w:t>
                      </w:r>
                    </w:p>
                    <w:p w14:paraId="0E38B160" w14:textId="77777777" w:rsidR="002C3C12" w:rsidRPr="002C3C12" w:rsidRDefault="00E946A2" w:rsidP="00831047">
                      <w:pPr>
                        <w:shd w:val="clear" w:color="auto" w:fill="FFFFFF"/>
                        <w:spacing w:after="0" w:line="240" w:lineRule="auto"/>
                        <w:ind w:firstLine="720"/>
                        <w:jc w:val="both"/>
                        <w:rPr>
                          <w:rFonts w:ascii="Times New Roman" w:eastAsia="Times New Roman" w:hAnsi="Times New Roman" w:cs="Times New Roman"/>
                          <w:b/>
                          <w:bCs/>
                          <w:i/>
                          <w:iCs/>
                          <w:color w:val="515967"/>
                          <w:sz w:val="20"/>
                          <w:szCs w:val="20"/>
                        </w:rPr>
                      </w:pPr>
                      <w:hyperlink r:id="rId9" w:anchor="name=13.14.070.13_Open_Space" w:history="1">
                        <w:r w:rsidR="002C3C12" w:rsidRPr="002C3C12">
                          <w:rPr>
                            <w:rFonts w:ascii="Times New Roman" w:eastAsia="Times New Roman" w:hAnsi="Times New Roman" w:cs="Times New Roman"/>
                            <w:b/>
                            <w:bCs/>
                            <w:i/>
                            <w:iCs/>
                            <w:color w:val="000000"/>
                            <w:sz w:val="20"/>
                            <w:szCs w:val="20"/>
                            <w:u w:val="single"/>
                          </w:rPr>
                          <w:t>13.14.070.13 Open Space</w:t>
                        </w:r>
                      </w:hyperlink>
                    </w:p>
                    <w:p w14:paraId="665310E1" w14:textId="1E6B01F7" w:rsidR="00831047" w:rsidRPr="002C3C12" w:rsidRDefault="00831047" w:rsidP="00831047">
                      <w:pPr>
                        <w:ind w:left="1440"/>
                        <w:rPr>
                          <w:rFonts w:ascii="Times New Roman" w:hAnsi="Times New Roman" w:cs="Times New Roman"/>
                          <w:b/>
                          <w:sz w:val="24"/>
                        </w:rPr>
                      </w:pPr>
                      <w:r w:rsidRPr="002C3C12">
                        <w:rPr>
                          <w:rFonts w:ascii="Times New Roman" w:eastAsia="Times New Roman" w:hAnsi="Times New Roman" w:cs="Times New Roman"/>
                          <w:i/>
                          <w:iCs/>
                          <w:color w:val="515967"/>
                          <w:sz w:val="20"/>
                          <w:szCs w:val="20"/>
                        </w:rPr>
                        <w:t>In general, the acreage set aside for storm water facilities should not be used toward the open space requirement.</w:t>
                      </w:r>
                      <w:r w:rsidRPr="00831047">
                        <w:rPr>
                          <w:rFonts w:ascii="Times New Roman" w:eastAsia="Times New Roman" w:hAnsi="Times New Roman" w:cs="Times New Roman"/>
                          <w:i/>
                          <w:iCs/>
                          <w:color w:val="515967"/>
                          <w:sz w:val="20"/>
                          <w:szCs w:val="20"/>
                        </w:rPr>
                        <w:t xml:space="preserve"> </w:t>
                      </w:r>
                      <w:r w:rsidRPr="002C3C12">
                        <w:rPr>
                          <w:rFonts w:ascii="Times New Roman" w:eastAsia="Times New Roman" w:hAnsi="Times New Roman" w:cs="Times New Roman"/>
                          <w:i/>
                          <w:iCs/>
                          <w:color w:val="515967"/>
                          <w:sz w:val="20"/>
                          <w:szCs w:val="20"/>
                        </w:rPr>
                        <w:t>However, depending on the location, size, design, access and usability of the storm water facility</w:t>
                      </w:r>
                      <w:r w:rsidRPr="00831047">
                        <w:rPr>
                          <w:rFonts w:ascii="Times New Roman" w:eastAsia="Times New Roman" w:hAnsi="Times New Roman" w:cs="Times New Roman"/>
                          <w:i/>
                          <w:iCs/>
                          <w:color w:val="515967"/>
                          <w:sz w:val="20"/>
                          <w:szCs w:val="20"/>
                        </w:rPr>
                        <w:t xml:space="preserve"> </w:t>
                      </w:r>
                      <w:r w:rsidRPr="002C3C12">
                        <w:rPr>
                          <w:rFonts w:ascii="Times New Roman" w:eastAsia="Times New Roman" w:hAnsi="Times New Roman" w:cs="Times New Roman"/>
                          <w:i/>
                          <w:iCs/>
                          <w:color w:val="515967"/>
                          <w:sz w:val="20"/>
                          <w:szCs w:val="20"/>
                        </w:rPr>
                        <w:t>the City Council</w:t>
                      </w:r>
                      <w:bookmarkStart w:id="1" w:name="_Hlk135292417"/>
                      <w:r w:rsidRPr="00831047">
                        <w:rPr>
                          <w:rFonts w:ascii="Times New Roman" w:eastAsia="Times New Roman" w:hAnsi="Times New Roman" w:cs="Times New Roman"/>
                          <w:i/>
                          <w:iCs/>
                          <w:color w:val="515967"/>
                          <w:sz w:val="20"/>
                          <w:szCs w:val="20"/>
                        </w:rPr>
                        <w:t xml:space="preserve"> </w:t>
                      </w:r>
                      <w:r w:rsidRPr="002C3C12">
                        <w:rPr>
                          <w:rFonts w:ascii="Times New Roman" w:eastAsia="Times New Roman" w:hAnsi="Times New Roman" w:cs="Times New Roman"/>
                          <w:i/>
                          <w:iCs/>
                          <w:color w:val="515967"/>
                          <w:sz w:val="20"/>
                          <w:szCs w:val="20"/>
                        </w:rPr>
                        <w:t>may</w:t>
                      </w:r>
                      <w:bookmarkEnd w:id="1"/>
                      <w:r w:rsidRPr="002C3C12">
                        <w:rPr>
                          <w:rFonts w:ascii="Times New Roman" w:eastAsia="Times New Roman" w:hAnsi="Times New Roman" w:cs="Times New Roman"/>
                          <w:i/>
                          <w:iCs/>
                          <w:color w:val="515967"/>
                          <w:sz w:val="20"/>
                          <w:szCs w:val="20"/>
                        </w:rPr>
                        <w:t>, but is not obligated to, allow the acreage to be used to satisfy the open space requirement. At a minimum, the storm water basin must satisfy the following:</w:t>
                      </w:r>
                    </w:p>
                    <w:p w14:paraId="5636D08A" w14:textId="77777777" w:rsidR="00831047" w:rsidRDefault="00831047" w:rsidP="00831047">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515967"/>
                          <w:sz w:val="20"/>
                          <w:szCs w:val="20"/>
                        </w:rPr>
                      </w:pPr>
                      <w:r w:rsidRPr="002C3C12">
                        <w:rPr>
                          <w:rFonts w:ascii="Times New Roman" w:eastAsia="Times New Roman" w:hAnsi="Times New Roman" w:cs="Times New Roman"/>
                          <w:i/>
                          <w:iCs/>
                          <w:color w:val="515967"/>
                          <w:sz w:val="20"/>
                          <w:szCs w:val="20"/>
                        </w:rPr>
                        <w:t>Placed in a centralized location within the project or reasonably connected to other project amenities.</w:t>
                      </w:r>
                      <w:r w:rsidRPr="00831047">
                        <w:rPr>
                          <w:rFonts w:ascii="Times New Roman" w:eastAsia="Times New Roman" w:hAnsi="Times New Roman" w:cs="Times New Roman"/>
                          <w:color w:val="515967"/>
                          <w:sz w:val="20"/>
                          <w:szCs w:val="20"/>
                        </w:rPr>
                        <w:t xml:space="preserve"> </w:t>
                      </w:r>
                    </w:p>
                    <w:p w14:paraId="1CCEDB68" w14:textId="4D7F261B" w:rsidR="00831047" w:rsidRPr="00786570" w:rsidRDefault="00831047" w:rsidP="00786570">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515967"/>
                          <w:sz w:val="20"/>
                          <w:szCs w:val="20"/>
                        </w:rPr>
                      </w:pPr>
                      <w:r w:rsidRPr="002C3C12">
                        <w:rPr>
                          <w:rFonts w:ascii="Times New Roman" w:eastAsia="Times New Roman" w:hAnsi="Times New Roman" w:cs="Times New Roman"/>
                          <w:i/>
                          <w:iCs/>
                          <w:color w:val="515967"/>
                          <w:sz w:val="20"/>
                          <w:szCs w:val="20"/>
                        </w:rPr>
                        <w:t>The slope of the basin cannot be steeper than 5:1.</w:t>
                      </w:r>
                      <w:r w:rsidRPr="00831047">
                        <w:rPr>
                          <w:rFonts w:ascii="Times New Roman" w:eastAsia="Times New Roman" w:hAnsi="Times New Roman" w:cs="Times New Roman"/>
                          <w:i/>
                          <w:iCs/>
                          <w:color w:val="515967"/>
                          <w:sz w:val="20"/>
                          <w:szCs w:val="20"/>
                        </w:rPr>
                        <w:t xml:space="preserve"> </w:t>
                      </w:r>
                    </w:p>
                  </w:txbxContent>
                </v:textbox>
              </v:shape>
            </w:pict>
          </mc:Fallback>
        </mc:AlternateContent>
      </w:r>
      <w:r w:rsidR="00EB54DF">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1BB4B244" wp14:editId="2AE838C8">
                <wp:simplePos x="0" y="0"/>
                <wp:positionH relativeFrom="column">
                  <wp:posOffset>-101599</wp:posOffset>
                </wp:positionH>
                <wp:positionV relativeFrom="paragraph">
                  <wp:posOffset>73074</wp:posOffset>
                </wp:positionV>
                <wp:extent cx="1852246" cy="7415530"/>
                <wp:effectExtent l="0" t="0" r="0" b="0"/>
                <wp:wrapNone/>
                <wp:docPr id="3" name="Text Box 3"/>
                <wp:cNvGraphicFramePr/>
                <a:graphic xmlns:a="http://schemas.openxmlformats.org/drawingml/2006/main">
                  <a:graphicData uri="http://schemas.microsoft.com/office/word/2010/wordprocessingShape">
                    <wps:wsp>
                      <wps:cNvSpPr txBox="1"/>
                      <wps:spPr>
                        <a:xfrm>
                          <a:off x="0" y="0"/>
                          <a:ext cx="1852246" cy="7415530"/>
                        </a:xfrm>
                        <a:prstGeom prst="rect">
                          <a:avLst/>
                        </a:prstGeom>
                        <a:solidFill>
                          <a:schemeClr val="lt1"/>
                        </a:solidFill>
                        <a:ln w="6350">
                          <a:noFill/>
                        </a:ln>
                      </wps:spPr>
                      <wps:txbx>
                        <w:txbxContent>
                          <w:p w14:paraId="123AD378" w14:textId="77777777" w:rsidR="00082880" w:rsidRPr="007820DB" w:rsidRDefault="00082880"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Project Name:</w:t>
                            </w:r>
                          </w:p>
                          <w:p w14:paraId="75CF699F" w14:textId="21A7F885" w:rsidR="00082880" w:rsidRPr="007820DB" w:rsidRDefault="00BD4B9D" w:rsidP="004742C6">
                            <w:pPr>
                              <w:tabs>
                                <w:tab w:val="left" w:pos="180"/>
                              </w:tabs>
                              <w:spacing w:after="0"/>
                              <w:rPr>
                                <w:rFonts w:ascii="Times New Roman" w:hAnsi="Times New Roman" w:cs="Times New Roman"/>
                                <w:sz w:val="20"/>
                                <w:szCs w:val="20"/>
                              </w:rPr>
                            </w:pPr>
                            <w:r>
                              <w:rPr>
                                <w:rFonts w:ascii="Times New Roman" w:hAnsi="Times New Roman" w:cs="Times New Roman"/>
                                <w:sz w:val="20"/>
                                <w:szCs w:val="20"/>
                              </w:rPr>
                              <w:t xml:space="preserve">Hiatt Creek </w:t>
                            </w:r>
                            <w:r w:rsidR="004742C6">
                              <w:rPr>
                                <w:rFonts w:ascii="Times New Roman" w:hAnsi="Times New Roman" w:cs="Times New Roman"/>
                                <w:sz w:val="20"/>
                                <w:szCs w:val="20"/>
                              </w:rPr>
                              <w:t>Plat B Preliminary Plan</w:t>
                            </w:r>
                          </w:p>
                          <w:p w14:paraId="31140075" w14:textId="77777777" w:rsidR="00082880" w:rsidRPr="007820DB" w:rsidRDefault="00082880" w:rsidP="005052B1">
                            <w:pPr>
                              <w:spacing w:after="0"/>
                              <w:rPr>
                                <w:rFonts w:ascii="Times New Roman" w:hAnsi="Times New Roman" w:cs="Times New Roman"/>
                                <w:b/>
                                <w:sz w:val="20"/>
                                <w:szCs w:val="20"/>
                              </w:rPr>
                            </w:pPr>
                          </w:p>
                          <w:p w14:paraId="6762608B"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Applicant: </w:t>
                            </w:r>
                          </w:p>
                          <w:p w14:paraId="441E9EBF" w14:textId="13224DB3" w:rsidR="005052B1" w:rsidRPr="007820DB" w:rsidRDefault="00EF4D6A"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Tyler Horan</w:t>
                            </w:r>
                          </w:p>
                          <w:p w14:paraId="65BCCE97"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Owner: </w:t>
                            </w:r>
                          </w:p>
                          <w:p w14:paraId="174E6275" w14:textId="282F89AB" w:rsidR="00062D9C" w:rsidRPr="007820DB" w:rsidRDefault="002316CF" w:rsidP="009455BE">
                            <w:pPr>
                              <w:spacing w:after="120"/>
                              <w:ind w:left="180" w:hanging="180"/>
                              <w:rPr>
                                <w:rFonts w:ascii="Times New Roman" w:hAnsi="Times New Roman" w:cs="Times New Roman"/>
                                <w:sz w:val="20"/>
                                <w:szCs w:val="20"/>
                              </w:rPr>
                            </w:pPr>
                            <w:proofErr w:type="spellStart"/>
                            <w:r>
                              <w:rPr>
                                <w:rFonts w:ascii="Times New Roman" w:hAnsi="Times New Roman" w:cs="Times New Roman"/>
                                <w:sz w:val="20"/>
                                <w:szCs w:val="20"/>
                              </w:rPr>
                              <w:t>Hawkmoon</w:t>
                            </w:r>
                            <w:proofErr w:type="spellEnd"/>
                            <w:r>
                              <w:rPr>
                                <w:rFonts w:ascii="Times New Roman" w:hAnsi="Times New Roman" w:cs="Times New Roman"/>
                                <w:sz w:val="20"/>
                                <w:szCs w:val="20"/>
                              </w:rPr>
                              <w:t xml:space="preserve"> Holdings LLC</w:t>
                            </w:r>
                          </w:p>
                          <w:p w14:paraId="3523CFB0"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Location: </w:t>
                            </w:r>
                          </w:p>
                          <w:p w14:paraId="39E35AB8" w14:textId="42C11EF7" w:rsidR="005052B1" w:rsidRPr="007820DB" w:rsidRDefault="00BD4B9D"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113</w:t>
                            </w:r>
                            <w:r w:rsidR="007E01DC">
                              <w:rPr>
                                <w:rFonts w:ascii="Times New Roman" w:hAnsi="Times New Roman" w:cs="Times New Roman"/>
                                <w:sz w:val="20"/>
                                <w:szCs w:val="20"/>
                              </w:rPr>
                              <w:t>0</w:t>
                            </w:r>
                            <w:r w:rsidR="00EF4D6A">
                              <w:rPr>
                                <w:rFonts w:ascii="Times New Roman" w:hAnsi="Times New Roman" w:cs="Times New Roman"/>
                                <w:sz w:val="20"/>
                                <w:szCs w:val="20"/>
                              </w:rPr>
                              <w:t xml:space="preserve"> S 1950 W</w:t>
                            </w:r>
                          </w:p>
                          <w:p w14:paraId="621C1F21" w14:textId="77777777" w:rsidR="005052B1" w:rsidRPr="007820DB" w:rsidRDefault="00EC7CE9" w:rsidP="005052B1">
                            <w:pPr>
                              <w:spacing w:after="0"/>
                              <w:rPr>
                                <w:rFonts w:ascii="Times New Roman" w:hAnsi="Times New Roman" w:cs="Times New Roman"/>
                                <w:b/>
                                <w:sz w:val="20"/>
                                <w:szCs w:val="20"/>
                              </w:rPr>
                            </w:pPr>
                            <w:r>
                              <w:rPr>
                                <w:rFonts w:ascii="Times New Roman" w:hAnsi="Times New Roman" w:cs="Times New Roman"/>
                                <w:b/>
                                <w:sz w:val="20"/>
                                <w:szCs w:val="20"/>
                              </w:rPr>
                              <w:t>Existing Zone</w:t>
                            </w:r>
                            <w:r w:rsidR="005052B1" w:rsidRPr="007820DB">
                              <w:rPr>
                                <w:rFonts w:ascii="Times New Roman" w:hAnsi="Times New Roman" w:cs="Times New Roman"/>
                                <w:b/>
                                <w:sz w:val="20"/>
                                <w:szCs w:val="20"/>
                              </w:rPr>
                              <w:t xml:space="preserve">: </w:t>
                            </w:r>
                          </w:p>
                          <w:p w14:paraId="6BE33078" w14:textId="099BDFD4" w:rsidR="005052B1" w:rsidRDefault="004742C6" w:rsidP="00082880">
                            <w:pPr>
                              <w:spacing w:after="0"/>
                              <w:ind w:left="180" w:hanging="180"/>
                              <w:rPr>
                                <w:rFonts w:ascii="Times New Roman" w:hAnsi="Times New Roman" w:cs="Times New Roman"/>
                                <w:sz w:val="20"/>
                                <w:szCs w:val="20"/>
                              </w:rPr>
                            </w:pPr>
                            <w:r>
                              <w:rPr>
                                <w:rFonts w:ascii="Times New Roman" w:hAnsi="Times New Roman" w:cs="Times New Roman"/>
                                <w:sz w:val="20"/>
                                <w:szCs w:val="20"/>
                              </w:rPr>
                              <w:t>RMF-10, Residential Multi Family</w:t>
                            </w:r>
                            <w:r w:rsidR="00EF4D6A">
                              <w:rPr>
                                <w:rFonts w:ascii="Times New Roman" w:hAnsi="Times New Roman" w:cs="Times New Roman"/>
                                <w:sz w:val="20"/>
                                <w:szCs w:val="20"/>
                              </w:rPr>
                              <w:t xml:space="preserve"> Zone</w:t>
                            </w:r>
                          </w:p>
                          <w:p w14:paraId="05C752A0" w14:textId="77777777" w:rsidR="00EC7CE9" w:rsidRDefault="00EC7CE9" w:rsidP="00082880">
                            <w:pPr>
                              <w:spacing w:after="0"/>
                              <w:ind w:left="180" w:hanging="180"/>
                              <w:rPr>
                                <w:rFonts w:ascii="Times New Roman" w:hAnsi="Times New Roman" w:cs="Times New Roman"/>
                                <w:sz w:val="20"/>
                                <w:szCs w:val="20"/>
                              </w:rPr>
                            </w:pPr>
                          </w:p>
                          <w:p w14:paraId="4AB96E4F" w14:textId="64DFAFFE" w:rsidR="00EC7CE9" w:rsidRDefault="004742C6" w:rsidP="00082880">
                            <w:pPr>
                              <w:spacing w:after="0"/>
                              <w:ind w:left="180" w:hanging="180"/>
                              <w:rPr>
                                <w:rFonts w:ascii="Times New Roman" w:hAnsi="Times New Roman" w:cs="Times New Roman"/>
                                <w:b/>
                                <w:sz w:val="20"/>
                                <w:szCs w:val="20"/>
                              </w:rPr>
                            </w:pPr>
                            <w:r>
                              <w:rPr>
                                <w:rFonts w:ascii="Times New Roman" w:hAnsi="Times New Roman" w:cs="Times New Roman"/>
                                <w:b/>
                                <w:sz w:val="20"/>
                                <w:szCs w:val="20"/>
                              </w:rPr>
                              <w:t>Attachments</w:t>
                            </w:r>
                            <w:r w:rsidR="00EC7CE9">
                              <w:rPr>
                                <w:rFonts w:ascii="Times New Roman" w:hAnsi="Times New Roman" w:cs="Times New Roman"/>
                                <w:b/>
                                <w:sz w:val="20"/>
                                <w:szCs w:val="20"/>
                              </w:rPr>
                              <w:t xml:space="preserve">: </w:t>
                            </w:r>
                          </w:p>
                          <w:p w14:paraId="46C9B0A7" w14:textId="3BE674F9" w:rsidR="00EC7CE9" w:rsidRPr="00786570" w:rsidRDefault="004742C6" w:rsidP="00786570">
                            <w:pPr>
                              <w:pStyle w:val="ListParagraph"/>
                              <w:numPr>
                                <w:ilvl w:val="0"/>
                                <w:numId w:val="32"/>
                              </w:numPr>
                              <w:spacing w:after="0"/>
                              <w:rPr>
                                <w:rFonts w:ascii="Times New Roman" w:hAnsi="Times New Roman" w:cs="Times New Roman"/>
                                <w:sz w:val="20"/>
                                <w:szCs w:val="20"/>
                              </w:rPr>
                            </w:pPr>
                            <w:r w:rsidRPr="00786570">
                              <w:rPr>
                                <w:rFonts w:ascii="Times New Roman" w:hAnsi="Times New Roman" w:cs="Times New Roman"/>
                                <w:sz w:val="20"/>
                                <w:szCs w:val="20"/>
                              </w:rPr>
                              <w:t>Vicinity Map</w:t>
                            </w:r>
                          </w:p>
                          <w:p w14:paraId="1D844270" w14:textId="3172E57B" w:rsidR="004742C6" w:rsidRPr="00786570" w:rsidRDefault="004742C6" w:rsidP="00786570">
                            <w:pPr>
                              <w:pStyle w:val="ListParagraph"/>
                              <w:numPr>
                                <w:ilvl w:val="0"/>
                                <w:numId w:val="32"/>
                              </w:numPr>
                              <w:spacing w:after="0"/>
                              <w:rPr>
                                <w:rFonts w:ascii="Times New Roman" w:hAnsi="Times New Roman" w:cs="Times New Roman"/>
                                <w:sz w:val="20"/>
                                <w:szCs w:val="20"/>
                              </w:rPr>
                            </w:pPr>
                            <w:r w:rsidRPr="00786570">
                              <w:rPr>
                                <w:rFonts w:ascii="Times New Roman" w:hAnsi="Times New Roman" w:cs="Times New Roman"/>
                                <w:sz w:val="20"/>
                                <w:szCs w:val="20"/>
                              </w:rPr>
                              <w:t>Preliminary Plan</w:t>
                            </w:r>
                          </w:p>
                          <w:p w14:paraId="182D811E" w14:textId="09A78399" w:rsidR="004742C6" w:rsidRDefault="004742C6" w:rsidP="00786570">
                            <w:pPr>
                              <w:pStyle w:val="ListParagraph"/>
                              <w:numPr>
                                <w:ilvl w:val="0"/>
                                <w:numId w:val="32"/>
                              </w:numPr>
                              <w:spacing w:after="0"/>
                              <w:rPr>
                                <w:rFonts w:ascii="Times New Roman" w:hAnsi="Times New Roman" w:cs="Times New Roman"/>
                                <w:sz w:val="20"/>
                                <w:szCs w:val="20"/>
                              </w:rPr>
                            </w:pPr>
                            <w:r w:rsidRPr="00786570">
                              <w:rPr>
                                <w:rFonts w:ascii="Times New Roman" w:hAnsi="Times New Roman" w:cs="Times New Roman"/>
                                <w:sz w:val="20"/>
                                <w:szCs w:val="20"/>
                              </w:rPr>
                              <w:t>Landscaping &amp; Amenities</w:t>
                            </w:r>
                          </w:p>
                          <w:p w14:paraId="31DCA55B" w14:textId="2AE24535" w:rsidR="00786570" w:rsidRPr="00786570" w:rsidRDefault="00786570" w:rsidP="00786570">
                            <w:pPr>
                              <w:pStyle w:val="ListParagraph"/>
                              <w:numPr>
                                <w:ilvl w:val="0"/>
                                <w:numId w:val="32"/>
                              </w:numPr>
                              <w:spacing w:after="0"/>
                              <w:rPr>
                                <w:rFonts w:ascii="Times New Roman" w:hAnsi="Times New Roman" w:cs="Times New Roman"/>
                                <w:sz w:val="20"/>
                                <w:szCs w:val="20"/>
                              </w:rPr>
                            </w:pPr>
                            <w:r>
                              <w:rPr>
                                <w:rFonts w:ascii="Times New Roman" w:hAnsi="Times New Roman" w:cs="Times New Roman"/>
                                <w:sz w:val="20"/>
                                <w:szCs w:val="20"/>
                              </w:rPr>
                              <w:t>Storm Facility to be Used as Open Space</w:t>
                            </w:r>
                          </w:p>
                          <w:p w14:paraId="4070AE9C" w14:textId="17D1E464" w:rsidR="004742C6" w:rsidRPr="00786570" w:rsidRDefault="004742C6" w:rsidP="00786570">
                            <w:pPr>
                              <w:pStyle w:val="ListParagraph"/>
                              <w:numPr>
                                <w:ilvl w:val="0"/>
                                <w:numId w:val="32"/>
                              </w:numPr>
                              <w:spacing w:after="0"/>
                              <w:rPr>
                                <w:rFonts w:ascii="Times New Roman" w:hAnsi="Times New Roman" w:cs="Times New Roman"/>
                                <w:sz w:val="20"/>
                                <w:szCs w:val="20"/>
                              </w:rPr>
                            </w:pPr>
                            <w:r w:rsidRPr="00786570">
                              <w:rPr>
                                <w:rFonts w:ascii="Times New Roman" w:hAnsi="Times New Roman" w:cs="Times New Roman"/>
                                <w:sz w:val="20"/>
                                <w:szCs w:val="20"/>
                              </w:rPr>
                              <w:t>Housing Product</w:t>
                            </w:r>
                          </w:p>
                          <w:p w14:paraId="428ADC59" w14:textId="77777777" w:rsidR="00E61C82" w:rsidRPr="007820DB" w:rsidRDefault="00E61C82" w:rsidP="005052B1">
                            <w:pPr>
                              <w:spacing w:after="0"/>
                              <w:rPr>
                                <w:rFonts w:ascii="Times New Roman" w:hAnsi="Times New Roman" w:cs="Times New Roman"/>
                                <w:sz w:val="20"/>
                                <w:szCs w:val="20"/>
                              </w:rPr>
                            </w:pPr>
                          </w:p>
                          <w:p w14:paraId="64340877" w14:textId="77777777" w:rsidR="003C6E21" w:rsidRPr="00EC7CE9" w:rsidRDefault="003C6E21" w:rsidP="00EC7CE9">
                            <w:pPr>
                              <w:tabs>
                                <w:tab w:val="left" w:pos="540"/>
                              </w:tabs>
                              <w:spacing w:after="0"/>
                              <w:rPr>
                                <w:rFonts w:ascii="Times New Roman" w:hAnsi="Times New Roman"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B4B244" id="Text Box 3" o:spid="_x0000_s1028" type="#_x0000_t202" style="position:absolute;margin-left:-8pt;margin-top:5.75pt;width:145.85pt;height:58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" fillcolor="white [3201]" stroked="f" strokeweight=".5pt">
                <v:textbox>
                  <w:txbxContent>
                    <w:p w14:paraId="123AD378" w14:textId="77777777" w:rsidR="00082880" w:rsidRPr="007820DB" w:rsidRDefault="00082880"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Project Name:</w:t>
                      </w:r>
                    </w:p>
                    <w:p w14:paraId="75CF699F" w14:textId="21A7F885" w:rsidR="00082880" w:rsidRPr="007820DB" w:rsidRDefault="00BD4B9D" w:rsidP="004742C6">
                      <w:pPr>
                        <w:tabs>
                          <w:tab w:val="left" w:pos="180"/>
                        </w:tabs>
                        <w:spacing w:after="0"/>
                        <w:rPr>
                          <w:rFonts w:ascii="Times New Roman" w:hAnsi="Times New Roman" w:cs="Times New Roman"/>
                          <w:sz w:val="20"/>
                          <w:szCs w:val="20"/>
                        </w:rPr>
                      </w:pPr>
                      <w:r>
                        <w:rPr>
                          <w:rFonts w:ascii="Times New Roman" w:hAnsi="Times New Roman" w:cs="Times New Roman"/>
                          <w:sz w:val="20"/>
                          <w:szCs w:val="20"/>
                        </w:rPr>
                        <w:t xml:space="preserve">Hiatt Creek </w:t>
                      </w:r>
                      <w:r w:rsidR="004742C6">
                        <w:rPr>
                          <w:rFonts w:ascii="Times New Roman" w:hAnsi="Times New Roman" w:cs="Times New Roman"/>
                          <w:sz w:val="20"/>
                          <w:szCs w:val="20"/>
                        </w:rPr>
                        <w:t>Plat B Preliminary Plan</w:t>
                      </w:r>
                    </w:p>
                    <w:p w14:paraId="31140075" w14:textId="77777777" w:rsidR="00082880" w:rsidRPr="007820DB" w:rsidRDefault="00082880" w:rsidP="005052B1">
                      <w:pPr>
                        <w:spacing w:after="0"/>
                        <w:rPr>
                          <w:rFonts w:ascii="Times New Roman" w:hAnsi="Times New Roman" w:cs="Times New Roman"/>
                          <w:b/>
                          <w:sz w:val="20"/>
                          <w:szCs w:val="20"/>
                        </w:rPr>
                      </w:pPr>
                    </w:p>
                    <w:p w14:paraId="6762608B"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Applicant: </w:t>
                      </w:r>
                    </w:p>
                    <w:p w14:paraId="441E9EBF" w14:textId="13224DB3" w:rsidR="005052B1" w:rsidRPr="007820DB" w:rsidRDefault="00EF4D6A"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Tyler Horan</w:t>
                      </w:r>
                    </w:p>
                    <w:p w14:paraId="65BCCE97"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Owner: </w:t>
                      </w:r>
                    </w:p>
                    <w:p w14:paraId="174E6275" w14:textId="282F89AB" w:rsidR="00062D9C" w:rsidRPr="007820DB" w:rsidRDefault="002316CF" w:rsidP="009455BE">
                      <w:pPr>
                        <w:spacing w:after="120"/>
                        <w:ind w:left="180" w:hanging="180"/>
                        <w:rPr>
                          <w:rFonts w:ascii="Times New Roman" w:hAnsi="Times New Roman" w:cs="Times New Roman"/>
                          <w:sz w:val="20"/>
                          <w:szCs w:val="20"/>
                        </w:rPr>
                      </w:pPr>
                      <w:proofErr w:type="spellStart"/>
                      <w:r>
                        <w:rPr>
                          <w:rFonts w:ascii="Times New Roman" w:hAnsi="Times New Roman" w:cs="Times New Roman"/>
                          <w:sz w:val="20"/>
                          <w:szCs w:val="20"/>
                        </w:rPr>
                        <w:t>Hawkmoon</w:t>
                      </w:r>
                      <w:proofErr w:type="spellEnd"/>
                      <w:r>
                        <w:rPr>
                          <w:rFonts w:ascii="Times New Roman" w:hAnsi="Times New Roman" w:cs="Times New Roman"/>
                          <w:sz w:val="20"/>
                          <w:szCs w:val="20"/>
                        </w:rPr>
                        <w:t xml:space="preserve"> Holdings LLC</w:t>
                      </w:r>
                    </w:p>
                    <w:p w14:paraId="3523CFB0"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Location: </w:t>
                      </w:r>
                    </w:p>
                    <w:p w14:paraId="39E35AB8" w14:textId="42C11EF7" w:rsidR="005052B1" w:rsidRPr="007820DB" w:rsidRDefault="00BD4B9D"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113</w:t>
                      </w:r>
                      <w:r w:rsidR="007E01DC">
                        <w:rPr>
                          <w:rFonts w:ascii="Times New Roman" w:hAnsi="Times New Roman" w:cs="Times New Roman"/>
                          <w:sz w:val="20"/>
                          <w:szCs w:val="20"/>
                        </w:rPr>
                        <w:t>0</w:t>
                      </w:r>
                      <w:r w:rsidR="00EF4D6A">
                        <w:rPr>
                          <w:rFonts w:ascii="Times New Roman" w:hAnsi="Times New Roman" w:cs="Times New Roman"/>
                          <w:sz w:val="20"/>
                          <w:szCs w:val="20"/>
                        </w:rPr>
                        <w:t xml:space="preserve"> S 1950 W</w:t>
                      </w:r>
                    </w:p>
                    <w:p w14:paraId="621C1F21" w14:textId="77777777" w:rsidR="005052B1" w:rsidRPr="007820DB" w:rsidRDefault="00EC7CE9" w:rsidP="005052B1">
                      <w:pPr>
                        <w:spacing w:after="0"/>
                        <w:rPr>
                          <w:rFonts w:ascii="Times New Roman" w:hAnsi="Times New Roman" w:cs="Times New Roman"/>
                          <w:b/>
                          <w:sz w:val="20"/>
                          <w:szCs w:val="20"/>
                        </w:rPr>
                      </w:pPr>
                      <w:r>
                        <w:rPr>
                          <w:rFonts w:ascii="Times New Roman" w:hAnsi="Times New Roman" w:cs="Times New Roman"/>
                          <w:b/>
                          <w:sz w:val="20"/>
                          <w:szCs w:val="20"/>
                        </w:rPr>
                        <w:t>Existing Zone</w:t>
                      </w:r>
                      <w:r w:rsidR="005052B1" w:rsidRPr="007820DB">
                        <w:rPr>
                          <w:rFonts w:ascii="Times New Roman" w:hAnsi="Times New Roman" w:cs="Times New Roman"/>
                          <w:b/>
                          <w:sz w:val="20"/>
                          <w:szCs w:val="20"/>
                        </w:rPr>
                        <w:t xml:space="preserve">: </w:t>
                      </w:r>
                    </w:p>
                    <w:p w14:paraId="6BE33078" w14:textId="099BDFD4" w:rsidR="005052B1" w:rsidRDefault="004742C6" w:rsidP="00082880">
                      <w:pPr>
                        <w:spacing w:after="0"/>
                        <w:ind w:left="180" w:hanging="180"/>
                        <w:rPr>
                          <w:rFonts w:ascii="Times New Roman" w:hAnsi="Times New Roman" w:cs="Times New Roman"/>
                          <w:sz w:val="20"/>
                          <w:szCs w:val="20"/>
                        </w:rPr>
                      </w:pPr>
                      <w:r>
                        <w:rPr>
                          <w:rFonts w:ascii="Times New Roman" w:hAnsi="Times New Roman" w:cs="Times New Roman"/>
                          <w:sz w:val="20"/>
                          <w:szCs w:val="20"/>
                        </w:rPr>
                        <w:t>RMF-10, Residential Multi Family</w:t>
                      </w:r>
                      <w:r w:rsidR="00EF4D6A">
                        <w:rPr>
                          <w:rFonts w:ascii="Times New Roman" w:hAnsi="Times New Roman" w:cs="Times New Roman"/>
                          <w:sz w:val="20"/>
                          <w:szCs w:val="20"/>
                        </w:rPr>
                        <w:t xml:space="preserve"> Zone</w:t>
                      </w:r>
                    </w:p>
                    <w:p w14:paraId="05C752A0" w14:textId="77777777" w:rsidR="00EC7CE9" w:rsidRDefault="00EC7CE9" w:rsidP="00082880">
                      <w:pPr>
                        <w:spacing w:after="0"/>
                        <w:ind w:left="180" w:hanging="180"/>
                        <w:rPr>
                          <w:rFonts w:ascii="Times New Roman" w:hAnsi="Times New Roman" w:cs="Times New Roman"/>
                          <w:sz w:val="20"/>
                          <w:szCs w:val="20"/>
                        </w:rPr>
                      </w:pPr>
                    </w:p>
                    <w:p w14:paraId="4AB96E4F" w14:textId="64DFAFFE" w:rsidR="00EC7CE9" w:rsidRDefault="004742C6" w:rsidP="00082880">
                      <w:pPr>
                        <w:spacing w:after="0"/>
                        <w:ind w:left="180" w:hanging="180"/>
                        <w:rPr>
                          <w:rFonts w:ascii="Times New Roman" w:hAnsi="Times New Roman" w:cs="Times New Roman"/>
                          <w:b/>
                          <w:sz w:val="20"/>
                          <w:szCs w:val="20"/>
                        </w:rPr>
                      </w:pPr>
                      <w:r>
                        <w:rPr>
                          <w:rFonts w:ascii="Times New Roman" w:hAnsi="Times New Roman" w:cs="Times New Roman"/>
                          <w:b/>
                          <w:sz w:val="20"/>
                          <w:szCs w:val="20"/>
                        </w:rPr>
                        <w:t>Attachments</w:t>
                      </w:r>
                      <w:r w:rsidR="00EC7CE9">
                        <w:rPr>
                          <w:rFonts w:ascii="Times New Roman" w:hAnsi="Times New Roman" w:cs="Times New Roman"/>
                          <w:b/>
                          <w:sz w:val="20"/>
                          <w:szCs w:val="20"/>
                        </w:rPr>
                        <w:t xml:space="preserve">: </w:t>
                      </w:r>
                    </w:p>
                    <w:p w14:paraId="46C9B0A7" w14:textId="3BE674F9" w:rsidR="00EC7CE9" w:rsidRPr="00786570" w:rsidRDefault="004742C6" w:rsidP="00786570">
                      <w:pPr>
                        <w:pStyle w:val="ListParagraph"/>
                        <w:numPr>
                          <w:ilvl w:val="0"/>
                          <w:numId w:val="32"/>
                        </w:numPr>
                        <w:spacing w:after="0"/>
                        <w:rPr>
                          <w:rFonts w:ascii="Times New Roman" w:hAnsi="Times New Roman" w:cs="Times New Roman"/>
                          <w:sz w:val="20"/>
                          <w:szCs w:val="20"/>
                        </w:rPr>
                      </w:pPr>
                      <w:r w:rsidRPr="00786570">
                        <w:rPr>
                          <w:rFonts w:ascii="Times New Roman" w:hAnsi="Times New Roman" w:cs="Times New Roman"/>
                          <w:sz w:val="20"/>
                          <w:szCs w:val="20"/>
                        </w:rPr>
                        <w:t>Vicinity Map</w:t>
                      </w:r>
                    </w:p>
                    <w:p w14:paraId="1D844270" w14:textId="3172E57B" w:rsidR="004742C6" w:rsidRPr="00786570" w:rsidRDefault="004742C6" w:rsidP="00786570">
                      <w:pPr>
                        <w:pStyle w:val="ListParagraph"/>
                        <w:numPr>
                          <w:ilvl w:val="0"/>
                          <w:numId w:val="32"/>
                        </w:numPr>
                        <w:spacing w:after="0"/>
                        <w:rPr>
                          <w:rFonts w:ascii="Times New Roman" w:hAnsi="Times New Roman" w:cs="Times New Roman"/>
                          <w:sz w:val="20"/>
                          <w:szCs w:val="20"/>
                        </w:rPr>
                      </w:pPr>
                      <w:r w:rsidRPr="00786570">
                        <w:rPr>
                          <w:rFonts w:ascii="Times New Roman" w:hAnsi="Times New Roman" w:cs="Times New Roman"/>
                          <w:sz w:val="20"/>
                          <w:szCs w:val="20"/>
                        </w:rPr>
                        <w:t>Preliminary Plan</w:t>
                      </w:r>
                    </w:p>
                    <w:p w14:paraId="182D811E" w14:textId="09A78399" w:rsidR="004742C6" w:rsidRDefault="004742C6" w:rsidP="00786570">
                      <w:pPr>
                        <w:pStyle w:val="ListParagraph"/>
                        <w:numPr>
                          <w:ilvl w:val="0"/>
                          <w:numId w:val="32"/>
                        </w:numPr>
                        <w:spacing w:after="0"/>
                        <w:rPr>
                          <w:rFonts w:ascii="Times New Roman" w:hAnsi="Times New Roman" w:cs="Times New Roman"/>
                          <w:sz w:val="20"/>
                          <w:szCs w:val="20"/>
                        </w:rPr>
                      </w:pPr>
                      <w:r w:rsidRPr="00786570">
                        <w:rPr>
                          <w:rFonts w:ascii="Times New Roman" w:hAnsi="Times New Roman" w:cs="Times New Roman"/>
                          <w:sz w:val="20"/>
                          <w:szCs w:val="20"/>
                        </w:rPr>
                        <w:t>Landscaping &amp; Amenities</w:t>
                      </w:r>
                    </w:p>
                    <w:p w14:paraId="31DCA55B" w14:textId="2AE24535" w:rsidR="00786570" w:rsidRPr="00786570" w:rsidRDefault="00786570" w:rsidP="00786570">
                      <w:pPr>
                        <w:pStyle w:val="ListParagraph"/>
                        <w:numPr>
                          <w:ilvl w:val="0"/>
                          <w:numId w:val="32"/>
                        </w:numPr>
                        <w:spacing w:after="0"/>
                        <w:rPr>
                          <w:rFonts w:ascii="Times New Roman" w:hAnsi="Times New Roman" w:cs="Times New Roman"/>
                          <w:sz w:val="20"/>
                          <w:szCs w:val="20"/>
                        </w:rPr>
                      </w:pPr>
                      <w:r>
                        <w:rPr>
                          <w:rFonts w:ascii="Times New Roman" w:hAnsi="Times New Roman" w:cs="Times New Roman"/>
                          <w:sz w:val="20"/>
                          <w:szCs w:val="20"/>
                        </w:rPr>
                        <w:t>Storm Facility to be Used as Open Space</w:t>
                      </w:r>
                    </w:p>
                    <w:p w14:paraId="4070AE9C" w14:textId="17D1E464" w:rsidR="004742C6" w:rsidRPr="00786570" w:rsidRDefault="004742C6" w:rsidP="00786570">
                      <w:pPr>
                        <w:pStyle w:val="ListParagraph"/>
                        <w:numPr>
                          <w:ilvl w:val="0"/>
                          <w:numId w:val="32"/>
                        </w:numPr>
                        <w:spacing w:after="0"/>
                        <w:rPr>
                          <w:rFonts w:ascii="Times New Roman" w:hAnsi="Times New Roman" w:cs="Times New Roman"/>
                          <w:sz w:val="20"/>
                          <w:szCs w:val="20"/>
                        </w:rPr>
                      </w:pPr>
                      <w:r w:rsidRPr="00786570">
                        <w:rPr>
                          <w:rFonts w:ascii="Times New Roman" w:hAnsi="Times New Roman" w:cs="Times New Roman"/>
                          <w:sz w:val="20"/>
                          <w:szCs w:val="20"/>
                        </w:rPr>
                        <w:t>Housing Product</w:t>
                      </w:r>
                    </w:p>
                    <w:p w14:paraId="428ADC59" w14:textId="77777777" w:rsidR="00E61C82" w:rsidRPr="007820DB" w:rsidRDefault="00E61C82" w:rsidP="005052B1">
                      <w:pPr>
                        <w:spacing w:after="0"/>
                        <w:rPr>
                          <w:rFonts w:ascii="Times New Roman" w:hAnsi="Times New Roman" w:cs="Times New Roman"/>
                          <w:sz w:val="20"/>
                          <w:szCs w:val="20"/>
                        </w:rPr>
                      </w:pPr>
                    </w:p>
                    <w:p w14:paraId="64340877" w14:textId="77777777" w:rsidR="003C6E21" w:rsidRPr="00EC7CE9" w:rsidRDefault="003C6E21" w:rsidP="00EC7CE9">
                      <w:pPr>
                        <w:tabs>
                          <w:tab w:val="left" w:pos="540"/>
                        </w:tabs>
                        <w:spacing w:after="0"/>
                        <w:rPr>
                          <w:rFonts w:ascii="Times New Roman" w:hAnsi="Times New Roman" w:cs="Times New Roman"/>
                          <w:sz w:val="20"/>
                          <w:szCs w:val="20"/>
                        </w:rPr>
                      </w:pPr>
                    </w:p>
                  </w:txbxContent>
                </v:textbox>
              </v:shape>
            </w:pict>
          </mc:Fallback>
        </mc:AlternateContent>
      </w:r>
    </w:p>
    <w:p w14:paraId="5BA00227" w14:textId="60BE1F9F" w:rsidR="00831047" w:rsidRPr="002C3C12" w:rsidRDefault="009E1C38" w:rsidP="00831047">
      <w:pPr>
        <w:rPr>
          <w:rFonts w:ascii="Times New Roman" w:eastAsia="Times New Roman" w:hAnsi="Times New Roman" w:cs="Times New Roman"/>
          <w:i/>
          <w:iCs/>
          <w:color w:val="515967"/>
          <w:sz w:val="20"/>
          <w:szCs w:val="20"/>
        </w:rPr>
      </w:pPr>
      <w:r>
        <w:rPr>
          <w:rFonts w:ascii="Times New Roman" w:hAnsi="Times New Roman" w:cs="Times New Roman"/>
          <w:b/>
          <w:sz w:val="24"/>
        </w:rPr>
        <w:br w:type="page"/>
      </w:r>
    </w:p>
    <w:p w14:paraId="6725DBE3" w14:textId="77777777" w:rsidR="00831047" w:rsidRPr="00831047" w:rsidRDefault="00831047" w:rsidP="00831047">
      <w:pPr>
        <w:pStyle w:val="ListParagraph"/>
        <w:numPr>
          <w:ilvl w:val="0"/>
          <w:numId w:val="31"/>
        </w:numPr>
        <w:shd w:val="clear" w:color="auto" w:fill="FFFFFF"/>
        <w:spacing w:before="100" w:beforeAutospacing="1" w:after="100" w:afterAutospacing="1" w:line="240" w:lineRule="auto"/>
        <w:jc w:val="both"/>
        <w:rPr>
          <w:rFonts w:ascii="Times New Roman" w:eastAsia="Times New Roman" w:hAnsi="Times New Roman" w:cs="Times New Roman"/>
          <w:color w:val="515967"/>
          <w:sz w:val="20"/>
          <w:szCs w:val="20"/>
        </w:rPr>
      </w:pPr>
      <w:r w:rsidRPr="00831047">
        <w:rPr>
          <w:rFonts w:ascii="Times New Roman" w:eastAsia="Times New Roman" w:hAnsi="Times New Roman" w:cs="Times New Roman"/>
          <w:i/>
          <w:iCs/>
          <w:color w:val="515967"/>
          <w:sz w:val="20"/>
          <w:szCs w:val="20"/>
        </w:rPr>
        <w:lastRenderedPageBreak/>
        <w:t>The size of the basin and adjacent landscaped area must be at least ten (10) percent of the required open space requirement.</w:t>
      </w:r>
    </w:p>
    <w:p w14:paraId="6374A7A9" w14:textId="2B9AA7D8" w:rsidR="00831047" w:rsidRPr="00831047" w:rsidRDefault="00831047" w:rsidP="00831047">
      <w:pPr>
        <w:pStyle w:val="ListParagraph"/>
        <w:numPr>
          <w:ilvl w:val="0"/>
          <w:numId w:val="31"/>
        </w:numPr>
        <w:shd w:val="clear" w:color="auto" w:fill="FFFFFF"/>
        <w:spacing w:before="100" w:beforeAutospacing="1" w:after="100" w:afterAutospacing="1" w:line="240" w:lineRule="auto"/>
        <w:jc w:val="both"/>
        <w:rPr>
          <w:rFonts w:ascii="Times New Roman" w:eastAsia="Times New Roman" w:hAnsi="Times New Roman" w:cs="Times New Roman"/>
          <w:color w:val="515967"/>
          <w:sz w:val="20"/>
          <w:szCs w:val="20"/>
        </w:rPr>
      </w:pPr>
      <w:r w:rsidRPr="00831047">
        <w:rPr>
          <w:rFonts w:ascii="Times New Roman" w:eastAsia="Times New Roman" w:hAnsi="Times New Roman" w:cs="Times New Roman"/>
          <w:i/>
          <w:iCs/>
          <w:color w:val="515967"/>
          <w:sz w:val="20"/>
          <w:szCs w:val="20"/>
        </w:rPr>
        <w:t>The landscaping treatments must be suitable for use by the residents of the project and include amenities as deemed appropriate.</w:t>
      </w:r>
    </w:p>
    <w:p w14:paraId="3B535FCE" w14:textId="2C6F84DB" w:rsidR="006A78BC" w:rsidRDefault="006A78BC" w:rsidP="00CD51AA">
      <w:pPr>
        <w:spacing w:after="0"/>
        <w:jc w:val="center"/>
        <w:rPr>
          <w:rFonts w:ascii="Times New Roman" w:hAnsi="Times New Roman" w:cs="Times New Roman"/>
          <w:b/>
          <w:color w:val="2F5496" w:themeColor="accent5" w:themeShade="BF"/>
        </w:rPr>
      </w:pPr>
    </w:p>
    <w:p w14:paraId="5882012E" w14:textId="77777777" w:rsidR="00831047" w:rsidRPr="00F43C3A" w:rsidRDefault="00831047" w:rsidP="00831047">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APPROVAL PROCESS</w:t>
      </w:r>
    </w:p>
    <w:p w14:paraId="0E74218C" w14:textId="77777777" w:rsidR="00831047" w:rsidRDefault="00831047" w:rsidP="00831047">
      <w:pPr>
        <w:spacing w:after="0"/>
        <w:jc w:val="both"/>
        <w:rPr>
          <w:rFonts w:ascii="Times New Roman" w:hAnsi="Times New Roman" w:cs="Times New Roman"/>
          <w:sz w:val="20"/>
          <w:szCs w:val="20"/>
        </w:rPr>
      </w:pPr>
    </w:p>
    <w:p w14:paraId="114FE46F" w14:textId="3E45E393" w:rsidR="009212EC" w:rsidRDefault="00831047" w:rsidP="00831047">
      <w:pPr>
        <w:spacing w:after="0"/>
        <w:jc w:val="both"/>
        <w:rPr>
          <w:rFonts w:ascii="Times New Roman" w:hAnsi="Times New Roman" w:cs="Times New Roman"/>
          <w:sz w:val="20"/>
          <w:szCs w:val="20"/>
        </w:rPr>
      </w:pPr>
      <w:r>
        <w:rPr>
          <w:rFonts w:ascii="Times New Roman" w:hAnsi="Times New Roman" w:cs="Times New Roman"/>
          <w:sz w:val="20"/>
          <w:szCs w:val="20"/>
        </w:rPr>
        <w:t>The applicant has submitted a complete application as outlined in Title 1</w:t>
      </w:r>
      <w:r w:rsidR="009212EC">
        <w:rPr>
          <w:rFonts w:ascii="Times New Roman" w:hAnsi="Times New Roman" w:cs="Times New Roman"/>
          <w:sz w:val="20"/>
          <w:szCs w:val="20"/>
        </w:rPr>
        <w:t>2</w:t>
      </w:r>
      <w:r>
        <w:rPr>
          <w:rFonts w:ascii="Times New Roman" w:hAnsi="Times New Roman" w:cs="Times New Roman"/>
          <w:sz w:val="20"/>
          <w:szCs w:val="20"/>
        </w:rPr>
        <w:t xml:space="preserve"> of Payson City Code. Nearby property owners have been sent courtesy notices and public </w:t>
      </w:r>
      <w:r w:rsidR="00786570">
        <w:rPr>
          <w:rFonts w:ascii="Times New Roman" w:hAnsi="Times New Roman" w:cs="Times New Roman"/>
          <w:sz w:val="20"/>
          <w:szCs w:val="20"/>
        </w:rPr>
        <w:t>notices</w:t>
      </w:r>
      <w:r>
        <w:rPr>
          <w:rFonts w:ascii="Times New Roman" w:hAnsi="Times New Roman" w:cs="Times New Roman"/>
          <w:sz w:val="20"/>
          <w:szCs w:val="20"/>
        </w:rPr>
        <w:t xml:space="preserve"> </w:t>
      </w:r>
      <w:r w:rsidR="00E946A2">
        <w:rPr>
          <w:rFonts w:ascii="Times New Roman" w:hAnsi="Times New Roman" w:cs="Times New Roman"/>
          <w:sz w:val="20"/>
          <w:szCs w:val="20"/>
        </w:rPr>
        <w:t>have</w:t>
      </w:r>
      <w:r>
        <w:rPr>
          <w:rFonts w:ascii="Times New Roman" w:hAnsi="Times New Roman" w:cs="Times New Roman"/>
          <w:sz w:val="20"/>
          <w:szCs w:val="20"/>
        </w:rPr>
        <w:t xml:space="preserve"> been posted in accordance with </w:t>
      </w:r>
      <w:r w:rsidR="009212EC">
        <w:rPr>
          <w:rFonts w:ascii="Times New Roman" w:hAnsi="Times New Roman" w:cs="Times New Roman"/>
          <w:sz w:val="20"/>
          <w:szCs w:val="20"/>
        </w:rPr>
        <w:t>the Utah</w:t>
      </w:r>
      <w:r>
        <w:rPr>
          <w:rFonts w:ascii="Times New Roman" w:hAnsi="Times New Roman" w:cs="Times New Roman"/>
          <w:sz w:val="20"/>
          <w:szCs w:val="20"/>
        </w:rPr>
        <w:t xml:space="preserve"> Code. As staff have reviewed this application, we have found no encumbrances that would prevent the applicant from </w:t>
      </w:r>
      <w:r w:rsidR="009212EC">
        <w:rPr>
          <w:rFonts w:ascii="Times New Roman" w:hAnsi="Times New Roman" w:cs="Times New Roman"/>
          <w:sz w:val="20"/>
          <w:szCs w:val="20"/>
        </w:rPr>
        <w:t>making the request for preliminary plan approval contingent upon city council approving an onsite storm water facility as part of the required open space within the RMF, Residential Multi-Family Zone</w:t>
      </w:r>
      <w:r>
        <w:rPr>
          <w:rFonts w:ascii="Times New Roman" w:hAnsi="Times New Roman" w:cs="Times New Roman"/>
          <w:sz w:val="20"/>
          <w:szCs w:val="20"/>
        </w:rPr>
        <w:t xml:space="preserve">. </w:t>
      </w:r>
    </w:p>
    <w:p w14:paraId="088F29D9" w14:textId="0E495560" w:rsidR="00CD51AA" w:rsidRDefault="00CD51AA" w:rsidP="00831047">
      <w:pPr>
        <w:spacing w:after="0"/>
        <w:jc w:val="both"/>
        <w:rPr>
          <w:rFonts w:ascii="Times New Roman" w:hAnsi="Times New Roman" w:cs="Times New Roman"/>
          <w:b/>
          <w:color w:val="2F5496" w:themeColor="accent5" w:themeShade="BF"/>
        </w:rPr>
      </w:pPr>
    </w:p>
    <w:p w14:paraId="77450C4C" w14:textId="77777777" w:rsidR="0080049C" w:rsidRDefault="00A80F9B" w:rsidP="001D52E0">
      <w:pPr>
        <w:spacing w:after="0"/>
        <w:jc w:val="both"/>
        <w:rPr>
          <w:rFonts w:ascii="Times New Roman" w:hAnsi="Times New Roman" w:cs="Times New Roman"/>
          <w:b/>
          <w:color w:val="2F5496" w:themeColor="accent5" w:themeShade="BF"/>
        </w:rPr>
      </w:pPr>
      <w:r>
        <w:rPr>
          <w:rFonts w:ascii="Times New Roman" w:hAnsi="Times New Roman" w:cs="Times New Roman"/>
          <w:b/>
          <w:color w:val="2F5496" w:themeColor="accent5" w:themeShade="BF"/>
        </w:rPr>
        <w:t>ANALYSIS</w:t>
      </w:r>
    </w:p>
    <w:p w14:paraId="4B54EF25" w14:textId="38C4ED38" w:rsidR="00786570" w:rsidRPr="003C758E" w:rsidRDefault="00786570" w:rsidP="00786570">
      <w:pPr>
        <w:spacing w:after="0"/>
        <w:jc w:val="both"/>
        <w:rPr>
          <w:rFonts w:ascii="Times New Roman" w:hAnsi="Times New Roman" w:cs="Times New Roman"/>
          <w:sz w:val="20"/>
          <w:szCs w:val="24"/>
        </w:rPr>
      </w:pPr>
      <w:r>
        <w:rPr>
          <w:rFonts w:ascii="Times New Roman" w:hAnsi="Times New Roman" w:cs="Times New Roman"/>
          <w:sz w:val="20"/>
          <w:szCs w:val="20"/>
        </w:rPr>
        <w:t>Staff have completed a review of the proposal and have deemed it ready for further review by the planning commission and city council so that a final administrative decision can be made. It should be noted that final approval for this request is an administrative action by the city council. This request, however, is contingent upon additional approval from the city council for storm water facilities to be used as open space (see details above).</w:t>
      </w:r>
    </w:p>
    <w:p w14:paraId="58D7E171" w14:textId="77777777" w:rsidR="00786570" w:rsidRDefault="00786570" w:rsidP="00AA0203">
      <w:pPr>
        <w:spacing w:after="0"/>
        <w:jc w:val="both"/>
        <w:rPr>
          <w:rFonts w:ascii="Times New Roman" w:hAnsi="Times New Roman" w:cs="Times New Roman"/>
          <w:b/>
          <w:color w:val="2F5496" w:themeColor="accent5" w:themeShade="BF"/>
        </w:rPr>
      </w:pPr>
    </w:p>
    <w:p w14:paraId="552F1795" w14:textId="1467453D" w:rsidR="00AA0203" w:rsidRPr="00754902" w:rsidRDefault="00AA0203" w:rsidP="00AA0203">
      <w:pPr>
        <w:spacing w:after="0"/>
        <w:jc w:val="both"/>
        <w:rPr>
          <w:rFonts w:ascii="Times New Roman" w:hAnsi="Times New Roman" w:cs="Times New Roman"/>
          <w:b/>
          <w:color w:val="2F5496" w:themeColor="accent5" w:themeShade="BF"/>
        </w:rPr>
      </w:pPr>
      <w:r w:rsidRPr="00754902">
        <w:rPr>
          <w:rFonts w:ascii="Times New Roman" w:hAnsi="Times New Roman" w:cs="Times New Roman"/>
          <w:b/>
          <w:color w:val="2F5496" w:themeColor="accent5" w:themeShade="BF"/>
        </w:rPr>
        <w:t>RECOMMENDATION</w:t>
      </w:r>
    </w:p>
    <w:p w14:paraId="0AA88945" w14:textId="3EB41751" w:rsidR="00A5489A" w:rsidRDefault="00AA0203" w:rsidP="00AA0203">
      <w:pPr>
        <w:spacing w:before="180" w:line="235" w:lineRule="exact"/>
        <w:textAlignment w:val="baseline"/>
        <w:rPr>
          <w:rFonts w:ascii="Times New Roman" w:eastAsia="Times New Roman" w:hAnsi="Times New Roman" w:cs="Times New Roman"/>
          <w:color w:val="000000"/>
          <w:sz w:val="20"/>
        </w:rPr>
      </w:pPr>
      <w:r w:rsidRPr="00A80F9B">
        <w:rPr>
          <w:rFonts w:ascii="Times New Roman" w:eastAsia="Times New Roman" w:hAnsi="Times New Roman" w:cs="Times New Roman"/>
          <w:color w:val="000000"/>
          <w:sz w:val="20"/>
        </w:rPr>
        <w:t xml:space="preserve">The applicant is seeking </w:t>
      </w:r>
      <w:r w:rsidR="00786570">
        <w:rPr>
          <w:rFonts w:ascii="Times New Roman" w:eastAsia="Times New Roman" w:hAnsi="Times New Roman" w:cs="Times New Roman"/>
          <w:color w:val="000000"/>
          <w:sz w:val="20"/>
        </w:rPr>
        <w:t>a recommendation for approval of the Hiatt Creek Plat B preliminary plan</w:t>
      </w:r>
      <w:r w:rsidRPr="00A80F9B">
        <w:rPr>
          <w:rFonts w:ascii="Times New Roman" w:eastAsia="Times New Roman" w:hAnsi="Times New Roman" w:cs="Times New Roman"/>
          <w:color w:val="000000"/>
          <w:sz w:val="20"/>
        </w:rPr>
        <w:t xml:space="preserve">. </w:t>
      </w:r>
      <w:r>
        <w:rPr>
          <w:rFonts w:ascii="Times New Roman" w:eastAsia="Times New Roman" w:hAnsi="Times New Roman" w:cs="Times New Roman"/>
          <w:color w:val="000000"/>
          <w:sz w:val="20"/>
        </w:rPr>
        <w:t>Following a public hearing to receive public</w:t>
      </w:r>
      <w:r w:rsidR="00786570">
        <w:rPr>
          <w:rFonts w:ascii="Times New Roman" w:eastAsia="Times New Roman" w:hAnsi="Times New Roman" w:cs="Times New Roman"/>
          <w:color w:val="000000"/>
          <w:sz w:val="20"/>
        </w:rPr>
        <w:t xml:space="preserve"> input</w:t>
      </w:r>
      <w:r>
        <w:rPr>
          <w:rFonts w:ascii="Times New Roman" w:eastAsia="Times New Roman" w:hAnsi="Times New Roman" w:cs="Times New Roman"/>
          <w:color w:val="000000"/>
          <w:sz w:val="20"/>
        </w:rPr>
        <w:t xml:space="preserve">, the planning commission </w:t>
      </w:r>
      <w:r w:rsidR="00786570">
        <w:rPr>
          <w:rFonts w:ascii="Times New Roman" w:eastAsia="Times New Roman" w:hAnsi="Times New Roman" w:cs="Times New Roman"/>
          <w:color w:val="000000"/>
          <w:sz w:val="20"/>
        </w:rPr>
        <w:t>shall provide a recommendation to the city council.</w:t>
      </w:r>
    </w:p>
    <w:p w14:paraId="7EA6E33F" w14:textId="13264F46" w:rsidR="00A5489A" w:rsidRDefault="00A5489A" w:rsidP="00A5489A">
      <w:pPr>
        <w:pStyle w:val="ListParagraph"/>
        <w:numPr>
          <w:ilvl w:val="0"/>
          <w:numId w:val="28"/>
        </w:numPr>
        <w:spacing w:before="180" w:line="235" w:lineRule="exact"/>
        <w:textAlignment w:val="baseline"/>
        <w:rPr>
          <w:rFonts w:ascii="Times New Roman" w:eastAsia="Times New Roman" w:hAnsi="Times New Roman" w:cs="Times New Roman"/>
          <w:color w:val="000000"/>
          <w:sz w:val="20"/>
        </w:rPr>
      </w:pPr>
      <w:r w:rsidRPr="00A5489A">
        <w:rPr>
          <w:rFonts w:ascii="Times New Roman" w:eastAsia="Times New Roman" w:hAnsi="Times New Roman" w:cs="Times New Roman"/>
          <w:b/>
          <w:color w:val="000000"/>
          <w:sz w:val="20"/>
          <w:u w:val="single"/>
        </w:rPr>
        <w:t>Staff Recommendation:</w:t>
      </w:r>
      <w:r>
        <w:rPr>
          <w:rFonts w:ascii="Times New Roman" w:eastAsia="Times New Roman" w:hAnsi="Times New Roman" w:cs="Times New Roman"/>
          <w:color w:val="000000"/>
          <w:sz w:val="20"/>
        </w:rPr>
        <w:t xml:space="preserve"> </w:t>
      </w:r>
      <w:r w:rsidR="00786570">
        <w:rPr>
          <w:rFonts w:ascii="Times New Roman" w:eastAsia="Times New Roman" w:hAnsi="Times New Roman" w:cs="Times New Roman"/>
          <w:color w:val="000000"/>
          <w:sz w:val="20"/>
        </w:rPr>
        <w:t>A positive recommendation for approval of the Hiatt Creek Plat B preliminary plan. This recommendation for approval is contingent upon the applicant addressing all redlines and further upon approval of the city council in granting the use of a storm water facility as part of the required open space.</w:t>
      </w:r>
    </w:p>
    <w:p w14:paraId="6368D727" w14:textId="50FF701E" w:rsidR="00A5489A" w:rsidRDefault="00A5489A" w:rsidP="00A5489A">
      <w:pPr>
        <w:pStyle w:val="ListParagraph"/>
        <w:numPr>
          <w:ilvl w:val="0"/>
          <w:numId w:val="28"/>
        </w:numPr>
        <w:spacing w:before="180" w:line="235"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If</w:t>
      </w:r>
      <w:r w:rsidR="00786570">
        <w:rPr>
          <w:rFonts w:ascii="Times New Roman" w:eastAsia="Times New Roman" w:hAnsi="Times New Roman" w:cs="Times New Roman"/>
          <w:color w:val="000000"/>
          <w:sz w:val="20"/>
        </w:rPr>
        <w:t xml:space="preserve"> it is determined by the planning commission to</w:t>
      </w:r>
      <w:r>
        <w:rPr>
          <w:rFonts w:ascii="Times New Roman" w:eastAsia="Times New Roman" w:hAnsi="Times New Roman" w:cs="Times New Roman"/>
          <w:color w:val="000000"/>
          <w:sz w:val="20"/>
        </w:rPr>
        <w:t xml:space="preserve"> not </w:t>
      </w:r>
      <w:r w:rsidR="00786570">
        <w:rPr>
          <w:rFonts w:ascii="Times New Roman" w:eastAsia="Times New Roman" w:hAnsi="Times New Roman" w:cs="Times New Roman"/>
          <w:color w:val="000000"/>
          <w:sz w:val="20"/>
        </w:rPr>
        <w:t xml:space="preserve">be </w:t>
      </w:r>
      <w:r w:rsidR="004F670B">
        <w:rPr>
          <w:rFonts w:ascii="Times New Roman" w:eastAsia="Times New Roman" w:hAnsi="Times New Roman" w:cs="Times New Roman"/>
          <w:color w:val="000000"/>
          <w:sz w:val="20"/>
        </w:rPr>
        <w:t>appropriate,</w:t>
      </w:r>
      <w:r>
        <w:rPr>
          <w:rFonts w:ascii="Times New Roman" w:eastAsia="Times New Roman" w:hAnsi="Times New Roman" w:cs="Times New Roman"/>
          <w:color w:val="000000"/>
          <w:sz w:val="20"/>
        </w:rPr>
        <w:t xml:space="preserve"> the</w:t>
      </w:r>
      <w:r w:rsidR="00786570">
        <w:rPr>
          <w:rFonts w:ascii="Times New Roman" w:eastAsia="Times New Roman" w:hAnsi="Times New Roman" w:cs="Times New Roman"/>
          <w:color w:val="000000"/>
          <w:sz w:val="20"/>
        </w:rPr>
        <w:t>n</w:t>
      </w:r>
      <w:r>
        <w:rPr>
          <w:rFonts w:ascii="Times New Roman" w:eastAsia="Times New Roman" w:hAnsi="Times New Roman" w:cs="Times New Roman"/>
          <w:color w:val="000000"/>
          <w:sz w:val="20"/>
        </w:rPr>
        <w:t xml:space="preserve"> commission should forward a negative recommendation to </w:t>
      </w:r>
      <w:r w:rsidR="00786570">
        <w:rPr>
          <w:rFonts w:ascii="Times New Roman" w:eastAsia="Times New Roman" w:hAnsi="Times New Roman" w:cs="Times New Roman"/>
          <w:color w:val="000000"/>
          <w:sz w:val="20"/>
        </w:rPr>
        <w:t>the c</w:t>
      </w:r>
      <w:r>
        <w:rPr>
          <w:rFonts w:ascii="Times New Roman" w:eastAsia="Times New Roman" w:hAnsi="Times New Roman" w:cs="Times New Roman"/>
          <w:color w:val="000000"/>
          <w:sz w:val="20"/>
        </w:rPr>
        <w:t xml:space="preserve">ity </w:t>
      </w:r>
      <w:r w:rsidR="00786570">
        <w:rPr>
          <w:rFonts w:ascii="Times New Roman" w:eastAsia="Times New Roman" w:hAnsi="Times New Roman" w:cs="Times New Roman"/>
          <w:color w:val="000000"/>
          <w:sz w:val="20"/>
        </w:rPr>
        <w:t>c</w:t>
      </w:r>
      <w:r>
        <w:rPr>
          <w:rFonts w:ascii="Times New Roman" w:eastAsia="Times New Roman" w:hAnsi="Times New Roman" w:cs="Times New Roman"/>
          <w:color w:val="000000"/>
          <w:sz w:val="20"/>
        </w:rPr>
        <w:t>ouncil</w:t>
      </w:r>
      <w:r w:rsidR="00786570">
        <w:rPr>
          <w:rFonts w:ascii="Times New Roman" w:eastAsia="Times New Roman" w:hAnsi="Times New Roman" w:cs="Times New Roman"/>
          <w:color w:val="000000"/>
          <w:sz w:val="20"/>
        </w:rPr>
        <w:t>.</w:t>
      </w:r>
      <w:r w:rsidR="00AA0203" w:rsidRPr="00A5489A">
        <w:rPr>
          <w:rFonts w:ascii="Times New Roman" w:eastAsia="Times New Roman" w:hAnsi="Times New Roman" w:cs="Times New Roman"/>
          <w:color w:val="000000"/>
          <w:sz w:val="20"/>
        </w:rPr>
        <w:t xml:space="preserve"> </w:t>
      </w:r>
    </w:p>
    <w:p w14:paraId="4812E954" w14:textId="159AA8B7" w:rsidR="00AA0203" w:rsidRPr="00A5489A" w:rsidRDefault="00AA0203" w:rsidP="00A5489A">
      <w:pPr>
        <w:pStyle w:val="ListParagraph"/>
        <w:numPr>
          <w:ilvl w:val="0"/>
          <w:numId w:val="28"/>
        </w:numPr>
        <w:spacing w:before="180" w:line="235" w:lineRule="exact"/>
        <w:textAlignment w:val="baseline"/>
        <w:rPr>
          <w:rFonts w:ascii="Times New Roman" w:eastAsia="Times New Roman" w:hAnsi="Times New Roman" w:cs="Times New Roman"/>
          <w:color w:val="000000"/>
          <w:sz w:val="20"/>
        </w:rPr>
      </w:pPr>
      <w:r w:rsidRPr="00A5489A">
        <w:rPr>
          <w:rFonts w:ascii="Times New Roman" w:eastAsia="Times New Roman" w:hAnsi="Times New Roman" w:cs="Times New Roman"/>
          <w:color w:val="000000"/>
          <w:sz w:val="20"/>
        </w:rPr>
        <w:t>Alternatively, the commission may choose to remand this item back to staff for further review.</w:t>
      </w:r>
      <w:r w:rsidR="00786570">
        <w:rPr>
          <w:rFonts w:ascii="Times New Roman" w:eastAsia="Times New Roman" w:hAnsi="Times New Roman" w:cs="Times New Roman"/>
          <w:color w:val="000000"/>
          <w:sz w:val="20"/>
        </w:rPr>
        <w:t xml:space="preserve"> This should be done with clear direction to staff and the applicant on what </w:t>
      </w:r>
      <w:r w:rsidR="004F670B">
        <w:rPr>
          <w:rFonts w:ascii="Times New Roman" w:eastAsia="Times New Roman" w:hAnsi="Times New Roman" w:cs="Times New Roman"/>
          <w:color w:val="000000"/>
          <w:sz w:val="20"/>
        </w:rPr>
        <w:t>is incomplete or inaccurate.</w:t>
      </w:r>
    </w:p>
    <w:p w14:paraId="188E2684" w14:textId="77777777" w:rsidR="00A80F9B" w:rsidRPr="00A80F9B" w:rsidRDefault="00AA0203" w:rsidP="00994456">
      <w:pPr>
        <w:spacing w:before="180" w:line="235" w:lineRule="exact"/>
        <w:textAlignment w:val="baseline"/>
        <w:rPr>
          <w:rFonts w:ascii="Times New Roman" w:hAnsi="Times New Roman" w:cs="Times New Roman"/>
          <w:sz w:val="20"/>
          <w:szCs w:val="20"/>
        </w:rPr>
      </w:pPr>
      <w:r>
        <w:rPr>
          <w:rFonts w:ascii="Times New Roman" w:eastAsia="Times New Roman" w:hAnsi="Times New Roman" w:cs="Times New Roman"/>
          <w:color w:val="000000"/>
          <w:sz w:val="20"/>
        </w:rPr>
        <w:t>Any motion of the planning commission should include findings that indicate reasonable conclusions for the recommendation that will be forwarded to the city c</w:t>
      </w:r>
      <w:r w:rsidR="00994456">
        <w:rPr>
          <w:rFonts w:ascii="Times New Roman" w:eastAsia="Times New Roman" w:hAnsi="Times New Roman" w:cs="Times New Roman"/>
          <w:color w:val="000000"/>
          <w:sz w:val="20"/>
        </w:rPr>
        <w:t>ouncil.</w:t>
      </w:r>
    </w:p>
    <w:sectPr w:rsidR="00A80F9B" w:rsidRPr="00A80F9B">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2F7D2" w14:textId="77777777" w:rsidR="00FD4026" w:rsidRDefault="00FD4026" w:rsidP="003F335A">
      <w:pPr>
        <w:spacing w:after="0" w:line="240" w:lineRule="auto"/>
      </w:pPr>
      <w:r>
        <w:separator/>
      </w:r>
    </w:p>
  </w:endnote>
  <w:endnote w:type="continuationSeparator" w:id="0">
    <w:p w14:paraId="3D447030" w14:textId="77777777" w:rsidR="00FD4026" w:rsidRDefault="00FD4026" w:rsidP="003F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0F6A1" w14:textId="77777777" w:rsidR="003F335A" w:rsidRDefault="003F33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F6653" w14:textId="77777777" w:rsidR="00FD4026" w:rsidRDefault="00FD4026" w:rsidP="003F335A">
      <w:pPr>
        <w:spacing w:after="0" w:line="240" w:lineRule="auto"/>
      </w:pPr>
      <w:r>
        <w:separator/>
      </w:r>
    </w:p>
  </w:footnote>
  <w:footnote w:type="continuationSeparator" w:id="0">
    <w:p w14:paraId="2899DA3B" w14:textId="77777777" w:rsidR="00FD4026" w:rsidRDefault="00FD4026" w:rsidP="003F33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F4377"/>
    <w:multiLevelType w:val="hybridMultilevel"/>
    <w:tmpl w:val="BDE47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600624"/>
    <w:multiLevelType w:val="hybridMultilevel"/>
    <w:tmpl w:val="831E788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15:restartNumberingAfterBreak="0">
    <w:nsid w:val="088040EE"/>
    <w:multiLevelType w:val="hybridMultilevel"/>
    <w:tmpl w:val="76844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245515"/>
    <w:multiLevelType w:val="hybridMultilevel"/>
    <w:tmpl w:val="765C3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FB6C22"/>
    <w:multiLevelType w:val="hybridMultilevel"/>
    <w:tmpl w:val="C7023410"/>
    <w:lvl w:ilvl="0" w:tplc="D3EE0568">
      <w:start w:val="1"/>
      <w:numFmt w:val="decimal"/>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83D0C60"/>
    <w:multiLevelType w:val="hybridMultilevel"/>
    <w:tmpl w:val="96282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F7798E"/>
    <w:multiLevelType w:val="hybridMultilevel"/>
    <w:tmpl w:val="9F28640E"/>
    <w:lvl w:ilvl="0" w:tplc="E50A5650">
      <w:start w:val="3"/>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B3F4440"/>
    <w:multiLevelType w:val="hybridMultilevel"/>
    <w:tmpl w:val="72244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F91FE8"/>
    <w:multiLevelType w:val="hybridMultilevel"/>
    <w:tmpl w:val="4C2CA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F45B38"/>
    <w:multiLevelType w:val="hybridMultilevel"/>
    <w:tmpl w:val="54AE1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152F93"/>
    <w:multiLevelType w:val="multilevel"/>
    <w:tmpl w:val="CBA05A88"/>
    <w:lvl w:ilvl="0">
      <w:start w:val="1"/>
      <w:numFmt w:val="decimal"/>
      <w:lvlText w:val="%1."/>
      <w:lvlJc w:val="left"/>
      <w:pPr>
        <w:tabs>
          <w:tab w:val="num" w:pos="1440"/>
        </w:tabs>
        <w:ind w:left="1440" w:hanging="360"/>
      </w:p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11" w15:restartNumberingAfterBreak="0">
    <w:nsid w:val="446A4CF4"/>
    <w:multiLevelType w:val="hybridMultilevel"/>
    <w:tmpl w:val="105C191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5A4F4E"/>
    <w:multiLevelType w:val="hybridMultilevel"/>
    <w:tmpl w:val="4B28997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71E08F9"/>
    <w:multiLevelType w:val="multilevel"/>
    <w:tmpl w:val="CBA05A88"/>
    <w:lvl w:ilvl="0">
      <w:start w:val="1"/>
      <w:numFmt w:val="decimal"/>
      <w:lvlText w:val="%1."/>
      <w:lvlJc w:val="left"/>
      <w:pPr>
        <w:tabs>
          <w:tab w:val="num" w:pos="1440"/>
        </w:tabs>
        <w:ind w:left="1440" w:hanging="360"/>
      </w:p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14" w15:restartNumberingAfterBreak="0">
    <w:nsid w:val="4B000843"/>
    <w:multiLevelType w:val="hybridMultilevel"/>
    <w:tmpl w:val="3EA21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544622"/>
    <w:multiLevelType w:val="hybridMultilevel"/>
    <w:tmpl w:val="21EA7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926EE1"/>
    <w:multiLevelType w:val="hybridMultilevel"/>
    <w:tmpl w:val="E00E2C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CF2645"/>
    <w:multiLevelType w:val="hybridMultilevel"/>
    <w:tmpl w:val="E0B07534"/>
    <w:lvl w:ilvl="0" w:tplc="04090001">
      <w:start w:val="1"/>
      <w:numFmt w:val="bullet"/>
      <w:lvlText w:val=""/>
      <w:lvlJc w:val="left"/>
      <w:pPr>
        <w:ind w:left="1800" w:hanging="360"/>
      </w:pPr>
      <w:rPr>
        <w:rFonts w:ascii="Symbol" w:hAnsi="Symbol" w:hint="default"/>
      </w:rPr>
    </w:lvl>
    <w:lvl w:ilvl="1" w:tplc="04090005">
      <w:start w:val="1"/>
      <w:numFmt w:val="bullet"/>
      <w:lvlText w:val=""/>
      <w:lvlJc w:val="left"/>
      <w:pPr>
        <w:ind w:left="2520" w:hanging="360"/>
      </w:pPr>
      <w:rPr>
        <w:rFonts w:ascii="Wingdings" w:hAnsi="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4F2A4484"/>
    <w:multiLevelType w:val="hybridMultilevel"/>
    <w:tmpl w:val="938E3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1A202A"/>
    <w:multiLevelType w:val="hybridMultilevel"/>
    <w:tmpl w:val="29088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5E7ACC"/>
    <w:multiLevelType w:val="hybridMultilevel"/>
    <w:tmpl w:val="01B014DA"/>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40766B7"/>
    <w:multiLevelType w:val="hybridMultilevel"/>
    <w:tmpl w:val="9D8CA164"/>
    <w:lvl w:ilvl="0" w:tplc="04090003">
      <w:start w:val="1"/>
      <w:numFmt w:val="bullet"/>
      <w:lvlText w:val="o"/>
      <w:lvlJc w:val="left"/>
      <w:pPr>
        <w:ind w:left="540" w:hanging="360"/>
      </w:pPr>
      <w:rPr>
        <w:rFonts w:ascii="Courier New" w:hAnsi="Courier New" w:cs="Courier New"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2" w15:restartNumberingAfterBreak="0">
    <w:nsid w:val="57B0503A"/>
    <w:multiLevelType w:val="hybridMultilevel"/>
    <w:tmpl w:val="27844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7639E9"/>
    <w:multiLevelType w:val="hybridMultilevel"/>
    <w:tmpl w:val="D6CE1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650F7D"/>
    <w:multiLevelType w:val="hybridMultilevel"/>
    <w:tmpl w:val="D4EAB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A817F7"/>
    <w:multiLevelType w:val="hybridMultilevel"/>
    <w:tmpl w:val="CECAD96C"/>
    <w:lvl w:ilvl="0" w:tplc="1BB2E6A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6EC2F62"/>
    <w:multiLevelType w:val="hybridMultilevel"/>
    <w:tmpl w:val="FDBA5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B9673E"/>
    <w:multiLevelType w:val="multilevel"/>
    <w:tmpl w:val="FFC61028"/>
    <w:lvl w:ilvl="0">
      <w:numFmt w:val="bullet"/>
      <w:lvlText w:val="·"/>
      <w:lvlJc w:val="left"/>
      <w:pPr>
        <w:tabs>
          <w:tab w:val="left" w:pos="360"/>
        </w:tabs>
      </w:pPr>
      <w:rPr>
        <w:rFonts w:ascii="Symbol" w:eastAsia="Symbol" w:hAnsi="Symbo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3DE5D65"/>
    <w:multiLevelType w:val="hybridMultilevel"/>
    <w:tmpl w:val="5F9EA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2B1917"/>
    <w:multiLevelType w:val="hybridMultilevel"/>
    <w:tmpl w:val="92A68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4C0C08"/>
    <w:multiLevelType w:val="hybridMultilevel"/>
    <w:tmpl w:val="75689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6373E7"/>
    <w:multiLevelType w:val="hybridMultilevel"/>
    <w:tmpl w:val="756E5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4666848">
    <w:abstractNumId w:val="15"/>
  </w:num>
  <w:num w:numId="2" w16cid:durableId="1121150114">
    <w:abstractNumId w:val="1"/>
  </w:num>
  <w:num w:numId="3" w16cid:durableId="1792821912">
    <w:abstractNumId w:val="4"/>
  </w:num>
  <w:num w:numId="4" w16cid:durableId="2116093498">
    <w:abstractNumId w:val="30"/>
  </w:num>
  <w:num w:numId="5" w16cid:durableId="1098478824">
    <w:abstractNumId w:val="21"/>
  </w:num>
  <w:num w:numId="6" w16cid:durableId="70154307">
    <w:abstractNumId w:val="7"/>
  </w:num>
  <w:num w:numId="7" w16cid:durableId="934940089">
    <w:abstractNumId w:val="19"/>
  </w:num>
  <w:num w:numId="8" w16cid:durableId="2002081643">
    <w:abstractNumId w:val="31"/>
  </w:num>
  <w:num w:numId="9" w16cid:durableId="283999015">
    <w:abstractNumId w:val="9"/>
  </w:num>
  <w:num w:numId="10" w16cid:durableId="2025083450">
    <w:abstractNumId w:val="0"/>
  </w:num>
  <w:num w:numId="11" w16cid:durableId="947128120">
    <w:abstractNumId w:val="18"/>
  </w:num>
  <w:num w:numId="12" w16cid:durableId="1888029435">
    <w:abstractNumId w:val="8"/>
  </w:num>
  <w:num w:numId="13" w16cid:durableId="913394646">
    <w:abstractNumId w:val="25"/>
  </w:num>
  <w:num w:numId="14" w16cid:durableId="1960144528">
    <w:abstractNumId w:val="2"/>
  </w:num>
  <w:num w:numId="15" w16cid:durableId="1498881193">
    <w:abstractNumId w:val="11"/>
  </w:num>
  <w:num w:numId="16" w16cid:durableId="67776594">
    <w:abstractNumId w:val="5"/>
  </w:num>
  <w:num w:numId="17" w16cid:durableId="2069450230">
    <w:abstractNumId w:val="14"/>
  </w:num>
  <w:num w:numId="18" w16cid:durableId="1723139294">
    <w:abstractNumId w:val="16"/>
  </w:num>
  <w:num w:numId="19" w16cid:durableId="1860006931">
    <w:abstractNumId w:val="3"/>
  </w:num>
  <w:num w:numId="20" w16cid:durableId="135074390">
    <w:abstractNumId w:val="26"/>
  </w:num>
  <w:num w:numId="21" w16cid:durableId="35349660">
    <w:abstractNumId w:val="22"/>
  </w:num>
  <w:num w:numId="22" w16cid:durableId="2103337833">
    <w:abstractNumId w:val="20"/>
  </w:num>
  <w:num w:numId="23" w16cid:durableId="2089381660">
    <w:abstractNumId w:val="12"/>
  </w:num>
  <w:num w:numId="24" w16cid:durableId="107241821">
    <w:abstractNumId w:val="17"/>
  </w:num>
  <w:num w:numId="25" w16cid:durableId="1602295298">
    <w:abstractNumId w:val="29"/>
  </w:num>
  <w:num w:numId="26" w16cid:durableId="2109353795">
    <w:abstractNumId w:val="24"/>
  </w:num>
  <w:num w:numId="27" w16cid:durableId="477768100">
    <w:abstractNumId w:val="27"/>
  </w:num>
  <w:num w:numId="28" w16cid:durableId="1240945173">
    <w:abstractNumId w:val="28"/>
  </w:num>
  <w:num w:numId="29" w16cid:durableId="1992295173">
    <w:abstractNumId w:val="10"/>
  </w:num>
  <w:num w:numId="30" w16cid:durableId="1694530038">
    <w:abstractNumId w:val="13"/>
  </w:num>
  <w:num w:numId="31" w16cid:durableId="227350772">
    <w:abstractNumId w:val="6"/>
  </w:num>
  <w:num w:numId="32" w16cid:durableId="186674676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C24"/>
    <w:rsid w:val="000040FF"/>
    <w:rsid w:val="000229B5"/>
    <w:rsid w:val="00027B19"/>
    <w:rsid w:val="00033C08"/>
    <w:rsid w:val="00035F89"/>
    <w:rsid w:val="00043A05"/>
    <w:rsid w:val="00050857"/>
    <w:rsid w:val="00057490"/>
    <w:rsid w:val="00062D9C"/>
    <w:rsid w:val="00082880"/>
    <w:rsid w:val="00087433"/>
    <w:rsid w:val="0009127C"/>
    <w:rsid w:val="000949CD"/>
    <w:rsid w:val="0009508D"/>
    <w:rsid w:val="000A6090"/>
    <w:rsid w:val="000C3A8C"/>
    <w:rsid w:val="000D2504"/>
    <w:rsid w:val="000D53D2"/>
    <w:rsid w:val="00111718"/>
    <w:rsid w:val="0011244A"/>
    <w:rsid w:val="00127CA9"/>
    <w:rsid w:val="00132C25"/>
    <w:rsid w:val="00136876"/>
    <w:rsid w:val="0014353B"/>
    <w:rsid w:val="00145D9D"/>
    <w:rsid w:val="00162B99"/>
    <w:rsid w:val="00187BCF"/>
    <w:rsid w:val="001B5C8E"/>
    <w:rsid w:val="001D52E0"/>
    <w:rsid w:val="00202538"/>
    <w:rsid w:val="00204982"/>
    <w:rsid w:val="0023102D"/>
    <w:rsid w:val="002316CF"/>
    <w:rsid w:val="00245157"/>
    <w:rsid w:val="00265610"/>
    <w:rsid w:val="00270E3D"/>
    <w:rsid w:val="00284D8C"/>
    <w:rsid w:val="002C3C12"/>
    <w:rsid w:val="003104A6"/>
    <w:rsid w:val="00334212"/>
    <w:rsid w:val="0033673B"/>
    <w:rsid w:val="0034254B"/>
    <w:rsid w:val="00345544"/>
    <w:rsid w:val="00382021"/>
    <w:rsid w:val="003B7E99"/>
    <w:rsid w:val="003C6E21"/>
    <w:rsid w:val="003C758E"/>
    <w:rsid w:val="003D0657"/>
    <w:rsid w:val="003F335A"/>
    <w:rsid w:val="00406937"/>
    <w:rsid w:val="00415240"/>
    <w:rsid w:val="004164B8"/>
    <w:rsid w:val="004371E5"/>
    <w:rsid w:val="004742C6"/>
    <w:rsid w:val="004923FA"/>
    <w:rsid w:val="0049330F"/>
    <w:rsid w:val="004A1978"/>
    <w:rsid w:val="004B08CA"/>
    <w:rsid w:val="004D2D6C"/>
    <w:rsid w:val="004F670B"/>
    <w:rsid w:val="00501874"/>
    <w:rsid w:val="005052B1"/>
    <w:rsid w:val="00511ABC"/>
    <w:rsid w:val="005252EE"/>
    <w:rsid w:val="005B2545"/>
    <w:rsid w:val="005B4567"/>
    <w:rsid w:val="005E111D"/>
    <w:rsid w:val="0061042A"/>
    <w:rsid w:val="00646DFD"/>
    <w:rsid w:val="00652EC6"/>
    <w:rsid w:val="00660733"/>
    <w:rsid w:val="00665769"/>
    <w:rsid w:val="00680BCD"/>
    <w:rsid w:val="006A1E76"/>
    <w:rsid w:val="006A78BC"/>
    <w:rsid w:val="006B2B51"/>
    <w:rsid w:val="006C198F"/>
    <w:rsid w:val="006C2FB5"/>
    <w:rsid w:val="006C5B21"/>
    <w:rsid w:val="006D5C24"/>
    <w:rsid w:val="006F29C9"/>
    <w:rsid w:val="0070112C"/>
    <w:rsid w:val="007121E9"/>
    <w:rsid w:val="007166F6"/>
    <w:rsid w:val="00721621"/>
    <w:rsid w:val="00742CEB"/>
    <w:rsid w:val="0074539E"/>
    <w:rsid w:val="00746102"/>
    <w:rsid w:val="007516AF"/>
    <w:rsid w:val="00754902"/>
    <w:rsid w:val="007808F2"/>
    <w:rsid w:val="007820DB"/>
    <w:rsid w:val="00786570"/>
    <w:rsid w:val="007A0101"/>
    <w:rsid w:val="007A292B"/>
    <w:rsid w:val="007A35B1"/>
    <w:rsid w:val="007B1523"/>
    <w:rsid w:val="007E01DC"/>
    <w:rsid w:val="007F5CFC"/>
    <w:rsid w:val="0080049C"/>
    <w:rsid w:val="008106BA"/>
    <w:rsid w:val="00821FAE"/>
    <w:rsid w:val="00823983"/>
    <w:rsid w:val="00826633"/>
    <w:rsid w:val="0083076D"/>
    <w:rsid w:val="00831047"/>
    <w:rsid w:val="008401DD"/>
    <w:rsid w:val="00862859"/>
    <w:rsid w:val="00863AE1"/>
    <w:rsid w:val="00876813"/>
    <w:rsid w:val="00890027"/>
    <w:rsid w:val="00897074"/>
    <w:rsid w:val="008A77E8"/>
    <w:rsid w:val="008B0CF7"/>
    <w:rsid w:val="008D2388"/>
    <w:rsid w:val="008E2036"/>
    <w:rsid w:val="00906EBC"/>
    <w:rsid w:val="009212EC"/>
    <w:rsid w:val="009455BE"/>
    <w:rsid w:val="009524CB"/>
    <w:rsid w:val="00964C62"/>
    <w:rsid w:val="009765CC"/>
    <w:rsid w:val="00993F07"/>
    <w:rsid w:val="00994456"/>
    <w:rsid w:val="009A2011"/>
    <w:rsid w:val="009A2D3A"/>
    <w:rsid w:val="009A4256"/>
    <w:rsid w:val="009A7AC9"/>
    <w:rsid w:val="009B4FC9"/>
    <w:rsid w:val="009B78F9"/>
    <w:rsid w:val="009E0D3F"/>
    <w:rsid w:val="009E176C"/>
    <w:rsid w:val="009E1C38"/>
    <w:rsid w:val="009F0713"/>
    <w:rsid w:val="00A109BA"/>
    <w:rsid w:val="00A16646"/>
    <w:rsid w:val="00A4384C"/>
    <w:rsid w:val="00A51314"/>
    <w:rsid w:val="00A5489A"/>
    <w:rsid w:val="00A612B7"/>
    <w:rsid w:val="00A656B3"/>
    <w:rsid w:val="00A6767D"/>
    <w:rsid w:val="00A80F9B"/>
    <w:rsid w:val="00AA0203"/>
    <w:rsid w:val="00AC1DED"/>
    <w:rsid w:val="00AD2CE4"/>
    <w:rsid w:val="00AE1277"/>
    <w:rsid w:val="00AF52B6"/>
    <w:rsid w:val="00B05B3F"/>
    <w:rsid w:val="00B2508E"/>
    <w:rsid w:val="00B73B1E"/>
    <w:rsid w:val="00B74CAB"/>
    <w:rsid w:val="00B81B2E"/>
    <w:rsid w:val="00B8724A"/>
    <w:rsid w:val="00BB2CD3"/>
    <w:rsid w:val="00BC1299"/>
    <w:rsid w:val="00BC772C"/>
    <w:rsid w:val="00BD4B9D"/>
    <w:rsid w:val="00BD4EE0"/>
    <w:rsid w:val="00BD5F3E"/>
    <w:rsid w:val="00BE2DA9"/>
    <w:rsid w:val="00C021D0"/>
    <w:rsid w:val="00C14DE7"/>
    <w:rsid w:val="00C402C0"/>
    <w:rsid w:val="00C52F67"/>
    <w:rsid w:val="00C644D8"/>
    <w:rsid w:val="00C65859"/>
    <w:rsid w:val="00C83634"/>
    <w:rsid w:val="00C90ED9"/>
    <w:rsid w:val="00C93C76"/>
    <w:rsid w:val="00C942DA"/>
    <w:rsid w:val="00CA3DC7"/>
    <w:rsid w:val="00CA5566"/>
    <w:rsid w:val="00CA6EA4"/>
    <w:rsid w:val="00CC38CE"/>
    <w:rsid w:val="00CD51AA"/>
    <w:rsid w:val="00CF100A"/>
    <w:rsid w:val="00D00163"/>
    <w:rsid w:val="00D00947"/>
    <w:rsid w:val="00D04C60"/>
    <w:rsid w:val="00D13CB3"/>
    <w:rsid w:val="00D17D42"/>
    <w:rsid w:val="00D25AA7"/>
    <w:rsid w:val="00D435A3"/>
    <w:rsid w:val="00D460DC"/>
    <w:rsid w:val="00DC0894"/>
    <w:rsid w:val="00DC7A30"/>
    <w:rsid w:val="00DE4B26"/>
    <w:rsid w:val="00DE63D9"/>
    <w:rsid w:val="00DF4561"/>
    <w:rsid w:val="00E02E4F"/>
    <w:rsid w:val="00E15403"/>
    <w:rsid w:val="00E2504B"/>
    <w:rsid w:val="00E2579E"/>
    <w:rsid w:val="00E315CB"/>
    <w:rsid w:val="00E4447B"/>
    <w:rsid w:val="00E61C82"/>
    <w:rsid w:val="00E9063D"/>
    <w:rsid w:val="00E946A2"/>
    <w:rsid w:val="00EA6A73"/>
    <w:rsid w:val="00EA6C73"/>
    <w:rsid w:val="00EB506A"/>
    <w:rsid w:val="00EB54DF"/>
    <w:rsid w:val="00EB67F0"/>
    <w:rsid w:val="00EC7CE9"/>
    <w:rsid w:val="00EE25DA"/>
    <w:rsid w:val="00EF1E12"/>
    <w:rsid w:val="00EF4D6A"/>
    <w:rsid w:val="00F04D8A"/>
    <w:rsid w:val="00F240C5"/>
    <w:rsid w:val="00F24536"/>
    <w:rsid w:val="00F43C3A"/>
    <w:rsid w:val="00F55333"/>
    <w:rsid w:val="00F56AAE"/>
    <w:rsid w:val="00F630A6"/>
    <w:rsid w:val="00F92973"/>
    <w:rsid w:val="00F9497B"/>
    <w:rsid w:val="00F97399"/>
    <w:rsid w:val="00FA05EB"/>
    <w:rsid w:val="00FC72B2"/>
    <w:rsid w:val="00FD4026"/>
    <w:rsid w:val="00FE3310"/>
    <w:rsid w:val="00FF3865"/>
    <w:rsid w:val="00FF39D8"/>
    <w:rsid w:val="00FF4D68"/>
    <w:rsid w:val="00FF7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7C093"/>
  <w15:chartTrackingRefBased/>
  <w15:docId w15:val="{93A1084F-9FB6-4165-9993-BC71E04B9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33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35A"/>
  </w:style>
  <w:style w:type="paragraph" w:styleId="Footer">
    <w:name w:val="footer"/>
    <w:basedOn w:val="Normal"/>
    <w:link w:val="FooterChar"/>
    <w:uiPriority w:val="99"/>
    <w:unhideWhenUsed/>
    <w:rsid w:val="003F33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35A"/>
  </w:style>
  <w:style w:type="paragraph" w:styleId="ListParagraph">
    <w:name w:val="List Paragraph"/>
    <w:basedOn w:val="Normal"/>
    <w:uiPriority w:val="34"/>
    <w:qFormat/>
    <w:rsid w:val="00E61C82"/>
    <w:pPr>
      <w:ind w:left="720"/>
      <w:contextualSpacing/>
    </w:pPr>
  </w:style>
  <w:style w:type="paragraph" w:styleId="BalloonText">
    <w:name w:val="Balloon Text"/>
    <w:basedOn w:val="Normal"/>
    <w:link w:val="BalloonTextChar"/>
    <w:uiPriority w:val="99"/>
    <w:semiHidden/>
    <w:unhideWhenUsed/>
    <w:rsid w:val="003342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42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1074176">
      <w:bodyDiv w:val="1"/>
      <w:marLeft w:val="0"/>
      <w:marRight w:val="0"/>
      <w:marTop w:val="0"/>
      <w:marBottom w:val="0"/>
      <w:divBdr>
        <w:top w:val="none" w:sz="0" w:space="0" w:color="auto"/>
        <w:left w:val="none" w:sz="0" w:space="0" w:color="auto"/>
        <w:bottom w:val="none" w:sz="0" w:space="0" w:color="auto"/>
        <w:right w:val="none" w:sz="0" w:space="0" w:color="auto"/>
      </w:divBdr>
      <w:divsChild>
        <w:div w:id="447702829">
          <w:marLeft w:val="0"/>
          <w:marRight w:val="0"/>
          <w:marTop w:val="0"/>
          <w:marBottom w:val="0"/>
          <w:divBdr>
            <w:top w:val="none" w:sz="0" w:space="0" w:color="auto"/>
            <w:left w:val="none" w:sz="0" w:space="0" w:color="auto"/>
            <w:bottom w:val="none" w:sz="0" w:space="0" w:color="auto"/>
            <w:right w:val="none" w:sz="0" w:space="0" w:color="auto"/>
          </w:divBdr>
        </w:div>
      </w:divsChild>
    </w:div>
    <w:div w:id="188344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yson.municipalcodeonline.com/book?type=ordinance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payson.municipalcodeonline.com/book?type=ordinan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358</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Spencer</dc:creator>
  <cp:keywords/>
  <dc:description/>
  <cp:lastModifiedBy>Michael Bryant</cp:lastModifiedBy>
  <cp:revision>3</cp:revision>
  <cp:lastPrinted>2021-07-19T17:30:00Z</cp:lastPrinted>
  <dcterms:created xsi:type="dcterms:W3CDTF">2023-05-18T17:55:00Z</dcterms:created>
  <dcterms:modified xsi:type="dcterms:W3CDTF">2023-05-18T17:57:00Z</dcterms:modified>
</cp:coreProperties>
</file>