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4D4A" w14:textId="77777777" w:rsidR="00585E0B" w:rsidRPr="00585E0B" w:rsidRDefault="00585E0B" w:rsidP="00585E0B">
      <w:pPr>
        <w:spacing w:before="104"/>
        <w:ind w:left="100"/>
        <w:outlineLvl w:val="0"/>
        <w:rPr>
          <w:rFonts w:ascii="Cambria" w:eastAsia="Times New Roman" w:hAnsi="Cambria" w:cs="Times New Roman"/>
          <w:b/>
          <w:bCs/>
          <w:kern w:val="36"/>
          <w:sz w:val="48"/>
          <w:szCs w:val="48"/>
        </w:rPr>
      </w:pPr>
      <w:r w:rsidRPr="00585E0B">
        <w:rPr>
          <w:rFonts w:ascii="Cambria" w:eastAsia="Times New Roman" w:hAnsi="Cambria" w:cs="Times New Roman"/>
          <w:b/>
          <w:bCs/>
          <w:color w:val="000000"/>
          <w:kern w:val="36"/>
          <w:u w:val="single"/>
        </w:rPr>
        <w:t>Definitions</w:t>
      </w:r>
    </w:p>
    <w:p w14:paraId="19AFF124" w14:textId="77777777" w:rsidR="00585E0B" w:rsidRPr="00585E0B" w:rsidRDefault="00585E0B" w:rsidP="00585E0B">
      <w:pPr>
        <w:numPr>
          <w:ilvl w:val="0"/>
          <w:numId w:val="2"/>
        </w:numPr>
        <w:spacing w:before="125"/>
        <w:ind w:left="460" w:right="587"/>
        <w:textAlignment w:val="baseline"/>
        <w:rPr>
          <w:rFonts w:ascii="Cambria" w:eastAsia="Times New Roman" w:hAnsi="Cambria" w:cs="Times New Roman"/>
          <w:color w:val="000000"/>
        </w:rPr>
      </w:pPr>
      <w:r w:rsidRPr="00585E0B">
        <w:rPr>
          <w:rFonts w:ascii="Cambria" w:eastAsia="Times New Roman" w:hAnsi="Cambria" w:cs="Times New Roman"/>
          <w:color w:val="000000"/>
        </w:rPr>
        <w:t>“Assigned gender.” This is the gender designated at the time of birth and may also be thought of as the gender corresponding to the individual’s original physiology, or biological gender.</w:t>
      </w:r>
    </w:p>
    <w:p w14:paraId="0DC2C314" w14:textId="77777777" w:rsidR="00585E0B" w:rsidRPr="00585E0B" w:rsidRDefault="00585E0B" w:rsidP="00585E0B">
      <w:pPr>
        <w:numPr>
          <w:ilvl w:val="0"/>
          <w:numId w:val="2"/>
        </w:numPr>
        <w:ind w:left="460" w:right="398"/>
        <w:textAlignment w:val="baseline"/>
        <w:rPr>
          <w:rFonts w:ascii="Cambria" w:eastAsia="Times New Roman" w:hAnsi="Cambria" w:cs="Times New Roman"/>
          <w:color w:val="000000"/>
        </w:rPr>
      </w:pPr>
      <w:r w:rsidRPr="00585E0B">
        <w:rPr>
          <w:rFonts w:ascii="Cambria" w:eastAsia="Times New Roman" w:hAnsi="Cambria" w:cs="Times New Roman"/>
          <w:color w:val="000000"/>
        </w:rPr>
        <w:t>“Gender identity.” This is the individual’s internal sense of gender, and “identified gender” refers to the gender that matches this internal sense. Gender identity can be shown by information including but not limited to medical history, care or treatment of the gender identity, consistent and uniform assertion of the gender identity, or other evidence that the gender identity is sincerely held, part of a person's core identity, and not being asserted for an improper purpose.</w:t>
      </w:r>
    </w:p>
    <w:p w14:paraId="03C2974F" w14:textId="77777777" w:rsidR="00585E0B" w:rsidRPr="00585E0B" w:rsidRDefault="00585E0B" w:rsidP="00585E0B">
      <w:pPr>
        <w:numPr>
          <w:ilvl w:val="0"/>
          <w:numId w:val="2"/>
        </w:numPr>
        <w:ind w:left="460" w:right="978"/>
        <w:textAlignment w:val="baseline"/>
        <w:rPr>
          <w:rFonts w:ascii="Cambria" w:eastAsia="Times New Roman" w:hAnsi="Cambria" w:cs="Times New Roman"/>
          <w:color w:val="000000"/>
        </w:rPr>
      </w:pPr>
      <w:r w:rsidRPr="00585E0B">
        <w:rPr>
          <w:rFonts w:ascii="Cambria" w:eastAsia="Times New Roman" w:hAnsi="Cambria" w:cs="Times New Roman"/>
          <w:color w:val="000000"/>
        </w:rPr>
        <w:t>“Gender expression” means the external cues or indications used to communicate gender to others, such as behavior, clothing, hairstyles, activities, voice, mannerisms, or body characteristics.</w:t>
      </w:r>
    </w:p>
    <w:p w14:paraId="5B335849" w14:textId="77777777" w:rsidR="00585E0B" w:rsidRPr="00585E0B" w:rsidRDefault="00585E0B" w:rsidP="00585E0B">
      <w:pPr>
        <w:numPr>
          <w:ilvl w:val="0"/>
          <w:numId w:val="2"/>
        </w:numPr>
        <w:ind w:left="460" w:right="416"/>
        <w:textAlignment w:val="baseline"/>
        <w:rPr>
          <w:rFonts w:ascii="Cambria" w:eastAsia="Times New Roman" w:hAnsi="Cambria" w:cs="Times New Roman"/>
          <w:color w:val="000000"/>
        </w:rPr>
      </w:pPr>
      <w:r w:rsidRPr="00585E0B">
        <w:rPr>
          <w:rFonts w:ascii="Cambria" w:eastAsia="Times New Roman" w:hAnsi="Cambria" w:cs="Times New Roman"/>
          <w:color w:val="000000"/>
        </w:rPr>
        <w:t>“Transgender” means that an individual’s assigned gender differs from the individual’s gender identity.</w:t>
      </w:r>
    </w:p>
    <w:p w14:paraId="5BCED743" w14:textId="77777777" w:rsidR="00585E0B" w:rsidRPr="00585E0B" w:rsidRDefault="00585E0B" w:rsidP="00585E0B">
      <w:pPr>
        <w:numPr>
          <w:ilvl w:val="0"/>
          <w:numId w:val="2"/>
        </w:numPr>
        <w:ind w:left="460" w:right="359"/>
        <w:textAlignment w:val="baseline"/>
        <w:rPr>
          <w:rFonts w:ascii="Cambria" w:eastAsia="Times New Roman" w:hAnsi="Cambria" w:cs="Times New Roman"/>
          <w:color w:val="000000"/>
        </w:rPr>
      </w:pPr>
      <w:r w:rsidRPr="00585E0B">
        <w:rPr>
          <w:rFonts w:ascii="Cambria" w:eastAsia="Times New Roman" w:hAnsi="Cambria" w:cs="Times New Roman"/>
          <w:color w:val="000000"/>
        </w:rPr>
        <w:t>“Transgender boy” (or “transgender man”) is an individual whose assigned gender is female but whose gender identity is male.</w:t>
      </w:r>
    </w:p>
    <w:p w14:paraId="29251103" w14:textId="77777777" w:rsidR="00585E0B" w:rsidRPr="00585E0B" w:rsidRDefault="00585E0B" w:rsidP="00585E0B">
      <w:pPr>
        <w:numPr>
          <w:ilvl w:val="0"/>
          <w:numId w:val="2"/>
        </w:numPr>
        <w:ind w:left="460" w:right="1022"/>
        <w:textAlignment w:val="baseline"/>
        <w:rPr>
          <w:rFonts w:ascii="Cambria" w:eastAsia="Times New Roman" w:hAnsi="Cambria" w:cs="Times New Roman"/>
          <w:color w:val="000000"/>
        </w:rPr>
      </w:pPr>
      <w:r w:rsidRPr="00585E0B">
        <w:rPr>
          <w:rFonts w:ascii="Cambria" w:eastAsia="Times New Roman" w:hAnsi="Cambria" w:cs="Times New Roman"/>
          <w:color w:val="000000"/>
        </w:rPr>
        <w:t>“Transgender girl” (or “transgender woman”) is an individual whose assigned gender is male but whose gender identity is female.</w:t>
      </w:r>
    </w:p>
    <w:p w14:paraId="0E0A7A9B" w14:textId="77777777" w:rsidR="00585E0B" w:rsidRPr="00585E0B" w:rsidRDefault="00585E0B" w:rsidP="00585E0B">
      <w:pPr>
        <w:ind w:left="820"/>
        <w:rPr>
          <w:rFonts w:ascii="Cambria" w:eastAsia="Times New Roman" w:hAnsi="Cambria" w:cs="Times New Roman"/>
        </w:rPr>
      </w:pPr>
      <w:r w:rsidRPr="00585E0B">
        <w:rPr>
          <w:rFonts w:ascii="Cambria" w:eastAsia="Times New Roman" w:hAnsi="Cambria" w:cs="Times New Roman"/>
          <w:i/>
          <w:iCs/>
          <w:color w:val="0000FF"/>
          <w:u w:val="single"/>
        </w:rPr>
        <w:t>Utah Code § 34A-5-102 (1)(o) (2016)</w:t>
      </w:r>
    </w:p>
    <w:p w14:paraId="430E4FF8" w14:textId="77777777" w:rsidR="00585E0B" w:rsidRPr="00585E0B" w:rsidRDefault="00585E0B" w:rsidP="00585E0B">
      <w:pPr>
        <w:spacing w:before="3"/>
        <w:ind w:left="820"/>
        <w:rPr>
          <w:rFonts w:ascii="Cambria" w:eastAsia="Times New Roman" w:hAnsi="Cambria" w:cs="Times New Roman"/>
        </w:rPr>
      </w:pPr>
      <w:r w:rsidRPr="00585E0B">
        <w:rPr>
          <w:rFonts w:ascii="Cambria" w:eastAsia="Times New Roman" w:hAnsi="Cambria" w:cs="Times New Roman"/>
          <w:i/>
          <w:iCs/>
          <w:color w:val="0070C0"/>
          <w:u w:val="single"/>
        </w:rPr>
        <w:t>In re Childers-Gray, 2021 UT 13, ¶ 5 &amp; n.7, 487 P.3d 96</w:t>
      </w:r>
    </w:p>
    <w:p w14:paraId="171EB7C3" w14:textId="77777777" w:rsidR="00585E0B" w:rsidRPr="00585E0B" w:rsidRDefault="00585E0B" w:rsidP="00585E0B">
      <w:pPr>
        <w:rPr>
          <w:rFonts w:ascii="Cambria" w:eastAsia="Times New Roman" w:hAnsi="Cambria" w:cs="Times New Roman"/>
        </w:rPr>
      </w:pPr>
    </w:p>
    <w:p w14:paraId="107C5F14" w14:textId="77777777" w:rsidR="00585E0B" w:rsidRPr="00585E0B" w:rsidRDefault="00585E0B" w:rsidP="00585E0B">
      <w:pPr>
        <w:ind w:left="100"/>
        <w:outlineLvl w:val="0"/>
        <w:rPr>
          <w:rFonts w:ascii="Cambria" w:eastAsia="Times New Roman" w:hAnsi="Cambria" w:cs="Times New Roman"/>
          <w:b/>
          <w:bCs/>
          <w:kern w:val="36"/>
          <w:sz w:val="48"/>
          <w:szCs w:val="48"/>
        </w:rPr>
      </w:pPr>
      <w:r w:rsidRPr="00585E0B">
        <w:rPr>
          <w:rFonts w:ascii="Cambria" w:eastAsia="Times New Roman" w:hAnsi="Cambria" w:cs="Times New Roman"/>
          <w:b/>
          <w:bCs/>
          <w:color w:val="000000"/>
          <w:kern w:val="36"/>
          <w:u w:val="single"/>
        </w:rPr>
        <w:t>Records and References</w:t>
      </w:r>
    </w:p>
    <w:p w14:paraId="0E582E54" w14:textId="77777777" w:rsidR="00585E0B" w:rsidRPr="00585E0B" w:rsidRDefault="00585E0B" w:rsidP="00585E0B">
      <w:pPr>
        <w:spacing w:before="125"/>
        <w:ind w:left="100" w:right="289"/>
        <w:rPr>
          <w:rFonts w:ascii="Cambria" w:eastAsia="Times New Roman" w:hAnsi="Cambria" w:cs="Times New Roman"/>
        </w:rPr>
      </w:pPr>
      <w:r w:rsidRPr="00585E0B">
        <w:rPr>
          <w:rFonts w:ascii="Cambria" w:eastAsia="Times New Roman" w:hAnsi="Cambria" w:cs="Times New Roman"/>
          <w:color w:val="000000"/>
        </w:rPr>
        <w:t>The official records of the student shall reflect the student’s legal name and gender, which is the name and gender listed on the student’s birth certificate or as changed by court order. Access to this portion of official student records shall be restricted to maintain the confidentiality of a student’s transgender status.</w:t>
      </w:r>
    </w:p>
    <w:p w14:paraId="67F5F87F" w14:textId="77777777" w:rsidR="00585E0B" w:rsidRPr="00585E0B" w:rsidRDefault="00585E0B" w:rsidP="00585E0B">
      <w:pPr>
        <w:ind w:left="820" w:right="5235"/>
        <w:rPr>
          <w:rFonts w:ascii="Cambria" w:eastAsia="Times New Roman" w:hAnsi="Cambria" w:cs="Times New Roman"/>
        </w:rPr>
      </w:pPr>
      <w:r w:rsidRPr="00585E0B">
        <w:rPr>
          <w:rFonts w:ascii="Cambria" w:eastAsia="Times New Roman" w:hAnsi="Cambria" w:cs="Times New Roman"/>
          <w:i/>
          <w:iCs/>
          <w:color w:val="0000FF"/>
          <w:u w:val="single"/>
        </w:rPr>
        <w:t>Utah Code § 26-2-11 (1995)</w:t>
      </w:r>
      <w:r w:rsidRPr="00585E0B">
        <w:rPr>
          <w:rFonts w:ascii="Cambria" w:eastAsia="Times New Roman" w:hAnsi="Cambria" w:cs="Times New Roman"/>
          <w:i/>
          <w:iCs/>
          <w:color w:val="0000FF"/>
        </w:rPr>
        <w:t xml:space="preserve"> </w:t>
      </w:r>
      <w:r w:rsidRPr="00585E0B">
        <w:rPr>
          <w:rFonts w:ascii="Cambria" w:eastAsia="Times New Roman" w:hAnsi="Cambria" w:cs="Times New Roman"/>
          <w:i/>
          <w:iCs/>
          <w:color w:val="0000FF"/>
          <w:u w:val="single"/>
        </w:rPr>
        <w:t>Utah Code § 42-1-1 (1953)</w:t>
      </w:r>
    </w:p>
    <w:p w14:paraId="624B11E0" w14:textId="77777777" w:rsidR="00585E0B" w:rsidRPr="00585E0B" w:rsidRDefault="00585E0B" w:rsidP="00585E0B">
      <w:pPr>
        <w:rPr>
          <w:rFonts w:ascii="Cambria" w:eastAsia="Times New Roman" w:hAnsi="Cambria" w:cs="Times New Roman"/>
        </w:rPr>
      </w:pPr>
    </w:p>
    <w:p w14:paraId="74F9B43C" w14:textId="77777777" w:rsidR="00585E0B" w:rsidRPr="00585E0B" w:rsidRDefault="00585E0B" w:rsidP="00585E0B">
      <w:pPr>
        <w:ind w:left="100" w:right="178"/>
        <w:rPr>
          <w:rFonts w:ascii="Cambria" w:eastAsia="Times New Roman" w:hAnsi="Cambria" w:cs="Times New Roman"/>
        </w:rPr>
      </w:pPr>
      <w:r w:rsidRPr="00585E0B">
        <w:rPr>
          <w:rFonts w:ascii="Cambria" w:eastAsia="Times New Roman" w:hAnsi="Cambria" w:cs="Times New Roman"/>
          <w:color w:val="000000"/>
        </w:rPr>
        <w:t>The unofficial records of the student shall reflect the preferred name and gender identity of the student as agreed upon by the student’s parents and/or guardians. Students shall be addressed or referred to by the pronouns associated with the identified gender: transgender boys shall be referred to using “he” “his” and “him” and transgender girls shall be referred to using “she” “her” and “hers”, as agreed upon by the student’s parents and/or guardians.</w:t>
      </w:r>
    </w:p>
    <w:p w14:paraId="2A845749" w14:textId="77777777" w:rsidR="00585E0B" w:rsidRPr="00585E0B" w:rsidRDefault="00585E0B" w:rsidP="00585E0B">
      <w:pPr>
        <w:rPr>
          <w:rFonts w:ascii="Cambria" w:eastAsia="Times New Roman" w:hAnsi="Cambria" w:cs="Times New Roman"/>
        </w:rPr>
      </w:pPr>
    </w:p>
    <w:p w14:paraId="2CE51AA6" w14:textId="6C3C2672" w:rsidR="00585E0B" w:rsidRPr="00585E0B" w:rsidRDefault="00585E0B" w:rsidP="00585E0B">
      <w:pPr>
        <w:ind w:left="100" w:right="178"/>
        <w:rPr>
          <w:rFonts w:ascii="Cambria" w:eastAsia="Times New Roman" w:hAnsi="Cambria" w:cs="Times New Roman"/>
        </w:rPr>
      </w:pPr>
      <w:r w:rsidRPr="00585E0B">
        <w:rPr>
          <w:rFonts w:ascii="Cambria" w:eastAsia="Times New Roman" w:hAnsi="Cambria" w:cs="Times New Roman"/>
          <w:color w:val="000000"/>
        </w:rPr>
        <w:t>A student’s transgender status shall not be disclosed without the student’s consent or parents and/or guardians’ consent except as expressly authorized by the superintendent following such legal consultation as the superintendent determines is appropriate.</w:t>
      </w:r>
      <w:r w:rsidRPr="00585E0B">
        <w:rPr>
          <w:rFonts w:ascii="Cambria" w:eastAsia="Times New Roman" w:hAnsi="Cambria" w:cs="Times New Roman"/>
          <w:color w:val="000000"/>
        </w:rPr>
        <w:br/>
      </w:r>
    </w:p>
    <w:p w14:paraId="04491188" w14:textId="77777777" w:rsidR="00585E0B" w:rsidRDefault="00585E0B" w:rsidP="00585E0B">
      <w:pPr>
        <w:spacing w:before="105"/>
        <w:ind w:left="100"/>
        <w:outlineLvl w:val="0"/>
        <w:rPr>
          <w:rFonts w:ascii="Cambria" w:eastAsia="Times New Roman" w:hAnsi="Cambria" w:cs="Times New Roman"/>
          <w:b/>
          <w:bCs/>
          <w:kern w:val="36"/>
          <w:sz w:val="48"/>
          <w:szCs w:val="48"/>
        </w:rPr>
      </w:pPr>
      <w:r w:rsidRPr="00585E0B">
        <w:rPr>
          <w:rFonts w:ascii="Cambria" w:eastAsia="Times New Roman" w:hAnsi="Cambria" w:cs="Times New Roman"/>
          <w:b/>
          <w:bCs/>
          <w:color w:val="000000"/>
          <w:kern w:val="36"/>
          <w:u w:val="single"/>
        </w:rPr>
        <w:t>Facilities</w:t>
      </w:r>
    </w:p>
    <w:p w14:paraId="25FE0302" w14:textId="531FC157" w:rsidR="00585E0B" w:rsidRPr="00585E0B" w:rsidRDefault="00585E0B" w:rsidP="00585E0B">
      <w:pPr>
        <w:spacing w:before="105"/>
        <w:ind w:left="100"/>
        <w:outlineLvl w:val="0"/>
        <w:rPr>
          <w:rFonts w:ascii="Cambria" w:eastAsia="Times New Roman" w:hAnsi="Cambria" w:cs="Times New Roman"/>
          <w:b/>
          <w:bCs/>
          <w:kern w:val="36"/>
          <w:sz w:val="48"/>
          <w:szCs w:val="48"/>
        </w:rPr>
      </w:pPr>
      <w:r w:rsidRPr="00585E0B">
        <w:rPr>
          <w:rFonts w:ascii="Cambria" w:eastAsia="Times New Roman" w:hAnsi="Cambria" w:cs="Times New Roman"/>
          <w:color w:val="000000"/>
        </w:rPr>
        <w:t xml:space="preserve">In determining which gender-segregated school facilities (restrooms and locker rooms) are to be used by transgender students, the school administrator shall take into </w:t>
      </w:r>
      <w:r w:rsidRPr="00585E0B">
        <w:rPr>
          <w:rFonts w:ascii="Cambria" w:eastAsia="Times New Roman" w:hAnsi="Cambria" w:cs="Times New Roman"/>
          <w:color w:val="000000"/>
        </w:rPr>
        <w:lastRenderedPageBreak/>
        <w:t xml:space="preserve">consideration the desires of the individual transgender student and of the student’s parents as well as the privacy interests of other students and the parents of other students. In addition to </w:t>
      </w:r>
      <w:r w:rsidRPr="00585E0B">
        <w:rPr>
          <w:rFonts w:ascii="Cambria" w:eastAsia="Times New Roman" w:hAnsi="Cambria" w:cs="Times New Roman"/>
          <w:color w:val="0070C0"/>
        </w:rPr>
        <w:t>the potential accommodation</w:t>
      </w:r>
      <w:r w:rsidRPr="00585E0B">
        <w:rPr>
          <w:rFonts w:ascii="Cambria" w:eastAsia="Times New Roman" w:hAnsi="Cambria" w:cs="Times New Roman"/>
          <w:color w:val="000000"/>
        </w:rPr>
        <w:t xml:space="preserve"> of having the transgender student use the facilities corresponding with the gender identity, potential accommodations include use of single user restrooms or changing spaces or using facilities at a different time than other students. If the desired use by the transgender student is in significant conflict with privacy interests of other students, the school administrator should consult with the superintendent and as appropriate with legal counsel.</w:t>
      </w:r>
    </w:p>
    <w:p w14:paraId="1CC62F42" w14:textId="77777777" w:rsidR="00585E0B" w:rsidRPr="00585E0B" w:rsidRDefault="00585E0B" w:rsidP="00585E0B">
      <w:pPr>
        <w:rPr>
          <w:rFonts w:ascii="Cambria" w:eastAsia="Times New Roman" w:hAnsi="Cambria" w:cs="Times New Roman"/>
        </w:rPr>
      </w:pPr>
    </w:p>
    <w:p w14:paraId="7A0FAE0C" w14:textId="77777777" w:rsidR="00585E0B" w:rsidRPr="00585E0B" w:rsidRDefault="00585E0B" w:rsidP="00585E0B">
      <w:pPr>
        <w:ind w:left="100"/>
        <w:outlineLvl w:val="0"/>
        <w:rPr>
          <w:rFonts w:ascii="Cambria" w:eastAsia="Times New Roman" w:hAnsi="Cambria" w:cs="Times New Roman"/>
          <w:b/>
          <w:bCs/>
          <w:kern w:val="36"/>
          <w:sz w:val="48"/>
          <w:szCs w:val="48"/>
        </w:rPr>
      </w:pPr>
      <w:r w:rsidRPr="00585E0B">
        <w:rPr>
          <w:rFonts w:ascii="Cambria" w:eastAsia="Times New Roman" w:hAnsi="Cambria" w:cs="Times New Roman"/>
          <w:b/>
          <w:bCs/>
          <w:color w:val="000000"/>
          <w:kern w:val="36"/>
          <w:u w:val="single"/>
        </w:rPr>
        <w:t>Classes and Activities</w:t>
      </w:r>
    </w:p>
    <w:p w14:paraId="4694EF9B" w14:textId="77777777" w:rsidR="00585E0B" w:rsidRPr="00585E0B" w:rsidRDefault="00585E0B" w:rsidP="00585E0B">
      <w:pPr>
        <w:spacing w:before="125"/>
        <w:ind w:left="100" w:right="178"/>
        <w:rPr>
          <w:rFonts w:ascii="Cambria" w:eastAsia="Times New Roman" w:hAnsi="Cambria" w:cs="Times New Roman"/>
        </w:rPr>
      </w:pPr>
      <w:r w:rsidRPr="00585E0B">
        <w:rPr>
          <w:rFonts w:ascii="Cambria" w:eastAsia="Times New Roman" w:hAnsi="Cambria" w:cs="Times New Roman"/>
          <w:color w:val="000000"/>
        </w:rPr>
        <w:t>When classes or intramural activities are segregated by gender, transgender students are to be grouped according to the student’s gender identity. Where students are grouped according to qualities, which may have some association with gender (such as vocal quality for singing groups), the pertinent quality shall be evaluated without regard to assigned gender or transgender status. Where school activities involve overnight travel, lodging arrangements for transgender students shall take into consideration the desires of the individual transgender student and the student’s parents as well as the privacy interests of other students and their parents and/or guardians If the arrangement desired by the transgender student is in significant conflict with privacy interests of other students, the school administrator should consult with the superintendent and as appropriate with legal counsel.</w:t>
      </w:r>
    </w:p>
    <w:p w14:paraId="5AB8E0DA" w14:textId="77777777" w:rsidR="00585E0B" w:rsidRPr="00585E0B" w:rsidRDefault="00585E0B" w:rsidP="00585E0B">
      <w:pPr>
        <w:rPr>
          <w:rFonts w:ascii="Cambria" w:eastAsia="Times New Roman" w:hAnsi="Cambria" w:cs="Times New Roman"/>
        </w:rPr>
      </w:pPr>
    </w:p>
    <w:p w14:paraId="0196F958" w14:textId="77777777" w:rsidR="00585E0B" w:rsidRPr="00585E0B" w:rsidRDefault="00585E0B" w:rsidP="00585E0B">
      <w:pPr>
        <w:ind w:left="100"/>
        <w:outlineLvl w:val="0"/>
        <w:rPr>
          <w:rFonts w:ascii="Cambria" w:eastAsia="Times New Roman" w:hAnsi="Cambria" w:cs="Times New Roman"/>
          <w:b/>
          <w:bCs/>
          <w:kern w:val="36"/>
          <w:sz w:val="48"/>
          <w:szCs w:val="48"/>
        </w:rPr>
      </w:pPr>
      <w:r w:rsidRPr="00585E0B">
        <w:rPr>
          <w:rFonts w:ascii="Cambria" w:eastAsia="Times New Roman" w:hAnsi="Cambria" w:cs="Times New Roman"/>
          <w:b/>
          <w:bCs/>
          <w:color w:val="000000"/>
          <w:kern w:val="36"/>
          <w:u w:val="single"/>
        </w:rPr>
        <w:t>UHSAA Extracurricular Activities</w:t>
      </w:r>
    </w:p>
    <w:p w14:paraId="17E858E6" w14:textId="77777777" w:rsidR="00585E0B" w:rsidRPr="00585E0B" w:rsidRDefault="00585E0B" w:rsidP="00585E0B">
      <w:pPr>
        <w:spacing w:before="125"/>
        <w:ind w:left="100" w:right="127"/>
        <w:rPr>
          <w:rFonts w:ascii="Cambria" w:eastAsia="Times New Roman" w:hAnsi="Cambria" w:cs="Times New Roman"/>
          <w:color w:val="000000" w:themeColor="text1"/>
        </w:rPr>
      </w:pPr>
      <w:r w:rsidRPr="00585E0B">
        <w:rPr>
          <w:rFonts w:ascii="Cambria" w:eastAsia="Times New Roman" w:hAnsi="Cambria" w:cs="Times New Roman"/>
          <w:color w:val="000000"/>
        </w:rPr>
        <w:t xml:space="preserve">Participation by students in </w:t>
      </w:r>
      <w:r w:rsidRPr="00585E0B">
        <w:rPr>
          <w:rFonts w:ascii="Cambria" w:eastAsia="Times New Roman" w:hAnsi="Cambria" w:cs="Times New Roman"/>
          <w:color w:val="000000" w:themeColor="text1"/>
        </w:rPr>
        <w:t>non-athletic activities under the oversight of the Utah High School Activities Association is subject to UHSAA rules and policies. Therefore, participation of transgender students in such activities shall be governed by those rules and policies. Participation by transgender students in interscholastic athletic activities shall be according to Policy FABA.</w:t>
      </w:r>
    </w:p>
    <w:p w14:paraId="47A71E50" w14:textId="77777777" w:rsidR="00585E0B" w:rsidRPr="00585E0B" w:rsidRDefault="00585E0B" w:rsidP="00585E0B">
      <w:pPr>
        <w:spacing w:before="120"/>
        <w:ind w:left="1090"/>
        <w:rPr>
          <w:rFonts w:ascii="Cambria" w:eastAsia="Times New Roman" w:hAnsi="Cambria" w:cs="Times New Roman"/>
        </w:rPr>
      </w:pPr>
      <w:r w:rsidRPr="00585E0B">
        <w:rPr>
          <w:rFonts w:ascii="Cambria" w:eastAsia="Times New Roman" w:hAnsi="Cambria" w:cs="Times New Roman"/>
          <w:i/>
          <w:iCs/>
          <w:color w:val="0000FF"/>
          <w:u w:val="single"/>
        </w:rPr>
        <w:t xml:space="preserve">Utah High Schools Activities Association Handbook 2020-2021, </w:t>
      </w:r>
      <w:proofErr w:type="spellStart"/>
      <w:r w:rsidRPr="00585E0B">
        <w:rPr>
          <w:rFonts w:ascii="Cambria" w:eastAsia="Times New Roman" w:hAnsi="Cambria" w:cs="Times New Roman"/>
          <w:i/>
          <w:iCs/>
          <w:color w:val="0000FF"/>
          <w:u w:val="single"/>
        </w:rPr>
        <w:t>Interps</w:t>
      </w:r>
      <w:proofErr w:type="spellEnd"/>
      <w:r w:rsidRPr="00585E0B">
        <w:rPr>
          <w:rFonts w:ascii="Cambria" w:eastAsia="Times New Roman" w:hAnsi="Cambria" w:cs="Times New Roman"/>
          <w:i/>
          <w:iCs/>
          <w:color w:val="0000FF"/>
          <w:u w:val="single"/>
        </w:rPr>
        <w:t>. &amp;</w:t>
      </w:r>
      <w:r w:rsidRPr="00585E0B">
        <w:rPr>
          <w:rFonts w:ascii="Cambria" w:eastAsia="Times New Roman" w:hAnsi="Cambria" w:cs="Times New Roman"/>
          <w:i/>
          <w:iCs/>
          <w:color w:val="0000FF"/>
        </w:rPr>
        <w:t xml:space="preserve"> </w:t>
      </w:r>
      <w:r w:rsidRPr="00585E0B">
        <w:rPr>
          <w:rFonts w:ascii="Cambria" w:eastAsia="Times New Roman" w:hAnsi="Cambria" w:cs="Times New Roman"/>
          <w:i/>
          <w:iCs/>
          <w:color w:val="0000FF"/>
          <w:u w:val="single"/>
        </w:rPr>
        <w:t>Guidelines 1.1.4</w:t>
      </w:r>
    </w:p>
    <w:p w14:paraId="7142AF39" w14:textId="77777777" w:rsidR="00585E0B" w:rsidRPr="00585E0B" w:rsidRDefault="00585E0B" w:rsidP="00585E0B">
      <w:pPr>
        <w:rPr>
          <w:rFonts w:ascii="Cambria" w:eastAsia="Times New Roman" w:hAnsi="Cambria" w:cs="Times New Roman"/>
        </w:rPr>
      </w:pPr>
    </w:p>
    <w:p w14:paraId="2649233B" w14:textId="77777777" w:rsidR="00585E0B" w:rsidRPr="00585E0B" w:rsidRDefault="00585E0B" w:rsidP="00585E0B">
      <w:pPr>
        <w:spacing w:before="104"/>
        <w:ind w:left="100"/>
        <w:outlineLvl w:val="0"/>
        <w:rPr>
          <w:rFonts w:ascii="Cambria" w:eastAsia="Times New Roman" w:hAnsi="Cambria" w:cs="Times New Roman"/>
          <w:b/>
          <w:bCs/>
          <w:kern w:val="36"/>
          <w:sz w:val="48"/>
          <w:szCs w:val="48"/>
        </w:rPr>
      </w:pPr>
      <w:r w:rsidRPr="00585E0B">
        <w:rPr>
          <w:rFonts w:ascii="Cambria" w:eastAsia="Times New Roman" w:hAnsi="Cambria" w:cs="Times New Roman"/>
          <w:b/>
          <w:bCs/>
          <w:color w:val="000000"/>
          <w:kern w:val="36"/>
          <w:u w:val="single"/>
        </w:rPr>
        <w:t>Bullying and Harassment</w:t>
      </w:r>
    </w:p>
    <w:p w14:paraId="0EBAEB55" w14:textId="213A3AB0" w:rsidR="00585E0B" w:rsidRPr="00585E0B" w:rsidRDefault="00585E0B" w:rsidP="00585E0B">
      <w:pPr>
        <w:spacing w:before="126"/>
        <w:ind w:left="100" w:right="113"/>
        <w:rPr>
          <w:rFonts w:ascii="Cambria" w:eastAsia="Times New Roman" w:hAnsi="Cambria" w:cs="Times New Roman"/>
          <w:strike/>
          <w:color w:val="FF0000"/>
        </w:rPr>
      </w:pPr>
      <w:r w:rsidRPr="00585E0B">
        <w:rPr>
          <w:rFonts w:ascii="Cambria" w:eastAsia="Times New Roman" w:hAnsi="Cambria" w:cs="Times New Roman"/>
          <w:color w:val="000000"/>
        </w:rPr>
        <w:t xml:space="preserve">Policy FGAD, which prohibits bullying, cyberbullying and harassment regardless of the motivation for such misconduct, applies to prohibit bullying, cyberbullying or harassment of students because of their transgender status or gender expression. </w:t>
      </w:r>
      <w:r w:rsidRPr="00585E0B">
        <w:rPr>
          <w:rFonts w:ascii="Cambria" w:eastAsia="Times New Roman" w:hAnsi="Cambria" w:cs="Times New Roman"/>
          <w:strike/>
          <w:color w:val="FF0000"/>
        </w:rPr>
        <w:t>When the parent of a transgender student is given the required notification of a bullying or harassment incident against a transgender student which is motivated by transgender status or gender expression, care should be taken to avoid disclosing</w:t>
      </w:r>
      <w:r w:rsidRPr="00585E0B">
        <w:rPr>
          <w:rFonts w:ascii="Cambria" w:eastAsia="Times New Roman" w:hAnsi="Cambria" w:cs="Times New Roman"/>
          <w:strike/>
          <w:color w:val="FF0000"/>
        </w:rPr>
        <w:t xml:space="preserve"> </w:t>
      </w:r>
      <w:r w:rsidRPr="00585E0B">
        <w:rPr>
          <w:rFonts w:ascii="Cambria" w:eastAsia="Times New Roman" w:hAnsi="Cambria" w:cs="Times New Roman"/>
          <w:strike/>
          <w:color w:val="FF0000"/>
        </w:rPr>
        <w:t>the student’s transgender status to the student’s parents if the student has not consented to such disclosure.</w:t>
      </w:r>
    </w:p>
    <w:p w14:paraId="33E2D487" w14:textId="77777777" w:rsidR="00585E0B" w:rsidRPr="00585E0B" w:rsidRDefault="00585E0B" w:rsidP="00585E0B">
      <w:pPr>
        <w:rPr>
          <w:rFonts w:ascii="Cambria" w:eastAsia="Times New Roman" w:hAnsi="Cambria" w:cs="Times New Roman"/>
        </w:rPr>
      </w:pPr>
    </w:p>
    <w:p w14:paraId="1FFFFECF" w14:textId="77777777" w:rsidR="00585E0B" w:rsidRPr="00585E0B" w:rsidRDefault="00585E0B" w:rsidP="00585E0B">
      <w:pPr>
        <w:ind w:left="100"/>
        <w:rPr>
          <w:rFonts w:ascii="Cambria" w:eastAsia="Times New Roman" w:hAnsi="Cambria" w:cs="Times New Roman"/>
        </w:rPr>
      </w:pPr>
      <w:r w:rsidRPr="00585E0B">
        <w:rPr>
          <w:rFonts w:ascii="Cambria" w:eastAsia="Times New Roman" w:hAnsi="Cambria" w:cs="Times New Roman"/>
          <w:color w:val="000000"/>
        </w:rPr>
        <w:t xml:space="preserve">When a student has been bullied, cyberbullied, or harassed because of the student’s transgender status or gender expression, consideration should be given to what support, </w:t>
      </w:r>
      <w:r w:rsidRPr="00585E0B">
        <w:rPr>
          <w:rFonts w:ascii="Cambria" w:eastAsia="Times New Roman" w:hAnsi="Cambria" w:cs="Times New Roman"/>
          <w:color w:val="000000"/>
        </w:rPr>
        <w:lastRenderedPageBreak/>
        <w:t>counseling, or other assistance the student may need to prevent such mistreatment from adversely affecting the student’s ability to learn and function in the school setting.</w:t>
      </w:r>
    </w:p>
    <w:p w14:paraId="3ADF14C8" w14:textId="77777777" w:rsidR="00585E0B" w:rsidRPr="00585E0B" w:rsidRDefault="00585E0B" w:rsidP="00585E0B">
      <w:pPr>
        <w:rPr>
          <w:rFonts w:ascii="Cambria" w:eastAsia="Times New Roman" w:hAnsi="Cambria" w:cs="Times New Roman"/>
        </w:rPr>
      </w:pPr>
    </w:p>
    <w:p w14:paraId="4BFA37D1" w14:textId="77777777" w:rsidR="000D30CB" w:rsidRPr="00585E0B" w:rsidRDefault="000D30CB">
      <w:pPr>
        <w:rPr>
          <w:rFonts w:ascii="Cambria" w:hAnsi="Cambria"/>
        </w:rPr>
      </w:pPr>
    </w:p>
    <w:sectPr w:rsidR="000D30CB" w:rsidRPr="00585E0B" w:rsidSect="00A92AE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C25E" w14:textId="77777777" w:rsidR="007059CD" w:rsidRDefault="007059CD" w:rsidP="00585E0B">
      <w:r>
        <w:separator/>
      </w:r>
    </w:p>
  </w:endnote>
  <w:endnote w:type="continuationSeparator" w:id="0">
    <w:p w14:paraId="5D618A7B" w14:textId="77777777" w:rsidR="007059CD" w:rsidRDefault="007059CD" w:rsidP="0058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D307" w14:textId="03005904" w:rsidR="00585E0B" w:rsidRDefault="00585E0B">
    <w:pPr>
      <w:pStyle w:val="Footer"/>
    </w:pPr>
    <w:r>
      <w:t>Issue Date: 12.16.2020</w:t>
    </w:r>
  </w:p>
  <w:p w14:paraId="3F6391AB" w14:textId="2707641C" w:rsidR="00585E0B" w:rsidRDefault="00585E0B">
    <w:pPr>
      <w:pStyle w:val="Footer"/>
    </w:pPr>
    <w:r>
      <w:t>Revised: 4.20.2022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74AB9" w14:textId="77777777" w:rsidR="007059CD" w:rsidRDefault="007059CD" w:rsidP="00585E0B">
      <w:r>
        <w:separator/>
      </w:r>
    </w:p>
  </w:footnote>
  <w:footnote w:type="continuationSeparator" w:id="0">
    <w:p w14:paraId="57760D80" w14:textId="77777777" w:rsidR="007059CD" w:rsidRDefault="007059CD" w:rsidP="0058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8939" w14:textId="1A6A237B" w:rsidR="00585E0B" w:rsidRPr="00585E0B" w:rsidRDefault="00585E0B" w:rsidP="00585E0B">
    <w:pPr>
      <w:pStyle w:val="Header"/>
      <w:jc w:val="right"/>
      <w:rPr>
        <w:rFonts w:ascii="Cambria" w:hAnsi="Cambria"/>
        <w:b/>
        <w:bCs/>
        <w:sz w:val="36"/>
        <w:szCs w:val="36"/>
      </w:rPr>
    </w:pPr>
    <w:r w:rsidRPr="00585E0B">
      <w:rPr>
        <w:rFonts w:ascii="Cambria" w:hAnsi="Cambria"/>
        <w:b/>
        <w:bCs/>
        <w:sz w:val="36"/>
        <w:szCs w:val="36"/>
      </w:rPr>
      <w:t>Transgender Students - FAB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3AD83A0A"/>
    <w:multiLevelType w:val="multilevel"/>
    <w:tmpl w:val="80E8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485051">
    <w:abstractNumId w:val="0"/>
  </w:num>
  <w:num w:numId="2" w16cid:durableId="570114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0B"/>
    <w:rsid w:val="000D30CB"/>
    <w:rsid w:val="00585E0B"/>
    <w:rsid w:val="005E6E78"/>
    <w:rsid w:val="007059CD"/>
    <w:rsid w:val="00A9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FB86A2"/>
  <w15:chartTrackingRefBased/>
  <w15:docId w15:val="{2F02A525-A0A5-834E-9B42-69A40D89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5E0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character" w:customStyle="1" w:styleId="Heading1Char">
    <w:name w:val="Heading 1 Char"/>
    <w:basedOn w:val="DefaultParagraphFont"/>
    <w:link w:val="Heading1"/>
    <w:uiPriority w:val="9"/>
    <w:rsid w:val="00585E0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85E0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85E0B"/>
    <w:pPr>
      <w:tabs>
        <w:tab w:val="center" w:pos="4680"/>
        <w:tab w:val="right" w:pos="9360"/>
      </w:tabs>
    </w:pPr>
  </w:style>
  <w:style w:type="character" w:customStyle="1" w:styleId="HeaderChar">
    <w:name w:val="Header Char"/>
    <w:basedOn w:val="DefaultParagraphFont"/>
    <w:link w:val="Header"/>
    <w:uiPriority w:val="99"/>
    <w:rsid w:val="00585E0B"/>
  </w:style>
  <w:style w:type="paragraph" w:styleId="Footer">
    <w:name w:val="footer"/>
    <w:basedOn w:val="Normal"/>
    <w:link w:val="FooterChar"/>
    <w:uiPriority w:val="99"/>
    <w:unhideWhenUsed/>
    <w:rsid w:val="00585E0B"/>
    <w:pPr>
      <w:tabs>
        <w:tab w:val="center" w:pos="4680"/>
        <w:tab w:val="right" w:pos="9360"/>
      </w:tabs>
    </w:pPr>
  </w:style>
  <w:style w:type="character" w:customStyle="1" w:styleId="FooterChar">
    <w:name w:val="Footer Char"/>
    <w:basedOn w:val="DefaultParagraphFont"/>
    <w:link w:val="Footer"/>
    <w:uiPriority w:val="99"/>
    <w:rsid w:val="00585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9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2023-03-06T20:44:00Z</dcterms:created>
  <dcterms:modified xsi:type="dcterms:W3CDTF">2023-03-06T20:47:00Z</dcterms:modified>
</cp:coreProperties>
</file>