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4224338" cy="81914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4338" cy="819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50800</wp:posOffset>
                </wp:positionV>
                <wp:extent cx="5060950" cy="476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31400" y="378000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cap="flat" cmpd="sng" w="158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50800</wp:posOffset>
                </wp:positionV>
                <wp:extent cx="5060950" cy="476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095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Talent, Education &amp; Industry Alignment Subcommittee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Monday, March 13, 2023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1:30 pm - 3:30 pm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VIRTUAL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https://utah.zoom.us/j/94205263021?from=addon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 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Dial in: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+1 346 248 7799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Meeting ID: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942 0526 3021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127000</wp:posOffset>
                </wp:positionV>
                <wp:extent cx="5060950" cy="476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31400" y="378000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cap="flat" cmpd="sng" w="158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127000</wp:posOffset>
                </wp:positionV>
                <wp:extent cx="5060950" cy="476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095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 - Welcome &amp; Related Business</w:t>
        <w:tab/>
        <w:tab/>
        <w:tab/>
        <w:t xml:space="preserve">Sen. Ann Millner, Chair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40" w:lineRule="auto"/>
        <w:ind w:left="0" w:firstLine="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for Approval of October Minutes</w:t>
        <w:tab/>
        <w:tab/>
        <w:tab/>
        <w:t xml:space="preserve">Sen. Ann Millner, Chair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Legislative Session Review</w:t>
        <w:tab/>
        <w:tab/>
        <w:tab/>
        <w:tab/>
        <w:tab/>
        <w:t xml:space="preserve">Sen. Ann Millner, Chair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Congressional Funding</w:t>
        <w:tab/>
        <w:tab/>
        <w:tab/>
        <w:tab/>
        <w:t xml:space="preserve">Vic Hockett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K12 Updates</w:t>
        <w:tab/>
        <w:tab/>
        <w:tab/>
        <w:tab/>
        <w:tab/>
        <w:tab/>
        <w:tab/>
        <w:t xml:space="preserve">Rachelle Ackley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CNC Youth Apprenticeship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</w:t>
        <w:tab/>
        <w:t xml:space="preserve">Talent Ready Utah Grants </w:t>
        <w:tab/>
        <w:tab/>
        <w:tab/>
        <w:tab/>
        <w:tab/>
        <w:t xml:space="preserve">Peter Reed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Talent Ready Connections - Motion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Utah Works - Motion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Deep Tech - Letters of Intent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</w:t>
        <w:tab/>
        <w:t xml:space="preserve">USHE Initiatives &amp; Discussion</w:t>
        <w:tab/>
        <w:tab/>
        <w:tab/>
        <w:tab/>
        <w:tab/>
        <w:t xml:space="preserve">Vic Hockett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1440" w:right="-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Project Charter Framework - approval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240" w:lineRule="auto"/>
        <w:ind w:left="2340" w:right="-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 Based Learning Policy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240" w:lineRule="auto"/>
        <w:ind w:left="2340" w:right="-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 Review - R411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2340" w:right="-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Credit for Prior Learning - R472</w:t>
        <w:tab/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40" w:lineRule="auto"/>
        <w:ind w:left="2340" w:right="-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Talent Dashboard</w:t>
        <w:tab/>
        <w:tab/>
      </w:r>
    </w:p>
    <w:p w:rsidR="00000000" w:rsidDel="00000000" w:rsidP="00000000" w:rsidRDefault="00000000" w:rsidRPr="00000000" w14:paraId="00000022">
      <w:pPr>
        <w:spacing w:line="240" w:lineRule="auto"/>
        <w:ind w:left="0" w:right="-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</w:t>
        <w:tab/>
        <w:t xml:space="preserve">Talent Scholarships Discussion</w:t>
        <w:tab/>
        <w:tab/>
        <w:tab/>
        <w:tab/>
        <w:t xml:space="preserve">David Pulsipher, USHE</w:t>
      </w:r>
    </w:p>
    <w:p w:rsidR="00000000" w:rsidDel="00000000" w:rsidP="00000000" w:rsidRDefault="00000000" w:rsidRPr="00000000" w14:paraId="00000024">
      <w:pPr>
        <w:spacing w:line="240" w:lineRule="auto"/>
        <w:ind w:left="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</w:t>
        <w:tab/>
        <w:t xml:space="preserve">Open Board Discussion</w:t>
        <w:tab/>
        <w:tab/>
        <w:tab/>
        <w:tab/>
        <w:tab/>
        <w:t xml:space="preserve">Sen. Ann Millner, Chair</w:t>
      </w:r>
    </w:p>
    <w:p w:rsidR="00000000" w:rsidDel="00000000" w:rsidP="00000000" w:rsidRDefault="00000000" w:rsidRPr="00000000" w14:paraId="00000026">
      <w:pPr>
        <w:spacing w:line="240" w:lineRule="auto"/>
        <w:ind w:left="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Calibri" w:cs="Calibri" w:eastAsia="Calibri" w:hAnsi="Calibri"/>
          <w:color w:val="1a1a2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</w:t>
        <w:tab/>
        <w:t xml:space="preserve">Motion to Adjourn</w:t>
        <w:tab/>
        <w:tab/>
        <w:tab/>
        <w:tab/>
        <w:tab/>
        <w:tab/>
        <w:t xml:space="preserve">Sen. Ann Millner, Chair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utah.zoom.us/j/94205263021?from=ad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