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447E" w:rsidRPr="0096447E" w:rsidRDefault="0096447E" w:rsidP="0096447E">
      <w:pPr>
        <w:shd w:val="clear" w:color="auto" w:fill="FFFFFF"/>
        <w:spacing w:before="280" w:after="0" w:line="240" w:lineRule="auto"/>
        <w:jc w:val="both"/>
        <w:outlineLvl w:val="1"/>
        <w:rPr>
          <w:rFonts w:ascii="Times New Roman" w:eastAsia="Times New Roman" w:hAnsi="Times New Roman" w:cs="Times New Roman"/>
          <w:b/>
          <w:bCs/>
          <w:sz w:val="36"/>
          <w:szCs w:val="36"/>
        </w:rPr>
      </w:pPr>
      <w:r w:rsidRPr="0096447E">
        <w:rPr>
          <w:rFonts w:ascii="Arial" w:eastAsia="Times New Roman" w:hAnsi="Arial" w:cs="Arial"/>
          <w:color w:val="000000"/>
          <w:sz w:val="30"/>
          <w:szCs w:val="30"/>
          <w:u w:val="single"/>
          <w:shd w:val="clear" w:color="auto" w:fill="FFFF00"/>
        </w:rPr>
        <w:t>12.270 Mixed-Use (MXD) Zone</w:t>
      </w:r>
      <w:hyperlink r:id="rId5" w:anchor="name=12.260_Planned_Unit_Development_(PUD)" w:history="1">
        <w:r w:rsidRPr="0096447E">
          <w:rPr>
            <w:rFonts w:ascii="Arial" w:eastAsia="Times New Roman" w:hAnsi="Arial" w:cs="Arial"/>
            <w:color w:val="1155CC"/>
            <w:sz w:val="30"/>
            <w:szCs w:val="30"/>
            <w:u w:val="single"/>
            <w:shd w:val="clear" w:color="auto" w:fill="FFFF00"/>
          </w:rPr>
          <w:t> </w:t>
        </w:r>
      </w:hyperlink>
    </w:p>
    <w:p w:rsidR="0096447E" w:rsidRPr="0096447E" w:rsidRDefault="0096447E" w:rsidP="0096447E">
      <w:pPr>
        <w:shd w:val="clear" w:color="auto" w:fill="FFFFFF"/>
        <w:spacing w:after="0" w:line="240" w:lineRule="auto"/>
        <w:jc w:val="both"/>
        <w:rPr>
          <w:rFonts w:ascii="Times New Roman" w:eastAsia="Times New Roman" w:hAnsi="Times New Roman" w:cs="Times New Roman"/>
          <w:sz w:val="24"/>
          <w:szCs w:val="24"/>
        </w:rPr>
      </w:pPr>
      <w:r w:rsidRPr="0096447E">
        <w:rPr>
          <w:rFonts w:ascii="Times New Roman" w:eastAsia="Times New Roman" w:hAnsi="Times New Roman" w:cs="Times New Roman"/>
          <w:color w:val="000000"/>
        </w:rPr>
        <w:t xml:space="preserve">12.270.010 Purpose </w:t>
      </w:r>
      <w:proofErr w:type="gramStart"/>
      <w:r w:rsidRPr="0096447E">
        <w:rPr>
          <w:rFonts w:ascii="Times New Roman" w:eastAsia="Times New Roman" w:hAnsi="Times New Roman" w:cs="Times New Roman"/>
          <w:color w:val="000000"/>
        </w:rPr>
        <w:t>And</w:t>
      </w:r>
      <w:proofErr w:type="gramEnd"/>
      <w:r w:rsidRPr="0096447E">
        <w:rPr>
          <w:rFonts w:ascii="Times New Roman" w:eastAsia="Times New Roman" w:hAnsi="Times New Roman" w:cs="Times New Roman"/>
          <w:color w:val="000000"/>
        </w:rPr>
        <w:t xml:space="preserve"> Intent</w:t>
      </w:r>
    </w:p>
    <w:p w:rsidR="0096447E" w:rsidRPr="0096447E" w:rsidRDefault="0096447E" w:rsidP="0096447E">
      <w:pPr>
        <w:shd w:val="clear" w:color="auto" w:fill="FFFFFF"/>
        <w:spacing w:after="0" w:line="240" w:lineRule="auto"/>
        <w:jc w:val="both"/>
        <w:rPr>
          <w:rFonts w:ascii="Times New Roman" w:eastAsia="Times New Roman" w:hAnsi="Times New Roman" w:cs="Times New Roman"/>
          <w:sz w:val="24"/>
          <w:szCs w:val="24"/>
        </w:rPr>
      </w:pPr>
      <w:r w:rsidRPr="0096447E">
        <w:rPr>
          <w:rFonts w:ascii="Times New Roman" w:eastAsia="Times New Roman" w:hAnsi="Times New Roman" w:cs="Times New Roman"/>
          <w:color w:val="0000EE"/>
          <w:u w:val="single"/>
        </w:rPr>
        <w:t>12.270.020 Approval Process</w:t>
      </w:r>
    </w:p>
    <w:p w:rsidR="0096447E" w:rsidRPr="0096447E" w:rsidRDefault="0096447E" w:rsidP="0096447E">
      <w:pPr>
        <w:shd w:val="clear" w:color="auto" w:fill="FFFFFF"/>
        <w:spacing w:after="0" w:line="240" w:lineRule="auto"/>
        <w:jc w:val="both"/>
        <w:rPr>
          <w:rFonts w:ascii="Times New Roman" w:eastAsia="Times New Roman" w:hAnsi="Times New Roman" w:cs="Times New Roman"/>
          <w:sz w:val="24"/>
          <w:szCs w:val="24"/>
        </w:rPr>
      </w:pPr>
      <w:hyperlink r:id="rId6" w:anchor="name=12.260.030_Permitted_Use_By_Overlay_Zone_In_All_Residential_Zones" w:history="1">
        <w:r w:rsidRPr="0096447E">
          <w:rPr>
            <w:rFonts w:ascii="Times New Roman" w:eastAsia="Times New Roman" w:hAnsi="Times New Roman" w:cs="Times New Roman"/>
            <w:color w:val="0000EE"/>
            <w:u w:val="single"/>
          </w:rPr>
          <w:t>12.270.030 Permitted, Conditional, And Prohibited Use</w:t>
        </w:r>
      </w:hyperlink>
      <w:proofErr w:type="gramStart"/>
      <w:r w:rsidRPr="0096447E">
        <w:rPr>
          <w:rFonts w:ascii="Times New Roman" w:eastAsia="Times New Roman" w:hAnsi="Times New Roman" w:cs="Times New Roman"/>
          <w:color w:val="0000EE"/>
          <w:u w:val="single"/>
        </w:rPr>
        <w:t>s</w:t>
      </w:r>
      <w:proofErr w:type="gramEnd"/>
    </w:p>
    <w:p w:rsidR="0096447E" w:rsidRPr="0096447E" w:rsidRDefault="0096447E" w:rsidP="0096447E">
      <w:pPr>
        <w:shd w:val="clear" w:color="auto" w:fill="FFFFFF"/>
        <w:spacing w:after="0" w:line="240" w:lineRule="auto"/>
        <w:jc w:val="both"/>
        <w:rPr>
          <w:rFonts w:ascii="Times New Roman" w:eastAsia="Times New Roman" w:hAnsi="Times New Roman" w:cs="Times New Roman"/>
          <w:sz w:val="24"/>
          <w:szCs w:val="24"/>
        </w:rPr>
      </w:pPr>
      <w:hyperlink r:id="rId7" w:anchor="name=12.260.050_Unified_Control" w:history="1">
        <w:r w:rsidRPr="0096447E">
          <w:rPr>
            <w:rFonts w:ascii="Times New Roman" w:eastAsia="Times New Roman" w:hAnsi="Times New Roman" w:cs="Times New Roman"/>
            <w:color w:val="0000EE"/>
            <w:u w:val="single"/>
          </w:rPr>
          <w:t>12.270.040 General Requirements</w:t>
        </w:r>
      </w:hyperlink>
    </w:p>
    <w:p w:rsidR="0096447E" w:rsidRPr="0096447E" w:rsidRDefault="0096447E" w:rsidP="0096447E">
      <w:pPr>
        <w:shd w:val="clear" w:color="auto" w:fill="FFFFFF"/>
        <w:spacing w:after="0" w:line="240" w:lineRule="auto"/>
        <w:jc w:val="both"/>
        <w:rPr>
          <w:rFonts w:ascii="Times New Roman" w:eastAsia="Times New Roman" w:hAnsi="Times New Roman" w:cs="Times New Roman"/>
          <w:sz w:val="24"/>
          <w:szCs w:val="24"/>
        </w:rPr>
      </w:pPr>
      <w:hyperlink r:id="rId8" w:anchor="name=12.260.060_Standards_And_Conditions" w:history="1">
        <w:r w:rsidRPr="0096447E">
          <w:rPr>
            <w:rFonts w:ascii="Times New Roman" w:eastAsia="Times New Roman" w:hAnsi="Times New Roman" w:cs="Times New Roman"/>
            <w:color w:val="0000EE"/>
            <w:u w:val="single"/>
          </w:rPr>
          <w:t>12.270.050 Development Standards</w:t>
        </w:r>
      </w:hyperlink>
    </w:p>
    <w:p w:rsidR="0096447E" w:rsidRPr="0096447E" w:rsidRDefault="0096447E" w:rsidP="0096447E">
      <w:pPr>
        <w:shd w:val="clear" w:color="auto" w:fill="FFFFFF"/>
        <w:spacing w:after="0" w:line="240" w:lineRule="auto"/>
        <w:jc w:val="both"/>
        <w:rPr>
          <w:rFonts w:ascii="Times New Roman" w:eastAsia="Times New Roman" w:hAnsi="Times New Roman" w:cs="Times New Roman"/>
          <w:sz w:val="24"/>
          <w:szCs w:val="24"/>
        </w:rPr>
      </w:pPr>
      <w:r w:rsidRPr="0096447E">
        <w:rPr>
          <w:rFonts w:ascii="Times New Roman" w:eastAsia="Times New Roman" w:hAnsi="Times New Roman" w:cs="Times New Roman"/>
          <w:color w:val="0000EE"/>
          <w:u w:val="single"/>
        </w:rPr>
        <w:t>12.270.060 Approval Time Limit</w:t>
      </w:r>
    </w:p>
    <w:p w:rsidR="0096447E" w:rsidRPr="0096447E" w:rsidRDefault="0096447E" w:rsidP="0096447E">
      <w:pPr>
        <w:shd w:val="clear" w:color="auto" w:fill="FFFFFF"/>
        <w:spacing w:after="0" w:line="240" w:lineRule="auto"/>
        <w:jc w:val="both"/>
        <w:rPr>
          <w:rFonts w:ascii="Times New Roman" w:eastAsia="Times New Roman" w:hAnsi="Times New Roman" w:cs="Times New Roman"/>
          <w:sz w:val="24"/>
          <w:szCs w:val="24"/>
        </w:rPr>
      </w:pPr>
    </w:p>
    <w:p w:rsidR="0096447E" w:rsidRPr="0096447E" w:rsidRDefault="0096447E" w:rsidP="0096447E">
      <w:pPr>
        <w:spacing w:after="120" w:line="240" w:lineRule="auto"/>
        <w:rPr>
          <w:rFonts w:ascii="Times New Roman" w:eastAsia="Times New Roman" w:hAnsi="Times New Roman" w:cs="Times New Roman"/>
          <w:sz w:val="24"/>
          <w:szCs w:val="24"/>
        </w:rPr>
      </w:pPr>
      <w:hyperlink r:id="rId9" w:anchor="name=12.260.010_Purpose" w:history="1">
        <w:r w:rsidRPr="0096447E">
          <w:rPr>
            <w:rFonts w:ascii="Times New Roman" w:eastAsia="Times New Roman" w:hAnsi="Times New Roman" w:cs="Times New Roman"/>
            <w:b/>
            <w:bCs/>
            <w:color w:val="000000"/>
            <w:u w:val="single"/>
          </w:rPr>
          <w:t xml:space="preserve">12.270.010 Purpose </w:t>
        </w:r>
        <w:proofErr w:type="gramStart"/>
        <w:r w:rsidRPr="0096447E">
          <w:rPr>
            <w:rFonts w:ascii="Times New Roman" w:eastAsia="Times New Roman" w:hAnsi="Times New Roman" w:cs="Times New Roman"/>
            <w:b/>
            <w:bCs/>
            <w:color w:val="000000"/>
            <w:u w:val="single"/>
          </w:rPr>
          <w:t>And</w:t>
        </w:r>
        <w:proofErr w:type="gramEnd"/>
        <w:r w:rsidRPr="0096447E">
          <w:rPr>
            <w:rFonts w:ascii="Times New Roman" w:eastAsia="Times New Roman" w:hAnsi="Times New Roman" w:cs="Times New Roman"/>
            <w:b/>
            <w:bCs/>
            <w:color w:val="000000"/>
            <w:u w:val="single"/>
          </w:rPr>
          <w:t xml:space="preserve"> Intent</w:t>
        </w:r>
      </w:hyperlink>
    </w:p>
    <w:p w:rsidR="0096447E" w:rsidRPr="0096447E" w:rsidRDefault="0096447E" w:rsidP="0096447E">
      <w:pPr>
        <w:shd w:val="clear" w:color="auto" w:fill="FFFFFF"/>
        <w:spacing w:after="0" w:line="240" w:lineRule="auto"/>
        <w:jc w:val="both"/>
        <w:rPr>
          <w:rFonts w:ascii="Times New Roman" w:eastAsia="Times New Roman" w:hAnsi="Times New Roman" w:cs="Times New Roman"/>
          <w:sz w:val="24"/>
          <w:szCs w:val="24"/>
        </w:rPr>
      </w:pPr>
      <w:r w:rsidRPr="0096447E">
        <w:rPr>
          <w:rFonts w:ascii="Times New Roman" w:eastAsia="Times New Roman" w:hAnsi="Times New Roman" w:cs="Times New Roman"/>
          <w:color w:val="515967"/>
        </w:rPr>
        <w:t xml:space="preserve">The purpose of the Mixed-Use (MXD) zone is to provide locations within the </w:t>
      </w:r>
      <w:proofErr w:type="gramStart"/>
      <w:r w:rsidRPr="0096447E">
        <w:rPr>
          <w:rFonts w:ascii="Times New Roman" w:eastAsia="Times New Roman" w:hAnsi="Times New Roman" w:cs="Times New Roman"/>
          <w:color w:val="515967"/>
        </w:rPr>
        <w:t>City</w:t>
      </w:r>
      <w:proofErr w:type="gramEnd"/>
      <w:r w:rsidRPr="0096447E">
        <w:rPr>
          <w:rFonts w:ascii="Times New Roman" w:eastAsia="Times New Roman" w:hAnsi="Times New Roman" w:cs="Times New Roman"/>
          <w:color w:val="515967"/>
        </w:rPr>
        <w:t xml:space="preserve"> for developments which either combine commercial or retail uses with multi-family residential uses within a structure, or provide mixed-uses in separate structures within close proximity to other uses along a corridor or within a walkable district.  By allowing a mix of uses, residential uses can be located within </w:t>
      </w:r>
      <w:proofErr w:type="gramStart"/>
      <w:r w:rsidRPr="0096447E">
        <w:rPr>
          <w:rFonts w:ascii="Times New Roman" w:eastAsia="Times New Roman" w:hAnsi="Times New Roman" w:cs="Times New Roman"/>
          <w:color w:val="515967"/>
        </w:rPr>
        <w:t>close proximity</w:t>
      </w:r>
      <w:proofErr w:type="gramEnd"/>
      <w:r w:rsidRPr="0096447E">
        <w:rPr>
          <w:rFonts w:ascii="Times New Roman" w:eastAsia="Times New Roman" w:hAnsi="Times New Roman" w:cs="Times New Roman"/>
          <w:color w:val="515967"/>
        </w:rPr>
        <w:t xml:space="preserve"> to jobs, shopping, and entertainment opportunities which increase pedestrian activity and promote neighborhood vitality.</w:t>
      </w:r>
    </w:p>
    <w:p w:rsidR="0096447E" w:rsidRPr="0096447E" w:rsidRDefault="0096447E" w:rsidP="0096447E">
      <w:pPr>
        <w:shd w:val="clear" w:color="auto" w:fill="FFFFFF"/>
        <w:spacing w:after="0" w:line="240" w:lineRule="auto"/>
        <w:jc w:val="both"/>
        <w:rPr>
          <w:rFonts w:ascii="Times New Roman" w:eastAsia="Times New Roman" w:hAnsi="Times New Roman" w:cs="Times New Roman"/>
          <w:sz w:val="24"/>
          <w:szCs w:val="24"/>
        </w:rPr>
      </w:pPr>
    </w:p>
    <w:p w:rsidR="0096447E" w:rsidRPr="0096447E" w:rsidRDefault="0096447E" w:rsidP="0096447E">
      <w:pPr>
        <w:shd w:val="clear" w:color="auto" w:fill="FFFFFF"/>
        <w:spacing w:after="220" w:line="240" w:lineRule="auto"/>
        <w:jc w:val="both"/>
        <w:rPr>
          <w:rFonts w:ascii="Times New Roman" w:eastAsia="Times New Roman" w:hAnsi="Times New Roman" w:cs="Times New Roman"/>
          <w:sz w:val="24"/>
          <w:szCs w:val="24"/>
        </w:rPr>
      </w:pPr>
      <w:hyperlink r:id="rId10" w:anchor="name=12.260.020_Definitions" w:history="1">
        <w:r w:rsidRPr="0096447E">
          <w:rPr>
            <w:rFonts w:ascii="Times New Roman" w:eastAsia="Times New Roman" w:hAnsi="Times New Roman" w:cs="Times New Roman"/>
            <w:b/>
            <w:bCs/>
            <w:color w:val="000000"/>
            <w:u w:val="single"/>
          </w:rPr>
          <w:t>12.270.020 Approval Process</w:t>
        </w:r>
      </w:hyperlink>
    </w:p>
    <w:p w:rsidR="0096447E" w:rsidRPr="0096447E" w:rsidRDefault="0096447E" w:rsidP="0096447E">
      <w:pPr>
        <w:numPr>
          <w:ilvl w:val="0"/>
          <w:numId w:val="1"/>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Application for zone change.  Any person desiring to develop property within the Mixed-Use (MXD) zone shall first file an application for zone change pursuant to </w:t>
      </w:r>
      <w:proofErr w:type="gramStart"/>
      <w:r w:rsidRPr="0096447E">
        <w:rPr>
          <w:rFonts w:ascii="Times New Roman" w:eastAsia="Times New Roman" w:hAnsi="Times New Roman" w:cs="Times New Roman"/>
          <w:color w:val="515967"/>
          <w:shd w:val="clear" w:color="auto" w:fill="00FFFF"/>
        </w:rPr>
        <w:t>[ ]</w:t>
      </w:r>
      <w:proofErr w:type="gramEnd"/>
      <w:r w:rsidRPr="0096447E">
        <w:rPr>
          <w:rFonts w:ascii="Times New Roman" w:eastAsia="Times New Roman" w:hAnsi="Times New Roman" w:cs="Times New Roman"/>
          <w:color w:val="515967"/>
        </w:rPr>
        <w:t xml:space="preserve"> of HPMC along with the applicable fees as outlined in the City’s consolidated fee schedule.</w:t>
      </w:r>
    </w:p>
    <w:p w:rsidR="0096447E" w:rsidRPr="0096447E" w:rsidRDefault="0096447E" w:rsidP="0096447E">
      <w:pPr>
        <w:numPr>
          <w:ilvl w:val="0"/>
          <w:numId w:val="2"/>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Development/Site Plan required.  The zone change application shall be accompanied by a development/site plan and supporting materials that describe the proposed land uses, proposed density in relation to the City’s General Plan, as well as elevations of proposed structures within the development.</w:t>
      </w:r>
    </w:p>
    <w:p w:rsidR="0096447E" w:rsidRPr="0096447E" w:rsidRDefault="0096447E" w:rsidP="0096447E">
      <w:pPr>
        <w:numPr>
          <w:ilvl w:val="1"/>
          <w:numId w:val="3"/>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Use of land.  The applicant shall prepare a site plan and written text that shows and clearly explains the proposed use of land including the percentages (%) of land devoted to various types of land use (i.e., building coverage, parking area, landscaped area, etc.)</w:t>
      </w:r>
    </w:p>
    <w:p w:rsidR="0096447E" w:rsidRPr="0096447E" w:rsidRDefault="0096447E" w:rsidP="0096447E">
      <w:pPr>
        <w:numPr>
          <w:ilvl w:val="1"/>
          <w:numId w:val="4"/>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Structures.  The text shall indicate the type, character, and proposed height of all buildings and structures.</w:t>
      </w:r>
    </w:p>
    <w:p w:rsidR="0096447E" w:rsidRPr="0096447E" w:rsidRDefault="0096447E" w:rsidP="0096447E">
      <w:pPr>
        <w:numPr>
          <w:ilvl w:val="1"/>
          <w:numId w:val="5"/>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Density.  The density in terms of dwelling units per gross acre of land shall be indicated.</w:t>
      </w:r>
    </w:p>
    <w:p w:rsidR="0096447E" w:rsidRPr="0096447E" w:rsidRDefault="0096447E" w:rsidP="0096447E">
      <w:pPr>
        <w:numPr>
          <w:ilvl w:val="1"/>
          <w:numId w:val="6"/>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Common spaces.  The location of any common spaces shall be identified.</w:t>
      </w:r>
    </w:p>
    <w:p w:rsidR="0096447E" w:rsidRPr="0096447E" w:rsidRDefault="0096447E" w:rsidP="0096447E">
      <w:pPr>
        <w:numPr>
          <w:ilvl w:val="1"/>
          <w:numId w:val="7"/>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Phasing plan.  A phasing plan, if the proposed development is to be constructed in phases, shall be submitted.</w:t>
      </w:r>
    </w:p>
    <w:p w:rsidR="0096447E" w:rsidRPr="0096447E" w:rsidRDefault="0096447E" w:rsidP="0096447E">
      <w:pPr>
        <w:numPr>
          <w:ilvl w:val="1"/>
          <w:numId w:val="8"/>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Topography.  Topography at contour intervals of two feet (2’) shall be submitted unless waived by the DRC.</w:t>
      </w:r>
    </w:p>
    <w:p w:rsidR="0096447E" w:rsidRPr="0096447E" w:rsidRDefault="0096447E" w:rsidP="0096447E">
      <w:pPr>
        <w:numPr>
          <w:ilvl w:val="1"/>
          <w:numId w:val="9"/>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Landscape plan.  A landscape plan showing the general location of lawn areas, shrubs, trees, and fencing shall be submitted.  The amount of developable land area reserved for landscaping or other recreational amenities shall be indicated.</w:t>
      </w:r>
    </w:p>
    <w:p w:rsidR="0096447E" w:rsidRPr="0096447E" w:rsidRDefault="0096447E" w:rsidP="0096447E">
      <w:pPr>
        <w:numPr>
          <w:ilvl w:val="0"/>
          <w:numId w:val="10"/>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Public hearing by Planning Commission.  The Zoning Administrator or designee shall schedule a public hearing for the Planning Commission to consider the proposed zone change.  The Planning Commission shall review the proposed development plan, supporting materials, </w:t>
      </w:r>
      <w:proofErr w:type="gramStart"/>
      <w:r w:rsidRPr="0096447E">
        <w:rPr>
          <w:rFonts w:ascii="Times New Roman" w:eastAsia="Times New Roman" w:hAnsi="Times New Roman" w:cs="Times New Roman"/>
          <w:color w:val="515967"/>
        </w:rPr>
        <w:t>staff</w:t>
      </w:r>
      <w:proofErr w:type="gramEnd"/>
      <w:r w:rsidRPr="0096447E">
        <w:rPr>
          <w:rFonts w:ascii="Times New Roman" w:eastAsia="Times New Roman" w:hAnsi="Times New Roman" w:cs="Times New Roman"/>
          <w:color w:val="515967"/>
        </w:rPr>
        <w:t xml:space="preserve"> and DRC comments for compliance with applicable ordinances and general plan policies.  The Planning Commission shall make a recommendation to the City Council to either approve, approve with modifications, or deny the zone change request.</w:t>
      </w:r>
    </w:p>
    <w:p w:rsidR="0096447E" w:rsidRPr="0096447E" w:rsidRDefault="0096447E" w:rsidP="0096447E">
      <w:pPr>
        <w:numPr>
          <w:ilvl w:val="0"/>
          <w:numId w:val="11"/>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Review and decision by the City Council in a public meeting of the City Council.  The Zoning Administrator or designee shall schedule a public meeting for the City Council to consider the proposed zone change.  The City Council shall receive the recommendation of the Planning Commission and shall approve, approve with modifications, or deny the requested zone change.</w:t>
      </w:r>
    </w:p>
    <w:p w:rsidR="0096447E" w:rsidRPr="0096447E" w:rsidRDefault="0096447E" w:rsidP="0096447E">
      <w:pPr>
        <w:numPr>
          <w:ilvl w:val="0"/>
          <w:numId w:val="12"/>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lastRenderedPageBreak/>
        <w:t>Upon approval of the zone change request and development/site plan approval the applicant may move forward with application for building permit.</w:t>
      </w:r>
    </w:p>
    <w:p w:rsidR="0096447E" w:rsidRPr="0096447E" w:rsidRDefault="0096447E" w:rsidP="0096447E">
      <w:pPr>
        <w:numPr>
          <w:ilvl w:val="0"/>
          <w:numId w:val="13"/>
        </w:numPr>
        <w:spacing w:after="12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Changes.  Minor changes in the location, sitting or character of structures may be authorized by the Zoning Administrator if required by engineering or other circumstances not </w:t>
      </w:r>
      <w:proofErr w:type="spellStart"/>
      <w:r w:rsidRPr="0096447E">
        <w:rPr>
          <w:rFonts w:ascii="Times New Roman" w:eastAsia="Times New Roman" w:hAnsi="Times New Roman" w:cs="Times New Roman"/>
          <w:color w:val="515967"/>
        </w:rPr>
        <w:t>forseen</w:t>
      </w:r>
      <w:proofErr w:type="spellEnd"/>
      <w:r w:rsidRPr="0096447E">
        <w:rPr>
          <w:rFonts w:ascii="Times New Roman" w:eastAsia="Times New Roman" w:hAnsi="Times New Roman" w:cs="Times New Roman"/>
          <w:color w:val="515967"/>
        </w:rPr>
        <w:t xml:space="preserve"> at the time of plan approval.  All other changes, including changes in the site plan, development schedule, etc., shall be approved by the Land Use Authority as outlined in </w:t>
      </w:r>
      <w:proofErr w:type="gramStart"/>
      <w:r w:rsidRPr="0096447E">
        <w:rPr>
          <w:rFonts w:ascii="Times New Roman" w:eastAsia="Times New Roman" w:hAnsi="Times New Roman" w:cs="Times New Roman"/>
          <w:color w:val="515967"/>
          <w:shd w:val="clear" w:color="auto" w:fill="00FFFF"/>
        </w:rPr>
        <w:t>[ ]</w:t>
      </w:r>
      <w:proofErr w:type="gramEnd"/>
      <w:r w:rsidRPr="0096447E">
        <w:rPr>
          <w:rFonts w:ascii="Times New Roman" w:eastAsia="Times New Roman" w:hAnsi="Times New Roman" w:cs="Times New Roman"/>
          <w:color w:val="515967"/>
        </w:rPr>
        <w:t xml:space="preserve"> of HPMC.  Deviations from approved plans, or the failure to comply with any requirements imposed during approval of the project shall constitute a violation of this ordinance.</w:t>
      </w:r>
    </w:p>
    <w:p w:rsidR="0096447E" w:rsidRPr="0096447E" w:rsidRDefault="0096447E" w:rsidP="0096447E">
      <w:pPr>
        <w:shd w:val="clear" w:color="auto" w:fill="FFFFFF"/>
        <w:spacing w:after="0" w:line="240" w:lineRule="auto"/>
        <w:jc w:val="both"/>
        <w:rPr>
          <w:rFonts w:ascii="Times New Roman" w:eastAsia="Times New Roman" w:hAnsi="Times New Roman" w:cs="Times New Roman"/>
          <w:sz w:val="24"/>
          <w:szCs w:val="24"/>
        </w:rPr>
      </w:pPr>
    </w:p>
    <w:p w:rsidR="0096447E" w:rsidRPr="0096447E" w:rsidRDefault="0096447E" w:rsidP="0096447E">
      <w:pPr>
        <w:shd w:val="clear" w:color="auto" w:fill="FFFFFF"/>
        <w:spacing w:after="220" w:line="240" w:lineRule="auto"/>
        <w:jc w:val="both"/>
        <w:rPr>
          <w:rFonts w:ascii="Times New Roman" w:eastAsia="Times New Roman" w:hAnsi="Times New Roman" w:cs="Times New Roman"/>
          <w:sz w:val="24"/>
          <w:szCs w:val="24"/>
        </w:rPr>
      </w:pPr>
      <w:hyperlink r:id="rId11" w:anchor="name=12.260.030_Permitted_Use_By_Overlay_Zone_In_All_Residential_Zones" w:history="1">
        <w:r w:rsidRPr="0096447E">
          <w:rPr>
            <w:rFonts w:ascii="Times New Roman" w:eastAsia="Times New Roman" w:hAnsi="Times New Roman" w:cs="Times New Roman"/>
            <w:b/>
            <w:bCs/>
            <w:color w:val="000000"/>
            <w:u w:val="single"/>
          </w:rPr>
          <w:t>12.270.030 Permitted, Conditional, And Prohibited Uses</w:t>
        </w:r>
      </w:hyperlink>
    </w:p>
    <w:p w:rsidR="0096447E" w:rsidRPr="0096447E" w:rsidRDefault="0096447E" w:rsidP="0096447E">
      <w:pPr>
        <w:numPr>
          <w:ilvl w:val="0"/>
          <w:numId w:val="14"/>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Permitted, conditional, and prohibited uses within the Mixed-Use (MXD) zone shall be those as outlined in </w:t>
      </w:r>
      <w:proofErr w:type="gramStart"/>
      <w:r w:rsidRPr="0096447E">
        <w:rPr>
          <w:rFonts w:ascii="Times New Roman" w:eastAsia="Times New Roman" w:hAnsi="Times New Roman" w:cs="Times New Roman"/>
          <w:color w:val="515967"/>
          <w:shd w:val="clear" w:color="auto" w:fill="00FFFF"/>
        </w:rPr>
        <w:t>[ ]</w:t>
      </w:r>
      <w:proofErr w:type="gramEnd"/>
      <w:r w:rsidRPr="0096447E">
        <w:rPr>
          <w:rFonts w:ascii="Times New Roman" w:eastAsia="Times New Roman" w:hAnsi="Times New Roman" w:cs="Times New Roman"/>
          <w:color w:val="515967"/>
        </w:rPr>
        <w:t xml:space="preserve"> of HPMC.</w:t>
      </w:r>
    </w:p>
    <w:p w:rsidR="0096447E" w:rsidRPr="0096447E" w:rsidRDefault="0096447E" w:rsidP="0096447E">
      <w:pPr>
        <w:numPr>
          <w:ilvl w:val="0"/>
          <w:numId w:val="15"/>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All uses located in the Mixed-Use (MXD) zone shall be conducted entirely within a fully enclosed building.  There shall be no outside storage of materials or equipment, other than motor vehicles licensed for street use.</w:t>
      </w:r>
    </w:p>
    <w:p w:rsidR="0096447E" w:rsidRPr="0096447E" w:rsidRDefault="0096447E" w:rsidP="0096447E">
      <w:pPr>
        <w:numPr>
          <w:ilvl w:val="0"/>
          <w:numId w:val="16"/>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Drive-through operations shall be strictly prohibited.</w:t>
      </w:r>
    </w:p>
    <w:p w:rsidR="0096447E" w:rsidRPr="0096447E" w:rsidRDefault="0096447E" w:rsidP="0096447E">
      <w:pPr>
        <w:numPr>
          <w:ilvl w:val="0"/>
          <w:numId w:val="17"/>
        </w:numPr>
        <w:spacing w:after="12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Any combination of the above uses, or other uses that may be recommended by the Planning Commission and approved by the City Council to be compatible and in harmony with the proposed development </w:t>
      </w:r>
      <w:proofErr w:type="gramStart"/>
      <w:r w:rsidRPr="0096447E">
        <w:rPr>
          <w:rFonts w:ascii="Times New Roman" w:eastAsia="Times New Roman" w:hAnsi="Times New Roman" w:cs="Times New Roman"/>
          <w:color w:val="515967"/>
        </w:rPr>
        <w:t>provided that</w:t>
      </w:r>
      <w:proofErr w:type="gramEnd"/>
      <w:r w:rsidRPr="0096447E">
        <w:rPr>
          <w:rFonts w:ascii="Times New Roman" w:eastAsia="Times New Roman" w:hAnsi="Times New Roman" w:cs="Times New Roman"/>
          <w:color w:val="515967"/>
        </w:rPr>
        <w:t xml:space="preserve"> agreements and restrictive covenants controlling the proposed uses, ownership, characteristics, and design are filed by and entered into by the developer to assure that the uses or services are maintained.</w:t>
      </w:r>
    </w:p>
    <w:p w:rsidR="0096447E" w:rsidRPr="0096447E" w:rsidRDefault="0096447E" w:rsidP="0096447E">
      <w:pPr>
        <w:shd w:val="clear" w:color="auto" w:fill="FFFFFF"/>
        <w:spacing w:before="220" w:after="0" w:line="240" w:lineRule="auto"/>
        <w:jc w:val="both"/>
        <w:rPr>
          <w:rFonts w:ascii="Times New Roman" w:eastAsia="Times New Roman" w:hAnsi="Times New Roman" w:cs="Times New Roman"/>
          <w:sz w:val="24"/>
          <w:szCs w:val="24"/>
        </w:rPr>
      </w:pPr>
    </w:p>
    <w:p w:rsidR="0096447E" w:rsidRPr="0096447E" w:rsidRDefault="0096447E" w:rsidP="0096447E">
      <w:pPr>
        <w:shd w:val="clear" w:color="auto" w:fill="FFFFFF"/>
        <w:spacing w:after="220" w:line="240" w:lineRule="auto"/>
        <w:jc w:val="both"/>
        <w:rPr>
          <w:rFonts w:ascii="Times New Roman" w:eastAsia="Times New Roman" w:hAnsi="Times New Roman" w:cs="Times New Roman"/>
          <w:sz w:val="24"/>
          <w:szCs w:val="24"/>
        </w:rPr>
      </w:pPr>
      <w:hyperlink r:id="rId12" w:anchor="name=12.260.050_Unified_Control" w:history="1">
        <w:r w:rsidRPr="0096447E">
          <w:rPr>
            <w:rFonts w:ascii="Times New Roman" w:eastAsia="Times New Roman" w:hAnsi="Times New Roman" w:cs="Times New Roman"/>
            <w:b/>
            <w:bCs/>
            <w:color w:val="000000"/>
            <w:u w:val="single"/>
          </w:rPr>
          <w:t>12.270.040 General Requirements</w:t>
        </w:r>
      </w:hyperlink>
    </w:p>
    <w:p w:rsidR="0096447E" w:rsidRPr="0096447E" w:rsidRDefault="0096447E" w:rsidP="0096447E">
      <w:pPr>
        <w:numPr>
          <w:ilvl w:val="0"/>
          <w:numId w:val="18"/>
        </w:numPr>
        <w:shd w:val="clear" w:color="auto" w:fill="FFFFFF"/>
        <w:spacing w:before="220" w:after="0" w:line="240" w:lineRule="auto"/>
        <w:jc w:val="both"/>
        <w:textAlignment w:val="baseline"/>
        <w:rPr>
          <w:rFonts w:ascii="Times New Roman" w:eastAsia="Times New Roman" w:hAnsi="Times New Roman" w:cs="Times New Roman"/>
          <w:color w:val="515967"/>
          <w:sz w:val="20"/>
          <w:szCs w:val="20"/>
        </w:rPr>
      </w:pPr>
      <w:r w:rsidRPr="0096447E">
        <w:rPr>
          <w:rFonts w:ascii="Times New Roman" w:eastAsia="Times New Roman" w:hAnsi="Times New Roman" w:cs="Times New Roman"/>
          <w:color w:val="515967"/>
          <w:sz w:val="20"/>
          <w:szCs w:val="20"/>
        </w:rPr>
        <w:t>Ownership.  A Mixed-Use (MXD) project shall be in single or corporate ownership at the time of application, or the subject of an application filed jointly by all owners of the property.</w:t>
      </w:r>
    </w:p>
    <w:p w:rsidR="0096447E" w:rsidRPr="0096447E" w:rsidRDefault="0096447E" w:rsidP="0096447E">
      <w:pPr>
        <w:numPr>
          <w:ilvl w:val="0"/>
          <w:numId w:val="19"/>
        </w:numPr>
        <w:shd w:val="clear" w:color="auto" w:fill="FFFFFF"/>
        <w:spacing w:after="0" w:line="240" w:lineRule="auto"/>
        <w:jc w:val="both"/>
        <w:textAlignment w:val="baseline"/>
        <w:rPr>
          <w:rFonts w:ascii="Times New Roman" w:eastAsia="Times New Roman" w:hAnsi="Times New Roman" w:cs="Times New Roman"/>
          <w:color w:val="515967"/>
          <w:sz w:val="20"/>
          <w:szCs w:val="20"/>
        </w:rPr>
      </w:pPr>
      <w:r w:rsidRPr="0096447E">
        <w:rPr>
          <w:rFonts w:ascii="Times New Roman" w:eastAsia="Times New Roman" w:hAnsi="Times New Roman" w:cs="Times New Roman"/>
          <w:color w:val="515967"/>
          <w:sz w:val="20"/>
          <w:szCs w:val="20"/>
        </w:rPr>
        <w:t>Homeowner’s association (HOA).  An HOA shall be established by the developer and registered with the State as a business entity.</w:t>
      </w:r>
    </w:p>
    <w:p w:rsidR="0096447E" w:rsidRPr="0096447E" w:rsidRDefault="0096447E" w:rsidP="0096447E">
      <w:pPr>
        <w:numPr>
          <w:ilvl w:val="0"/>
          <w:numId w:val="20"/>
        </w:numPr>
        <w:shd w:val="clear" w:color="auto" w:fill="FFFFFF"/>
        <w:spacing w:after="0" w:line="240" w:lineRule="auto"/>
        <w:jc w:val="both"/>
        <w:textAlignment w:val="baseline"/>
        <w:rPr>
          <w:rFonts w:ascii="Times New Roman" w:eastAsia="Times New Roman" w:hAnsi="Times New Roman" w:cs="Times New Roman"/>
          <w:color w:val="515967"/>
          <w:sz w:val="20"/>
          <w:szCs w:val="20"/>
        </w:rPr>
      </w:pPr>
      <w:r w:rsidRPr="0096447E">
        <w:rPr>
          <w:rFonts w:ascii="Times New Roman" w:eastAsia="Times New Roman" w:hAnsi="Times New Roman" w:cs="Times New Roman"/>
          <w:color w:val="515967"/>
          <w:sz w:val="20"/>
          <w:szCs w:val="20"/>
        </w:rPr>
        <w:t>Residential uses located above ground floor.  Residential uses shall be located above the ground floor commercial uses.</w:t>
      </w:r>
    </w:p>
    <w:p w:rsidR="0096447E" w:rsidRPr="0096447E" w:rsidRDefault="0096447E" w:rsidP="0096447E">
      <w:pPr>
        <w:numPr>
          <w:ilvl w:val="0"/>
          <w:numId w:val="21"/>
        </w:numPr>
        <w:shd w:val="clear" w:color="auto" w:fill="FFFFFF"/>
        <w:spacing w:after="0" w:line="240" w:lineRule="auto"/>
        <w:jc w:val="both"/>
        <w:textAlignment w:val="baseline"/>
        <w:rPr>
          <w:rFonts w:ascii="Times New Roman" w:eastAsia="Times New Roman" w:hAnsi="Times New Roman" w:cs="Times New Roman"/>
          <w:color w:val="515967"/>
          <w:sz w:val="20"/>
          <w:szCs w:val="20"/>
        </w:rPr>
      </w:pPr>
      <w:r w:rsidRPr="0096447E">
        <w:rPr>
          <w:rFonts w:ascii="Times New Roman" w:eastAsia="Times New Roman" w:hAnsi="Times New Roman" w:cs="Times New Roman"/>
          <w:color w:val="515967"/>
          <w:sz w:val="20"/>
          <w:szCs w:val="20"/>
        </w:rPr>
        <w:t>Ground floor commercial use required.  The entire ground floor of any structure proposed in the Mixed-Use (MXD) zone shall be limited only to commercial uses, with the following exceptions:</w:t>
      </w:r>
    </w:p>
    <w:p w:rsidR="0096447E" w:rsidRPr="0096447E" w:rsidRDefault="0096447E" w:rsidP="0096447E">
      <w:pPr>
        <w:numPr>
          <w:ilvl w:val="1"/>
          <w:numId w:val="22"/>
        </w:numPr>
        <w:shd w:val="clear" w:color="auto" w:fill="FFFFFF"/>
        <w:spacing w:after="0" w:line="240" w:lineRule="auto"/>
        <w:jc w:val="both"/>
        <w:textAlignment w:val="baseline"/>
        <w:rPr>
          <w:rFonts w:ascii="Times New Roman" w:eastAsia="Times New Roman" w:hAnsi="Times New Roman" w:cs="Times New Roman"/>
          <w:color w:val="515967"/>
          <w:sz w:val="20"/>
          <w:szCs w:val="20"/>
        </w:rPr>
      </w:pPr>
      <w:r w:rsidRPr="0096447E">
        <w:rPr>
          <w:rFonts w:ascii="Times New Roman" w:eastAsia="Times New Roman" w:hAnsi="Times New Roman" w:cs="Times New Roman"/>
          <w:color w:val="515967"/>
          <w:sz w:val="20"/>
          <w:szCs w:val="20"/>
        </w:rPr>
        <w:t xml:space="preserve">The requirement that the ground floor of a structure located within the Mixed-Use (MXD) zone may be altered to allow residential uses or a parking structure if </w:t>
      </w:r>
      <w:proofErr w:type="gramStart"/>
      <w:r w:rsidRPr="0096447E">
        <w:rPr>
          <w:rFonts w:ascii="Times New Roman" w:eastAsia="Times New Roman" w:hAnsi="Times New Roman" w:cs="Times New Roman"/>
          <w:color w:val="515967"/>
          <w:sz w:val="20"/>
          <w:szCs w:val="20"/>
        </w:rPr>
        <w:t>all of</w:t>
      </w:r>
      <w:proofErr w:type="gramEnd"/>
      <w:r w:rsidRPr="0096447E">
        <w:rPr>
          <w:rFonts w:ascii="Times New Roman" w:eastAsia="Times New Roman" w:hAnsi="Times New Roman" w:cs="Times New Roman"/>
          <w:color w:val="515967"/>
          <w:sz w:val="20"/>
          <w:szCs w:val="20"/>
        </w:rPr>
        <w:t xml:space="preserve"> the following conditions are met:</w:t>
      </w:r>
    </w:p>
    <w:p w:rsidR="0096447E" w:rsidRPr="0096447E" w:rsidRDefault="0096447E" w:rsidP="0096447E">
      <w:pPr>
        <w:numPr>
          <w:ilvl w:val="2"/>
          <w:numId w:val="23"/>
        </w:numPr>
        <w:shd w:val="clear" w:color="auto" w:fill="FFFFFF"/>
        <w:spacing w:after="0" w:line="240" w:lineRule="auto"/>
        <w:jc w:val="both"/>
        <w:textAlignment w:val="baseline"/>
        <w:rPr>
          <w:rFonts w:ascii="Times New Roman" w:eastAsia="Times New Roman" w:hAnsi="Times New Roman" w:cs="Times New Roman"/>
          <w:color w:val="515967"/>
          <w:sz w:val="20"/>
          <w:szCs w:val="20"/>
        </w:rPr>
      </w:pPr>
      <w:r w:rsidRPr="0096447E">
        <w:rPr>
          <w:rFonts w:ascii="Times New Roman" w:eastAsia="Times New Roman" w:hAnsi="Times New Roman" w:cs="Times New Roman"/>
          <w:color w:val="515967"/>
          <w:sz w:val="20"/>
          <w:szCs w:val="20"/>
        </w:rPr>
        <w:t xml:space="preserve">View of the ground floor is obstructed from the public right-of-way by another structure within the project </w:t>
      </w:r>
      <w:proofErr w:type="gramStart"/>
      <w:r w:rsidRPr="0096447E">
        <w:rPr>
          <w:rFonts w:ascii="Times New Roman" w:eastAsia="Times New Roman" w:hAnsi="Times New Roman" w:cs="Times New Roman"/>
          <w:color w:val="515967"/>
          <w:sz w:val="20"/>
          <w:szCs w:val="20"/>
        </w:rPr>
        <w:t>area;</w:t>
      </w:r>
      <w:proofErr w:type="gramEnd"/>
    </w:p>
    <w:p w:rsidR="0096447E" w:rsidRPr="0096447E" w:rsidRDefault="0096447E" w:rsidP="0096447E">
      <w:pPr>
        <w:numPr>
          <w:ilvl w:val="2"/>
          <w:numId w:val="24"/>
        </w:numPr>
        <w:shd w:val="clear" w:color="auto" w:fill="FFFFFF"/>
        <w:spacing w:after="0" w:line="240" w:lineRule="auto"/>
        <w:jc w:val="both"/>
        <w:textAlignment w:val="baseline"/>
        <w:rPr>
          <w:rFonts w:ascii="Times New Roman" w:eastAsia="Times New Roman" w:hAnsi="Times New Roman" w:cs="Times New Roman"/>
          <w:color w:val="515967"/>
          <w:sz w:val="20"/>
          <w:szCs w:val="20"/>
        </w:rPr>
      </w:pPr>
      <w:r w:rsidRPr="0096447E">
        <w:rPr>
          <w:rFonts w:ascii="Times New Roman" w:eastAsia="Times New Roman" w:hAnsi="Times New Roman" w:cs="Times New Roman"/>
          <w:color w:val="515967"/>
          <w:sz w:val="20"/>
          <w:szCs w:val="20"/>
        </w:rPr>
        <w:t>A minimum of fifty percent (50%) of the ground floor area within the proposed project area has been dedicated for commercial uses; and</w:t>
      </w:r>
    </w:p>
    <w:p w:rsidR="0096447E" w:rsidRPr="0096447E" w:rsidRDefault="0096447E" w:rsidP="0096447E">
      <w:pPr>
        <w:numPr>
          <w:ilvl w:val="2"/>
          <w:numId w:val="25"/>
        </w:numPr>
        <w:shd w:val="clear" w:color="auto" w:fill="FFFFFF"/>
        <w:spacing w:after="0" w:line="240" w:lineRule="auto"/>
        <w:jc w:val="both"/>
        <w:textAlignment w:val="baseline"/>
        <w:rPr>
          <w:rFonts w:ascii="Times New Roman" w:eastAsia="Times New Roman" w:hAnsi="Times New Roman" w:cs="Times New Roman"/>
          <w:color w:val="515967"/>
          <w:sz w:val="20"/>
          <w:szCs w:val="20"/>
        </w:rPr>
      </w:pPr>
      <w:r w:rsidRPr="0096447E">
        <w:rPr>
          <w:rFonts w:ascii="Times New Roman" w:eastAsia="Times New Roman" w:hAnsi="Times New Roman" w:cs="Times New Roman"/>
          <w:color w:val="515967"/>
          <w:sz w:val="20"/>
          <w:szCs w:val="20"/>
        </w:rPr>
        <w:t xml:space="preserve">For structures which are perpendicular to the public right-of-way (i.e., the majority of the structure is not adjacent to the public-right-of-way), the end of the structure which is adjacent to the public right-of-way shall have commercial uses on the ground </w:t>
      </w:r>
      <w:proofErr w:type="gramStart"/>
      <w:r w:rsidRPr="0096447E">
        <w:rPr>
          <w:rFonts w:ascii="Times New Roman" w:eastAsia="Times New Roman" w:hAnsi="Times New Roman" w:cs="Times New Roman"/>
          <w:color w:val="515967"/>
          <w:sz w:val="20"/>
          <w:szCs w:val="20"/>
        </w:rPr>
        <w:t>floor, but</w:t>
      </w:r>
      <w:proofErr w:type="gramEnd"/>
      <w:r w:rsidRPr="0096447E">
        <w:rPr>
          <w:rFonts w:ascii="Times New Roman" w:eastAsia="Times New Roman" w:hAnsi="Times New Roman" w:cs="Times New Roman"/>
          <w:color w:val="515967"/>
          <w:sz w:val="20"/>
          <w:szCs w:val="20"/>
        </w:rPr>
        <w:t xml:space="preserve"> may allow residential uses or a parking structure of the remainder of the ground floor that is not oriented toward the public right-of-way.</w:t>
      </w:r>
    </w:p>
    <w:p w:rsidR="0096447E" w:rsidRPr="0096447E" w:rsidRDefault="0096447E" w:rsidP="0096447E">
      <w:pPr>
        <w:numPr>
          <w:ilvl w:val="0"/>
          <w:numId w:val="26"/>
        </w:numPr>
        <w:shd w:val="clear" w:color="auto" w:fill="FFFFFF"/>
        <w:spacing w:after="220" w:line="240" w:lineRule="auto"/>
        <w:jc w:val="both"/>
        <w:textAlignment w:val="baseline"/>
        <w:rPr>
          <w:rFonts w:ascii="Times New Roman" w:eastAsia="Times New Roman" w:hAnsi="Times New Roman" w:cs="Times New Roman"/>
          <w:color w:val="515967"/>
          <w:sz w:val="20"/>
          <w:szCs w:val="20"/>
        </w:rPr>
      </w:pPr>
      <w:r w:rsidRPr="0096447E">
        <w:rPr>
          <w:rFonts w:ascii="Times New Roman" w:eastAsia="Times New Roman" w:hAnsi="Times New Roman" w:cs="Times New Roman"/>
          <w:color w:val="515967"/>
          <w:sz w:val="20"/>
          <w:szCs w:val="20"/>
        </w:rPr>
        <w:t xml:space="preserve">Phasing.  If the proposed project is to be constructed in phases, each phase shall be all commercial or may include a mix or commercial and residential uses.  No phase shall be solely </w:t>
      </w:r>
      <w:proofErr w:type="gramStart"/>
      <w:r w:rsidRPr="0096447E">
        <w:rPr>
          <w:rFonts w:ascii="Times New Roman" w:eastAsia="Times New Roman" w:hAnsi="Times New Roman" w:cs="Times New Roman"/>
          <w:color w:val="515967"/>
          <w:sz w:val="20"/>
          <w:szCs w:val="20"/>
        </w:rPr>
        <w:t>residential, unless</w:t>
      </w:r>
      <w:proofErr w:type="gramEnd"/>
      <w:r w:rsidRPr="0096447E">
        <w:rPr>
          <w:rFonts w:ascii="Times New Roman" w:eastAsia="Times New Roman" w:hAnsi="Times New Roman" w:cs="Times New Roman"/>
          <w:color w:val="515967"/>
          <w:sz w:val="20"/>
          <w:szCs w:val="20"/>
        </w:rPr>
        <w:t xml:space="preserve"> fifty percent (50%) of the required commercial area has been built in previous phases.</w:t>
      </w:r>
    </w:p>
    <w:p w:rsidR="0096447E" w:rsidRDefault="0096447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6447E" w:rsidRPr="0096447E" w:rsidRDefault="0096447E" w:rsidP="0096447E">
      <w:pPr>
        <w:shd w:val="clear" w:color="auto" w:fill="FFFFFF"/>
        <w:spacing w:after="220" w:line="240" w:lineRule="auto"/>
        <w:jc w:val="both"/>
        <w:rPr>
          <w:rFonts w:ascii="Times New Roman" w:eastAsia="Times New Roman" w:hAnsi="Times New Roman" w:cs="Times New Roman"/>
          <w:sz w:val="24"/>
          <w:szCs w:val="24"/>
        </w:rPr>
      </w:pPr>
      <w:hyperlink r:id="rId13" w:anchor="name=12.260.060_Standards_And_Conditions" w:history="1">
        <w:r w:rsidRPr="0096447E">
          <w:rPr>
            <w:rFonts w:ascii="Times New Roman" w:eastAsia="Times New Roman" w:hAnsi="Times New Roman" w:cs="Times New Roman"/>
            <w:b/>
            <w:bCs/>
            <w:color w:val="000000"/>
            <w:u w:val="single"/>
          </w:rPr>
          <w:t>12.270.050 Development Standards</w:t>
        </w:r>
      </w:hyperlink>
    </w:p>
    <w:tbl>
      <w:tblPr>
        <w:tblW w:w="0" w:type="auto"/>
        <w:tblCellMar>
          <w:top w:w="15" w:type="dxa"/>
          <w:left w:w="15" w:type="dxa"/>
          <w:bottom w:w="15" w:type="dxa"/>
          <w:right w:w="15" w:type="dxa"/>
        </w:tblCellMar>
        <w:tblLook w:val="04A0" w:firstRow="1" w:lastRow="0" w:firstColumn="1" w:lastColumn="0" w:noHBand="0" w:noVBand="1"/>
      </w:tblPr>
      <w:tblGrid>
        <w:gridCol w:w="1532"/>
        <w:gridCol w:w="7798"/>
      </w:tblGrid>
      <w:tr w:rsidR="0096447E" w:rsidRPr="0096447E" w:rsidTr="0096447E">
        <w:trPr>
          <w:trHeight w:val="465"/>
        </w:trPr>
        <w:tc>
          <w:tcPr>
            <w:tcW w:w="0" w:type="auto"/>
            <w:gridSpan w:val="2"/>
            <w:tcBorders>
              <w:top w:val="single" w:sz="12" w:space="0" w:color="999999"/>
              <w:left w:val="single" w:sz="12" w:space="0" w:color="999999"/>
              <w:bottom w:val="dashed" w:sz="6" w:space="0" w:color="000000"/>
              <w:right w:val="single" w:sz="12" w:space="0" w:color="999999"/>
            </w:tcBorders>
            <w:shd w:val="clear" w:color="auto" w:fill="FF00FF"/>
            <w:tcMar>
              <w:top w:w="40" w:type="dxa"/>
              <w:left w:w="40" w:type="dxa"/>
              <w:bottom w:w="40" w:type="dxa"/>
              <w:right w:w="40" w:type="dxa"/>
            </w:tcMar>
            <w:vAlign w:val="center"/>
            <w:hideMark/>
          </w:tcPr>
          <w:p w:rsidR="0096447E" w:rsidRPr="0096447E" w:rsidRDefault="0096447E" w:rsidP="0096447E">
            <w:pPr>
              <w:spacing w:after="0" w:line="240" w:lineRule="auto"/>
              <w:jc w:val="center"/>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rPr>
              <w:t>SITE DEVELOPMENT STANDARDS</w:t>
            </w:r>
          </w:p>
        </w:tc>
      </w:tr>
      <w:tr w:rsidR="0096447E" w:rsidRPr="0096447E" w:rsidTr="0096447E">
        <w:trPr>
          <w:trHeight w:val="720"/>
        </w:trPr>
        <w:tc>
          <w:tcPr>
            <w:tcW w:w="0" w:type="auto"/>
            <w:gridSpan w:val="2"/>
            <w:tcBorders>
              <w:top w:val="dashed" w:sz="6" w:space="0" w:color="000000"/>
              <w:left w:val="single" w:sz="12" w:space="0" w:color="999999"/>
              <w:bottom w:val="single" w:sz="12" w:space="0" w:color="000000"/>
              <w:right w:val="single" w:sz="12" w:space="0" w:color="999999"/>
            </w:tcBorders>
            <w:shd w:val="clear" w:color="auto" w:fill="FF00FF"/>
            <w:tcMar>
              <w:top w:w="40" w:type="dxa"/>
              <w:left w:w="40" w:type="dxa"/>
              <w:bottom w:w="40" w:type="dxa"/>
              <w:right w:w="40" w:type="dxa"/>
            </w:tcMar>
            <w:vAlign w:val="center"/>
            <w:hideMark/>
          </w:tcPr>
          <w:p w:rsidR="0096447E" w:rsidRPr="0096447E" w:rsidRDefault="0096447E" w:rsidP="0096447E">
            <w:pPr>
              <w:spacing w:after="0" w:line="240" w:lineRule="auto"/>
              <w:jc w:val="center"/>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sz w:val="30"/>
                <w:szCs w:val="30"/>
              </w:rPr>
              <w:t>Mixed-Use (MXD) Zone</w:t>
            </w:r>
          </w:p>
        </w:tc>
      </w:tr>
      <w:tr w:rsidR="0096447E" w:rsidRPr="0096447E" w:rsidTr="0096447E">
        <w:trPr>
          <w:trHeight w:val="795"/>
        </w:trPr>
        <w:tc>
          <w:tcPr>
            <w:tcW w:w="0" w:type="auto"/>
            <w:tcBorders>
              <w:top w:val="single" w:sz="12" w:space="0" w:color="000000"/>
              <w:left w:val="single" w:sz="12" w:space="0" w:color="999999"/>
              <w:bottom w:val="single" w:sz="6" w:space="0" w:color="000000"/>
              <w:right w:val="single" w:sz="6" w:space="0" w:color="000000"/>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rPr>
              <w:t>Density</w:t>
            </w:r>
          </w:p>
        </w:tc>
        <w:tc>
          <w:tcPr>
            <w:tcW w:w="0" w:type="auto"/>
            <w:tcBorders>
              <w:top w:val="single" w:sz="12" w:space="0" w:color="000000"/>
              <w:left w:val="single" w:sz="6" w:space="0" w:color="000000"/>
              <w:bottom w:val="single" w:sz="6" w:space="0" w:color="000000"/>
              <w:right w:val="single" w:sz="12" w:space="0" w:color="999999"/>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000000"/>
                <w:sz w:val="20"/>
                <w:szCs w:val="20"/>
              </w:rPr>
              <w:t>40 Dwelling Units Per .5 Acres</w:t>
            </w:r>
          </w:p>
        </w:tc>
      </w:tr>
      <w:tr w:rsidR="0096447E" w:rsidRPr="0096447E" w:rsidTr="0096447E">
        <w:trPr>
          <w:trHeight w:val="795"/>
        </w:trPr>
        <w:tc>
          <w:tcPr>
            <w:tcW w:w="0" w:type="auto"/>
            <w:tcBorders>
              <w:top w:val="single" w:sz="6" w:space="0" w:color="000000"/>
              <w:left w:val="single" w:sz="12" w:space="0" w:color="999999"/>
              <w:bottom w:val="single" w:sz="6" w:space="0" w:color="000000"/>
              <w:right w:val="single" w:sz="6" w:space="0" w:color="000000"/>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rPr>
              <w:t>Minimum Lot Area</w:t>
            </w:r>
          </w:p>
        </w:tc>
        <w:tc>
          <w:tcPr>
            <w:tcW w:w="0" w:type="auto"/>
            <w:tcBorders>
              <w:top w:val="single" w:sz="6" w:space="0" w:color="000000"/>
              <w:left w:val="single" w:sz="6" w:space="0" w:color="000000"/>
              <w:bottom w:val="single" w:sz="6" w:space="0" w:color="000000"/>
              <w:right w:val="single" w:sz="12" w:space="0" w:color="999999"/>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000000"/>
                <w:sz w:val="20"/>
                <w:szCs w:val="20"/>
              </w:rPr>
              <w:t>21,780 sq. ft. (.5 Acres)</w:t>
            </w:r>
          </w:p>
        </w:tc>
      </w:tr>
      <w:tr w:rsidR="0096447E" w:rsidRPr="0096447E" w:rsidTr="0096447E">
        <w:trPr>
          <w:trHeight w:val="585"/>
        </w:trPr>
        <w:tc>
          <w:tcPr>
            <w:tcW w:w="0" w:type="auto"/>
            <w:tcBorders>
              <w:top w:val="single" w:sz="6" w:space="0" w:color="000000"/>
              <w:left w:val="single" w:sz="12" w:space="0" w:color="999999"/>
              <w:bottom w:val="single" w:sz="6" w:space="0" w:color="000000"/>
              <w:right w:val="single" w:sz="6" w:space="0" w:color="000000"/>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rPr>
              <w:t>Minimum Lot Width</w:t>
            </w:r>
          </w:p>
        </w:tc>
        <w:tc>
          <w:tcPr>
            <w:tcW w:w="0" w:type="auto"/>
            <w:tcBorders>
              <w:top w:val="single" w:sz="6" w:space="0" w:color="000000"/>
              <w:left w:val="single" w:sz="6" w:space="0" w:color="000000"/>
              <w:bottom w:val="single" w:sz="6" w:space="0" w:color="000000"/>
              <w:right w:val="single" w:sz="12" w:space="0" w:color="999999"/>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000000"/>
                <w:sz w:val="20"/>
                <w:szCs w:val="20"/>
              </w:rPr>
              <w:t>N/A</w:t>
            </w:r>
          </w:p>
        </w:tc>
      </w:tr>
      <w:tr w:rsidR="0096447E" w:rsidRPr="0096447E" w:rsidTr="0096447E">
        <w:trPr>
          <w:trHeight w:val="1080"/>
        </w:trPr>
        <w:tc>
          <w:tcPr>
            <w:tcW w:w="0" w:type="auto"/>
            <w:tcBorders>
              <w:top w:val="single" w:sz="6" w:space="0" w:color="000000"/>
              <w:left w:val="single" w:sz="12" w:space="0" w:color="999999"/>
              <w:bottom w:val="single" w:sz="6" w:space="0" w:color="000000"/>
              <w:right w:val="single" w:sz="6" w:space="0" w:color="000000"/>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rPr>
              <w:t>Minimum Setbacks </w:t>
            </w:r>
          </w:p>
        </w:tc>
        <w:tc>
          <w:tcPr>
            <w:tcW w:w="0" w:type="auto"/>
            <w:tcBorders>
              <w:top w:val="single" w:sz="6" w:space="0" w:color="000000"/>
              <w:left w:val="single" w:sz="6" w:space="0" w:color="000000"/>
              <w:bottom w:val="single" w:sz="6" w:space="0" w:color="000000"/>
              <w:right w:val="single" w:sz="12" w:space="0" w:color="999999"/>
            </w:tcBorders>
            <w:tcMar>
              <w:top w:w="40" w:type="dxa"/>
              <w:left w:w="40" w:type="dxa"/>
              <w:bottom w:w="40" w:type="dxa"/>
              <w:right w:w="40" w:type="dxa"/>
            </w:tcMar>
            <w:vAlign w:val="center"/>
            <w:hideMark/>
          </w:tcPr>
          <w:p w:rsidR="0096447E" w:rsidRPr="0096447E" w:rsidRDefault="0096447E" w:rsidP="0096447E">
            <w:pPr>
              <w:spacing w:after="12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515967"/>
              </w:rPr>
              <w:t>Front/Corner:  The setbacks for structures adjacent to public rights-of-way shall be a minimum of zero feet (0’) to a maximum of twenty feet (20’) from the property line with the following exceptions:</w:t>
            </w:r>
          </w:p>
          <w:p w:rsidR="0096447E" w:rsidRPr="0096447E" w:rsidRDefault="0096447E" w:rsidP="0096447E">
            <w:pPr>
              <w:numPr>
                <w:ilvl w:val="0"/>
                <w:numId w:val="27"/>
              </w:numPr>
              <w:spacing w:after="12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Setbacks may be increased as necessary to allow room for outdoor seating areas, landscaping, or other similar pedestrian or patron amenities.</w:t>
            </w:r>
          </w:p>
          <w:p w:rsidR="0096447E" w:rsidRPr="0096447E" w:rsidRDefault="0096447E" w:rsidP="0096447E">
            <w:pPr>
              <w:spacing w:after="12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515967"/>
              </w:rPr>
              <w:t>Side (Adjacent To Residential Zone): 20’ (Structure Height Less Than 35’)</w:t>
            </w:r>
          </w:p>
          <w:p w:rsidR="0096447E" w:rsidRPr="0096447E" w:rsidRDefault="0096447E" w:rsidP="0096447E">
            <w:pPr>
              <w:spacing w:after="12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515967"/>
              </w:rPr>
              <w:t>                                                             30’ (Structure Height Greater Than 35’)</w:t>
            </w:r>
          </w:p>
          <w:p w:rsidR="0096447E" w:rsidRPr="0096447E" w:rsidRDefault="0096447E" w:rsidP="0096447E">
            <w:pPr>
              <w:spacing w:after="12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515967"/>
              </w:rPr>
              <w:t xml:space="preserve">Side (Adjacent </w:t>
            </w:r>
            <w:proofErr w:type="gramStart"/>
            <w:r w:rsidRPr="0096447E">
              <w:rPr>
                <w:rFonts w:ascii="Times New Roman" w:eastAsia="Times New Roman" w:hAnsi="Times New Roman" w:cs="Times New Roman"/>
                <w:color w:val="515967"/>
              </w:rPr>
              <w:t>To</w:t>
            </w:r>
            <w:proofErr w:type="gramEnd"/>
            <w:r w:rsidRPr="0096447E">
              <w:rPr>
                <w:rFonts w:ascii="Times New Roman" w:eastAsia="Times New Roman" w:hAnsi="Times New Roman" w:cs="Times New Roman"/>
                <w:color w:val="515967"/>
              </w:rPr>
              <w:t xml:space="preserve"> All Other Zones): 0’ - 10’</w:t>
            </w:r>
          </w:p>
          <w:p w:rsidR="0096447E" w:rsidRPr="0096447E" w:rsidRDefault="0096447E" w:rsidP="0096447E">
            <w:pPr>
              <w:spacing w:after="12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515967"/>
              </w:rPr>
              <w:t xml:space="preserve">Rear (Adjacent </w:t>
            </w:r>
            <w:proofErr w:type="gramStart"/>
            <w:r w:rsidRPr="0096447E">
              <w:rPr>
                <w:rFonts w:ascii="Times New Roman" w:eastAsia="Times New Roman" w:hAnsi="Times New Roman" w:cs="Times New Roman"/>
                <w:color w:val="515967"/>
              </w:rPr>
              <w:t>To</w:t>
            </w:r>
            <w:proofErr w:type="gramEnd"/>
            <w:r w:rsidRPr="0096447E">
              <w:rPr>
                <w:rFonts w:ascii="Times New Roman" w:eastAsia="Times New Roman" w:hAnsi="Times New Roman" w:cs="Times New Roman"/>
                <w:color w:val="515967"/>
              </w:rPr>
              <w:t xml:space="preserve"> Residential Zone): 20’ (Structure Height Less Than 35’)</w:t>
            </w:r>
          </w:p>
          <w:p w:rsidR="0096447E" w:rsidRPr="0096447E" w:rsidRDefault="0096447E" w:rsidP="0096447E">
            <w:pPr>
              <w:spacing w:after="12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515967"/>
              </w:rPr>
              <w:t>                                                             30’ (Structure Height Greater Than 35’)</w:t>
            </w:r>
          </w:p>
          <w:p w:rsidR="0096447E" w:rsidRPr="0096447E" w:rsidRDefault="0096447E" w:rsidP="0096447E">
            <w:pPr>
              <w:spacing w:after="12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515967"/>
              </w:rPr>
              <w:t xml:space="preserve">Rear (Adjacent </w:t>
            </w:r>
            <w:proofErr w:type="gramStart"/>
            <w:r w:rsidRPr="0096447E">
              <w:rPr>
                <w:rFonts w:ascii="Times New Roman" w:eastAsia="Times New Roman" w:hAnsi="Times New Roman" w:cs="Times New Roman"/>
                <w:color w:val="515967"/>
              </w:rPr>
              <w:t>To</w:t>
            </w:r>
            <w:proofErr w:type="gramEnd"/>
            <w:r w:rsidRPr="0096447E">
              <w:rPr>
                <w:rFonts w:ascii="Times New Roman" w:eastAsia="Times New Roman" w:hAnsi="Times New Roman" w:cs="Times New Roman"/>
                <w:color w:val="515967"/>
              </w:rPr>
              <w:t xml:space="preserve"> All Other Zones): 0’  </w:t>
            </w:r>
          </w:p>
        </w:tc>
      </w:tr>
      <w:tr w:rsidR="0096447E" w:rsidRPr="0096447E" w:rsidTr="0096447E">
        <w:trPr>
          <w:trHeight w:val="585"/>
        </w:trPr>
        <w:tc>
          <w:tcPr>
            <w:tcW w:w="0" w:type="auto"/>
            <w:tcBorders>
              <w:top w:val="single" w:sz="6" w:space="0" w:color="000000"/>
              <w:left w:val="single" w:sz="12" w:space="0" w:color="999999"/>
              <w:bottom w:val="single" w:sz="6" w:space="0" w:color="000000"/>
              <w:right w:val="single" w:sz="6" w:space="0" w:color="000000"/>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rPr>
              <w:t>Building Heights</w:t>
            </w:r>
          </w:p>
        </w:tc>
        <w:tc>
          <w:tcPr>
            <w:tcW w:w="0" w:type="auto"/>
            <w:tcBorders>
              <w:top w:val="single" w:sz="6" w:space="0" w:color="000000"/>
              <w:left w:val="single" w:sz="6" w:space="0" w:color="000000"/>
              <w:bottom w:val="single" w:sz="6" w:space="0" w:color="000000"/>
              <w:right w:val="single" w:sz="12" w:space="0" w:color="999999"/>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000000"/>
                <w:sz w:val="20"/>
                <w:szCs w:val="20"/>
              </w:rPr>
              <w:t>Min.: 10’</w:t>
            </w:r>
          </w:p>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000000"/>
                <w:sz w:val="20"/>
                <w:szCs w:val="20"/>
              </w:rPr>
              <w:t>Note:  No structure shall be greater than fifty-five feet (55’).</w:t>
            </w:r>
          </w:p>
        </w:tc>
      </w:tr>
      <w:tr w:rsidR="0096447E" w:rsidRPr="0096447E" w:rsidTr="0096447E">
        <w:trPr>
          <w:trHeight w:val="330"/>
        </w:trPr>
        <w:tc>
          <w:tcPr>
            <w:tcW w:w="0" w:type="auto"/>
            <w:tcBorders>
              <w:top w:val="single" w:sz="6" w:space="0" w:color="000000"/>
              <w:left w:val="single" w:sz="12" w:space="0" w:color="999999"/>
              <w:bottom w:val="single" w:sz="6" w:space="0" w:color="000000"/>
              <w:right w:val="single" w:sz="6" w:space="0" w:color="000000"/>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rPr>
              <w:t>Lot Coverage</w:t>
            </w:r>
          </w:p>
        </w:tc>
        <w:tc>
          <w:tcPr>
            <w:tcW w:w="0" w:type="auto"/>
            <w:tcBorders>
              <w:top w:val="single" w:sz="6" w:space="0" w:color="000000"/>
              <w:left w:val="single" w:sz="6" w:space="0" w:color="000000"/>
              <w:bottom w:val="single" w:sz="6" w:space="0" w:color="000000"/>
              <w:right w:val="single" w:sz="12" w:space="0" w:color="999999"/>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color w:val="000000"/>
                <w:sz w:val="20"/>
                <w:szCs w:val="20"/>
              </w:rPr>
              <w:t>Max: 70%</w:t>
            </w:r>
          </w:p>
        </w:tc>
      </w:tr>
      <w:tr w:rsidR="0096447E" w:rsidRPr="0096447E" w:rsidTr="0096447E">
        <w:trPr>
          <w:trHeight w:val="585"/>
        </w:trPr>
        <w:tc>
          <w:tcPr>
            <w:tcW w:w="0" w:type="auto"/>
            <w:tcBorders>
              <w:top w:val="single" w:sz="6" w:space="0" w:color="000000"/>
              <w:left w:val="single" w:sz="12" w:space="0" w:color="999999"/>
              <w:bottom w:val="single" w:sz="6" w:space="0" w:color="000000"/>
              <w:right w:val="single" w:sz="6" w:space="0" w:color="000000"/>
            </w:tcBorders>
            <w:tcMar>
              <w:top w:w="40" w:type="dxa"/>
              <w:left w:w="40" w:type="dxa"/>
              <w:bottom w:w="40" w:type="dxa"/>
              <w:right w:w="40" w:type="dxa"/>
            </w:tcMar>
            <w:vAlign w:val="center"/>
            <w:hideMark/>
          </w:tcPr>
          <w:p w:rsidR="0096447E" w:rsidRPr="0096447E" w:rsidRDefault="0096447E" w:rsidP="0096447E">
            <w:pPr>
              <w:spacing w:after="0" w:line="240" w:lineRule="auto"/>
              <w:rPr>
                <w:rFonts w:ascii="Times New Roman" w:eastAsia="Times New Roman" w:hAnsi="Times New Roman" w:cs="Times New Roman"/>
                <w:sz w:val="24"/>
                <w:szCs w:val="24"/>
              </w:rPr>
            </w:pPr>
            <w:proofErr w:type="gramStart"/>
            <w:r w:rsidRPr="0096447E">
              <w:rPr>
                <w:rFonts w:ascii="Times New Roman" w:eastAsia="Times New Roman" w:hAnsi="Times New Roman" w:cs="Times New Roman"/>
                <w:b/>
                <w:bCs/>
                <w:color w:val="000000"/>
              </w:rPr>
              <w:t>Open  Space</w:t>
            </w:r>
            <w:proofErr w:type="gramEnd"/>
            <w:r w:rsidRPr="0096447E">
              <w:rPr>
                <w:rFonts w:ascii="Times New Roman" w:eastAsia="Times New Roman" w:hAnsi="Times New Roman" w:cs="Times New Roman"/>
                <w:b/>
                <w:bCs/>
                <w:color w:val="000000"/>
              </w:rPr>
              <w:t>/</w:t>
            </w:r>
          </w:p>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rPr>
              <w:t>Landscaped Area</w:t>
            </w:r>
          </w:p>
        </w:tc>
        <w:tc>
          <w:tcPr>
            <w:tcW w:w="0" w:type="auto"/>
            <w:tcBorders>
              <w:top w:val="single" w:sz="6" w:space="0" w:color="000000"/>
              <w:left w:val="single" w:sz="6" w:space="0" w:color="000000"/>
              <w:bottom w:val="single" w:sz="6" w:space="0" w:color="000000"/>
              <w:right w:val="single" w:sz="12" w:space="0" w:color="999999"/>
            </w:tcBorders>
            <w:tcMar>
              <w:top w:w="40" w:type="dxa"/>
              <w:left w:w="40" w:type="dxa"/>
              <w:bottom w:w="40" w:type="dxa"/>
              <w:right w:w="40" w:type="dxa"/>
            </w:tcMar>
            <w:vAlign w:val="center"/>
            <w:hideMark/>
          </w:tcPr>
          <w:p w:rsidR="0096447E" w:rsidRPr="0096447E" w:rsidRDefault="0096447E" w:rsidP="0096447E">
            <w:pPr>
              <w:shd w:val="clear" w:color="auto" w:fill="FFFFFF"/>
              <w:spacing w:after="160" w:line="240" w:lineRule="auto"/>
              <w:jc w:val="both"/>
              <w:rPr>
                <w:rFonts w:ascii="Times New Roman" w:eastAsia="Times New Roman" w:hAnsi="Times New Roman" w:cs="Times New Roman"/>
                <w:sz w:val="24"/>
                <w:szCs w:val="24"/>
              </w:rPr>
            </w:pPr>
            <w:r w:rsidRPr="0096447E">
              <w:rPr>
                <w:rFonts w:ascii="Times New Roman" w:eastAsia="Times New Roman" w:hAnsi="Times New Roman" w:cs="Times New Roman"/>
                <w:color w:val="515967"/>
              </w:rPr>
              <w:t>Min. 20%</w:t>
            </w:r>
          </w:p>
        </w:tc>
      </w:tr>
    </w:tbl>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i/>
          <w:iCs/>
          <w:color w:val="000000"/>
          <w:sz w:val="20"/>
          <w:szCs w:val="20"/>
        </w:rPr>
        <w:t>Notes:</w:t>
      </w:r>
    </w:p>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sz w:val="20"/>
          <w:szCs w:val="20"/>
        </w:rPr>
        <w:t xml:space="preserve">Lot Coverage: </w:t>
      </w:r>
      <w:r w:rsidRPr="0096447E">
        <w:rPr>
          <w:rFonts w:ascii="Times New Roman" w:eastAsia="Times New Roman" w:hAnsi="Times New Roman" w:cs="Times New Roman"/>
          <w:color w:val="000000"/>
          <w:sz w:val="20"/>
          <w:szCs w:val="20"/>
        </w:rPr>
        <w:t>includes total building coverage (accessory and main buildings)</w:t>
      </w:r>
    </w:p>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sz w:val="20"/>
          <w:szCs w:val="20"/>
        </w:rPr>
        <w:t>Building Heights:</w:t>
      </w:r>
      <w:r w:rsidRPr="0096447E">
        <w:rPr>
          <w:rFonts w:ascii="Times New Roman" w:eastAsia="Times New Roman" w:hAnsi="Times New Roman" w:cs="Times New Roman"/>
          <w:color w:val="000000"/>
          <w:sz w:val="20"/>
          <w:szCs w:val="20"/>
        </w:rPr>
        <w:t xml:space="preserve"> measured from grade level to average roof height (the midpoint of the roof from ridge to eave)</w:t>
      </w:r>
    </w:p>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sz w:val="20"/>
          <w:szCs w:val="20"/>
        </w:rPr>
        <w:t>Corner Lots:</w:t>
      </w:r>
      <w:r w:rsidRPr="0096447E">
        <w:rPr>
          <w:rFonts w:ascii="Times New Roman" w:eastAsia="Times New Roman" w:hAnsi="Times New Roman" w:cs="Times New Roman"/>
          <w:color w:val="000000"/>
          <w:sz w:val="20"/>
          <w:szCs w:val="20"/>
        </w:rPr>
        <w:t xml:space="preserve"> regarded as having two front yards and two side yards.</w:t>
      </w:r>
    </w:p>
    <w:p w:rsidR="0096447E" w:rsidRPr="0096447E" w:rsidRDefault="0096447E" w:rsidP="0096447E">
      <w:pPr>
        <w:spacing w:after="0" w:line="240" w:lineRule="auto"/>
        <w:rPr>
          <w:rFonts w:ascii="Times New Roman" w:eastAsia="Times New Roman" w:hAnsi="Times New Roman" w:cs="Times New Roman"/>
          <w:sz w:val="24"/>
          <w:szCs w:val="24"/>
        </w:rPr>
      </w:pPr>
      <w:r w:rsidRPr="0096447E">
        <w:rPr>
          <w:rFonts w:ascii="Times New Roman" w:eastAsia="Times New Roman" w:hAnsi="Times New Roman" w:cs="Times New Roman"/>
          <w:sz w:val="24"/>
          <w:szCs w:val="24"/>
        </w:rPr>
        <w:br/>
      </w:r>
    </w:p>
    <w:p w:rsidR="0096447E" w:rsidRPr="0096447E" w:rsidRDefault="0096447E" w:rsidP="0096447E">
      <w:pPr>
        <w:numPr>
          <w:ilvl w:val="0"/>
          <w:numId w:val="29"/>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General design.</w:t>
      </w:r>
    </w:p>
    <w:p w:rsidR="0096447E" w:rsidRPr="0096447E" w:rsidRDefault="0096447E" w:rsidP="0096447E">
      <w:pPr>
        <w:numPr>
          <w:ilvl w:val="1"/>
          <w:numId w:val="30"/>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Minimum ground level height.  To support ground floor commercial uses, the minimum height of proposed structures at ground level shall be twelve feet (12’) floor to ceiling.</w:t>
      </w:r>
    </w:p>
    <w:p w:rsidR="0096447E" w:rsidRPr="0096447E" w:rsidRDefault="0096447E" w:rsidP="0096447E">
      <w:pPr>
        <w:numPr>
          <w:ilvl w:val="1"/>
          <w:numId w:val="31"/>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lastRenderedPageBreak/>
        <w:t xml:space="preserve">Minimum ground floor glass.  The ground floor of the structure fronting the public right-of-way on </w:t>
      </w:r>
      <w:proofErr w:type="gramStart"/>
      <w:r w:rsidRPr="0096447E">
        <w:rPr>
          <w:rFonts w:ascii="Times New Roman" w:eastAsia="Times New Roman" w:hAnsi="Times New Roman" w:cs="Times New Roman"/>
          <w:color w:val="515967"/>
        </w:rPr>
        <w:t>in  Mixed</w:t>
      </w:r>
      <w:proofErr w:type="gramEnd"/>
      <w:r w:rsidRPr="0096447E">
        <w:rPr>
          <w:rFonts w:ascii="Times New Roman" w:eastAsia="Times New Roman" w:hAnsi="Times New Roman" w:cs="Times New Roman"/>
          <w:color w:val="515967"/>
        </w:rPr>
        <w:t>-Use (MXD) zones shall contain a minimum of forty percent (40%) non-reflective glass surface (i.e., windows).</w:t>
      </w:r>
    </w:p>
    <w:p w:rsidR="0096447E" w:rsidRPr="0096447E" w:rsidRDefault="0096447E" w:rsidP="0096447E">
      <w:pPr>
        <w:numPr>
          <w:ilvl w:val="1"/>
          <w:numId w:val="32"/>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Front facade orientation.  The front facade and main entrance to all structures shall be oriented toward and parallel to public rights-of-way.  </w:t>
      </w:r>
    </w:p>
    <w:p w:rsidR="0096447E" w:rsidRPr="0096447E" w:rsidRDefault="0096447E" w:rsidP="0096447E">
      <w:pPr>
        <w:numPr>
          <w:ilvl w:val="1"/>
          <w:numId w:val="33"/>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Front facade design.  </w:t>
      </w:r>
    </w:p>
    <w:p w:rsidR="0096447E" w:rsidRPr="0096447E" w:rsidRDefault="0096447E" w:rsidP="0096447E">
      <w:pPr>
        <w:numPr>
          <w:ilvl w:val="2"/>
          <w:numId w:val="34"/>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Designs shall be typical of commercial building fronts with integrated features and styling compatible with other street-facing structures in the proposed project </w:t>
      </w:r>
      <w:proofErr w:type="gramStart"/>
      <w:r w:rsidRPr="0096447E">
        <w:rPr>
          <w:rFonts w:ascii="Times New Roman" w:eastAsia="Times New Roman" w:hAnsi="Times New Roman" w:cs="Times New Roman"/>
          <w:color w:val="515967"/>
        </w:rPr>
        <w:t>area, and</w:t>
      </w:r>
      <w:proofErr w:type="gramEnd"/>
      <w:r w:rsidRPr="0096447E">
        <w:rPr>
          <w:rFonts w:ascii="Times New Roman" w:eastAsia="Times New Roman" w:hAnsi="Times New Roman" w:cs="Times New Roman"/>
          <w:color w:val="515967"/>
        </w:rPr>
        <w:t xml:space="preserve"> shall include a significant entryway or main entrance.</w:t>
      </w:r>
    </w:p>
    <w:p w:rsidR="0096447E" w:rsidRPr="0096447E" w:rsidRDefault="0096447E" w:rsidP="0096447E">
      <w:pPr>
        <w:numPr>
          <w:ilvl w:val="2"/>
          <w:numId w:val="35"/>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Facades shall have architectural variations such as:</w:t>
      </w:r>
    </w:p>
    <w:p w:rsidR="0096447E" w:rsidRPr="0096447E" w:rsidRDefault="0096447E" w:rsidP="0096447E">
      <w:pPr>
        <w:numPr>
          <w:ilvl w:val="3"/>
          <w:numId w:val="28"/>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Contrasting building materials and </w:t>
      </w:r>
      <w:proofErr w:type="gramStart"/>
      <w:r w:rsidRPr="0096447E">
        <w:rPr>
          <w:rFonts w:ascii="Times New Roman" w:eastAsia="Times New Roman" w:hAnsi="Times New Roman" w:cs="Times New Roman"/>
          <w:color w:val="515967"/>
        </w:rPr>
        <w:t>textures;</w:t>
      </w:r>
      <w:proofErr w:type="gramEnd"/>
    </w:p>
    <w:p w:rsidR="0096447E" w:rsidRPr="0096447E" w:rsidRDefault="0096447E" w:rsidP="0096447E">
      <w:pPr>
        <w:numPr>
          <w:ilvl w:val="3"/>
          <w:numId w:val="28"/>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Variations in rooflines, colors, reveals and belt </w:t>
      </w:r>
      <w:proofErr w:type="gramStart"/>
      <w:r w:rsidRPr="0096447E">
        <w:rPr>
          <w:rFonts w:ascii="Times New Roman" w:eastAsia="Times New Roman" w:hAnsi="Times New Roman" w:cs="Times New Roman"/>
          <w:color w:val="515967"/>
        </w:rPr>
        <w:t>courses;</w:t>
      </w:r>
      <w:proofErr w:type="gramEnd"/>
    </w:p>
    <w:p w:rsidR="0096447E" w:rsidRPr="0096447E" w:rsidRDefault="0096447E" w:rsidP="0096447E">
      <w:pPr>
        <w:numPr>
          <w:ilvl w:val="3"/>
          <w:numId w:val="28"/>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Recessed windows and doors, strongly expressed window mullions, and </w:t>
      </w:r>
      <w:proofErr w:type="gramStart"/>
      <w:r w:rsidRPr="0096447E">
        <w:rPr>
          <w:rFonts w:ascii="Times New Roman" w:eastAsia="Times New Roman" w:hAnsi="Times New Roman" w:cs="Times New Roman"/>
          <w:color w:val="515967"/>
        </w:rPr>
        <w:t>awnings;</w:t>
      </w:r>
      <w:proofErr w:type="gramEnd"/>
    </w:p>
    <w:p w:rsidR="0096447E" w:rsidRPr="0096447E" w:rsidRDefault="0096447E" w:rsidP="0096447E">
      <w:pPr>
        <w:numPr>
          <w:ilvl w:val="3"/>
          <w:numId w:val="28"/>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Varying building setbacks from property lines, including alcoves, outdoor sitting areas, and small public plazas; and</w:t>
      </w:r>
    </w:p>
    <w:p w:rsidR="0096447E" w:rsidRPr="0096447E" w:rsidRDefault="0096447E" w:rsidP="0096447E">
      <w:pPr>
        <w:numPr>
          <w:ilvl w:val="3"/>
          <w:numId w:val="28"/>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Corner towers, cupolas, corner clock towers, corner spires, </w:t>
      </w:r>
      <w:proofErr w:type="gramStart"/>
      <w:r w:rsidRPr="0096447E">
        <w:rPr>
          <w:rFonts w:ascii="Times New Roman" w:eastAsia="Times New Roman" w:hAnsi="Times New Roman" w:cs="Times New Roman"/>
          <w:color w:val="515967"/>
        </w:rPr>
        <w:t>balconies</w:t>
      </w:r>
      <w:proofErr w:type="gramEnd"/>
      <w:r w:rsidRPr="0096447E">
        <w:rPr>
          <w:rFonts w:ascii="Times New Roman" w:eastAsia="Times New Roman" w:hAnsi="Times New Roman" w:cs="Times New Roman"/>
          <w:color w:val="515967"/>
        </w:rPr>
        <w:t xml:space="preserve"> and colonnades.</w:t>
      </w:r>
    </w:p>
    <w:p w:rsidR="0096447E" w:rsidRPr="0096447E" w:rsidRDefault="0096447E" w:rsidP="0096447E">
      <w:pPr>
        <w:numPr>
          <w:ilvl w:val="2"/>
          <w:numId w:val="36"/>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Structures located on corners shall have the front facade that wraps around the corner to the full depth of the structure.</w:t>
      </w:r>
    </w:p>
    <w:p w:rsidR="0096447E" w:rsidRPr="0096447E" w:rsidRDefault="0096447E" w:rsidP="0096447E">
      <w:pPr>
        <w:numPr>
          <w:ilvl w:val="1"/>
          <w:numId w:val="37"/>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Awnings.  </w:t>
      </w:r>
    </w:p>
    <w:p w:rsidR="0096447E" w:rsidRPr="0096447E" w:rsidRDefault="0096447E" w:rsidP="0096447E">
      <w:pPr>
        <w:numPr>
          <w:ilvl w:val="2"/>
          <w:numId w:val="38"/>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Awnings shall be allowed provided that the structure is designed to allow awnings, and/or awnings are part of the initial design.  Awnings shall have a minimum head clearance of eight feet (8’) and shall not project away from a structure more than one-half (½) the distance from the structure to the public right-of-way, or no more than six feet (6’), whichever distance is less.  </w:t>
      </w:r>
    </w:p>
    <w:p w:rsidR="0096447E" w:rsidRPr="0096447E" w:rsidRDefault="0096447E" w:rsidP="0096447E">
      <w:pPr>
        <w:numPr>
          <w:ilvl w:val="2"/>
          <w:numId w:val="39"/>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Awnings shall be constructed of metal and/or high-quality fire-resistant architectural fabrics.  Vinyl awnings are strictly prohibited.</w:t>
      </w:r>
    </w:p>
    <w:p w:rsidR="0096447E" w:rsidRPr="0096447E" w:rsidRDefault="0096447E" w:rsidP="0096447E">
      <w:pPr>
        <w:numPr>
          <w:ilvl w:val="0"/>
          <w:numId w:val="40"/>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Landscaping.  </w:t>
      </w:r>
    </w:p>
    <w:p w:rsidR="0096447E" w:rsidRPr="0096447E" w:rsidRDefault="0096447E" w:rsidP="0096447E">
      <w:pPr>
        <w:numPr>
          <w:ilvl w:val="1"/>
          <w:numId w:val="41"/>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Mixed-Use (MXD) zone developments shall provide a minimum of twenty percent (20%) of the total site area in landscaping, which may include recreational facilities and amenities such as playgrounds, outdoor pools, tennis courts, basketball courts, or similar.  No more than one-half (½) of the total required landscaping area may consist of recreation facilities.</w:t>
      </w:r>
    </w:p>
    <w:p w:rsidR="0096447E" w:rsidRPr="0096447E" w:rsidRDefault="0096447E" w:rsidP="0096447E">
      <w:pPr>
        <w:numPr>
          <w:ilvl w:val="1"/>
          <w:numId w:val="42"/>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Trees shall be provided on all frontages of public rights-of-way at a maximum space of thirty feet (30’) on center.</w:t>
      </w:r>
    </w:p>
    <w:p w:rsidR="0096447E" w:rsidRPr="0096447E" w:rsidRDefault="0096447E" w:rsidP="0096447E">
      <w:pPr>
        <w:numPr>
          <w:ilvl w:val="2"/>
          <w:numId w:val="43"/>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Street trees shall be planted no closer than twenty feet (20’) to </w:t>
      </w:r>
      <w:proofErr w:type="gramStart"/>
      <w:r w:rsidRPr="0096447E">
        <w:rPr>
          <w:rFonts w:ascii="Times New Roman" w:eastAsia="Times New Roman" w:hAnsi="Times New Roman" w:cs="Times New Roman"/>
          <w:color w:val="515967"/>
        </w:rPr>
        <w:t>street lights</w:t>
      </w:r>
      <w:proofErr w:type="gramEnd"/>
      <w:r w:rsidRPr="0096447E">
        <w:rPr>
          <w:rFonts w:ascii="Times New Roman" w:eastAsia="Times New Roman" w:hAnsi="Times New Roman" w:cs="Times New Roman"/>
          <w:color w:val="515967"/>
        </w:rPr>
        <w:t>.</w:t>
      </w:r>
    </w:p>
    <w:p w:rsidR="0096447E" w:rsidRPr="0096447E" w:rsidRDefault="0096447E" w:rsidP="0096447E">
      <w:pPr>
        <w:numPr>
          <w:ilvl w:val="1"/>
          <w:numId w:val="44"/>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Parking areas shall be shaded by large broadleaf canopied trees placed at a rate of one (1) tree for each twelve (12) parking spaces.</w:t>
      </w:r>
    </w:p>
    <w:p w:rsidR="0096447E" w:rsidRPr="0096447E" w:rsidRDefault="0096447E" w:rsidP="0096447E">
      <w:pPr>
        <w:numPr>
          <w:ilvl w:val="0"/>
          <w:numId w:val="45"/>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Protection of residential property.  A minimum six-foot (6’) high solid masonry wall, and a minimum ten-foot (10’) wide planting strip along the adjoining property line shall be required for any proposed development that adjoins any lot or parcel of ground in any residential zone.</w:t>
      </w:r>
    </w:p>
    <w:p w:rsidR="0096447E" w:rsidRPr="0096447E" w:rsidRDefault="0096447E" w:rsidP="0096447E">
      <w:pPr>
        <w:numPr>
          <w:ilvl w:val="0"/>
          <w:numId w:val="46"/>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Utilities.</w:t>
      </w:r>
    </w:p>
    <w:p w:rsidR="0096447E" w:rsidRPr="0096447E" w:rsidRDefault="0096447E" w:rsidP="0096447E">
      <w:pPr>
        <w:numPr>
          <w:ilvl w:val="1"/>
          <w:numId w:val="47"/>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All utilities within the Mixed-Use (MXD) zone shall be installed underground with all appurtenances above ground installed in a manner that will allow adequate screening with natural landscaping. </w:t>
      </w:r>
    </w:p>
    <w:p w:rsidR="0096447E" w:rsidRPr="0096447E" w:rsidRDefault="0096447E" w:rsidP="0096447E">
      <w:pPr>
        <w:numPr>
          <w:ilvl w:val="1"/>
          <w:numId w:val="48"/>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All utilities shall be installed in accordance with City standards and shall be placed in dedicated public utility easements for City and/or utility supplier maintenance.</w:t>
      </w:r>
    </w:p>
    <w:p w:rsidR="0096447E" w:rsidRPr="0096447E" w:rsidRDefault="0096447E" w:rsidP="0096447E">
      <w:pPr>
        <w:numPr>
          <w:ilvl w:val="1"/>
          <w:numId w:val="49"/>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Water lines to the meter and sewer lines within the Mixed-Use (MXD) zone shall be maintained by the City once inspection demonstrates they have been installed in accordance with City standards and the developer’s warranty period has been completed.  Each development within the Mixed-Use (MXD) zone shall pay water and sewer impact fees.</w:t>
      </w:r>
    </w:p>
    <w:p w:rsidR="0096447E" w:rsidRPr="0096447E" w:rsidRDefault="0096447E" w:rsidP="0096447E">
      <w:pPr>
        <w:numPr>
          <w:ilvl w:val="0"/>
          <w:numId w:val="50"/>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Pedestrian and vehicle circulation.</w:t>
      </w:r>
    </w:p>
    <w:p w:rsidR="0096447E" w:rsidRPr="0096447E" w:rsidRDefault="0096447E" w:rsidP="0096447E">
      <w:pPr>
        <w:numPr>
          <w:ilvl w:val="1"/>
          <w:numId w:val="51"/>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lastRenderedPageBreak/>
        <w:t>Public rights-of-way within the Mixed-Use (MXD) zone shall be wide enough to incorporate bike lanes and sidewalks at least eight feet (8’) in width along structures containing non-residential uses.  </w:t>
      </w:r>
    </w:p>
    <w:p w:rsidR="0096447E" w:rsidRPr="0096447E" w:rsidRDefault="0096447E" w:rsidP="0096447E">
      <w:pPr>
        <w:numPr>
          <w:ilvl w:val="1"/>
          <w:numId w:val="52"/>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Public seating and bicycle racks shall be provided near entrances to structures.</w:t>
      </w:r>
    </w:p>
    <w:p w:rsidR="0096447E" w:rsidRPr="0096447E" w:rsidRDefault="0096447E" w:rsidP="0096447E">
      <w:pPr>
        <w:numPr>
          <w:ilvl w:val="0"/>
          <w:numId w:val="53"/>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Parking.</w:t>
      </w:r>
    </w:p>
    <w:p w:rsidR="0096447E" w:rsidRPr="0096447E" w:rsidRDefault="0096447E" w:rsidP="0096447E">
      <w:pPr>
        <w:numPr>
          <w:ilvl w:val="1"/>
          <w:numId w:val="54"/>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Parking lots shall </w:t>
      </w:r>
      <w:proofErr w:type="gramStart"/>
      <w:r w:rsidRPr="0096447E">
        <w:rPr>
          <w:rFonts w:ascii="Times New Roman" w:eastAsia="Times New Roman" w:hAnsi="Times New Roman" w:cs="Times New Roman"/>
          <w:color w:val="515967"/>
        </w:rPr>
        <w:t>be located in</w:t>
      </w:r>
      <w:proofErr w:type="gramEnd"/>
      <w:r w:rsidRPr="0096447E">
        <w:rPr>
          <w:rFonts w:ascii="Times New Roman" w:eastAsia="Times New Roman" w:hAnsi="Times New Roman" w:cs="Times New Roman"/>
          <w:color w:val="515967"/>
        </w:rPr>
        <w:t xml:space="preserve"> the interior of the project area and shall not be located adjacent to any public right-of-way, except that access driveways with parking spaces on one (1) or both sides, with a maximum width of seventy feet (70’) are permitted.  </w:t>
      </w:r>
    </w:p>
    <w:p w:rsidR="0096447E" w:rsidRPr="0096447E" w:rsidRDefault="0096447E" w:rsidP="0096447E">
      <w:pPr>
        <w:numPr>
          <w:ilvl w:val="1"/>
          <w:numId w:val="55"/>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For structures fronting a public right-of-way, all parking shall be located to the rear or side of the structures, or located below-grade (i.e., underneath structures).  </w:t>
      </w:r>
    </w:p>
    <w:p w:rsidR="0096447E" w:rsidRPr="0096447E" w:rsidRDefault="0096447E" w:rsidP="0096447E">
      <w:pPr>
        <w:numPr>
          <w:ilvl w:val="1"/>
          <w:numId w:val="56"/>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Structures located in the interior of the project area may have parking areas on any side of the structures as per the approved development plan.  </w:t>
      </w:r>
    </w:p>
    <w:p w:rsidR="0096447E" w:rsidRPr="0096447E" w:rsidRDefault="0096447E" w:rsidP="0096447E">
      <w:pPr>
        <w:numPr>
          <w:ilvl w:val="1"/>
          <w:numId w:val="57"/>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Underground parking shall be permitted only if such parking is accessible from the side or rear of the development and not from the primary street.</w:t>
      </w:r>
    </w:p>
    <w:p w:rsidR="0096447E" w:rsidRPr="0096447E" w:rsidRDefault="0096447E" w:rsidP="0096447E">
      <w:pPr>
        <w:numPr>
          <w:ilvl w:val="1"/>
          <w:numId w:val="58"/>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Above-ground parking structures are permitted only if the proposed parking structures do not front the public right-of-way and are not taller than the proposed buildings within the project area.</w:t>
      </w:r>
    </w:p>
    <w:p w:rsidR="0096447E" w:rsidRPr="0096447E" w:rsidRDefault="0096447E" w:rsidP="0096447E">
      <w:pPr>
        <w:numPr>
          <w:ilvl w:val="1"/>
          <w:numId w:val="59"/>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Parking areas shall be adequately screened and buffered from adjacent uses. Where feasible, pedestrian walkways shall be incorporated into parking lots of any size.</w:t>
      </w:r>
    </w:p>
    <w:p w:rsidR="0096447E" w:rsidRPr="0096447E" w:rsidRDefault="0096447E" w:rsidP="0096447E">
      <w:pPr>
        <w:numPr>
          <w:ilvl w:val="1"/>
          <w:numId w:val="60"/>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Parking requirements may be reduced if it can be shown that shared parking is a viable </w:t>
      </w:r>
      <w:proofErr w:type="gramStart"/>
      <w:r w:rsidRPr="0096447E">
        <w:rPr>
          <w:rFonts w:ascii="Times New Roman" w:eastAsia="Times New Roman" w:hAnsi="Times New Roman" w:cs="Times New Roman"/>
          <w:color w:val="515967"/>
        </w:rPr>
        <w:t>alternative</w:t>
      </w:r>
      <w:proofErr w:type="gramEnd"/>
      <w:r w:rsidRPr="0096447E">
        <w:rPr>
          <w:rFonts w:ascii="Times New Roman" w:eastAsia="Times New Roman" w:hAnsi="Times New Roman" w:cs="Times New Roman"/>
          <w:color w:val="515967"/>
        </w:rPr>
        <w:t xml:space="preserve"> or a professional study is submitted that evaluates market need at the specific location.  The City reserves the right to dictate the amount of parking and/or the location of parking spaces within a project to achieve the objectives of this ordinance.</w:t>
      </w:r>
    </w:p>
    <w:p w:rsidR="0096447E" w:rsidRPr="0096447E" w:rsidRDefault="0096447E" w:rsidP="0096447E">
      <w:pPr>
        <w:numPr>
          <w:ilvl w:val="0"/>
          <w:numId w:val="61"/>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Loading/Unloading zones.</w:t>
      </w:r>
    </w:p>
    <w:p w:rsidR="0096447E" w:rsidRPr="0096447E" w:rsidRDefault="0096447E" w:rsidP="0096447E">
      <w:pPr>
        <w:numPr>
          <w:ilvl w:val="1"/>
          <w:numId w:val="62"/>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All truck loading and pick-up zones shall be provided at the rear or side of structures.  Pick-up and deliveries shall be limited between the hours of 6:00 a.m. and 10:00 p.m. for all non-residential uses except for restaurant and retail grocery uses.</w:t>
      </w:r>
    </w:p>
    <w:p w:rsidR="0096447E" w:rsidRPr="0096447E" w:rsidRDefault="0096447E" w:rsidP="0096447E">
      <w:pPr>
        <w:numPr>
          <w:ilvl w:val="0"/>
          <w:numId w:val="63"/>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Refuse and storage areas.</w:t>
      </w:r>
    </w:p>
    <w:p w:rsidR="0096447E" w:rsidRPr="0096447E" w:rsidRDefault="0096447E" w:rsidP="0096447E">
      <w:pPr>
        <w:numPr>
          <w:ilvl w:val="1"/>
          <w:numId w:val="64"/>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Refuse storage areas shall be screened so that materials stored within these areas shall not be visible from adjacent streets and rights-of-way.</w:t>
      </w:r>
    </w:p>
    <w:p w:rsidR="0096447E" w:rsidRPr="0096447E" w:rsidRDefault="0096447E" w:rsidP="0096447E">
      <w:pPr>
        <w:numPr>
          <w:ilvl w:val="1"/>
          <w:numId w:val="65"/>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Storage or refuse areas shall not be located within required building setbacks nor within public utility easements.</w:t>
      </w:r>
    </w:p>
    <w:p w:rsidR="0096447E" w:rsidRPr="0096447E" w:rsidRDefault="0096447E" w:rsidP="0096447E">
      <w:pPr>
        <w:numPr>
          <w:ilvl w:val="1"/>
          <w:numId w:val="66"/>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Safe and convenient turning space shall be provided for vehicles, including refuse collection vehicles, fire apparatus, etc., at the end of private drives and dead-end streets.</w:t>
      </w:r>
    </w:p>
    <w:p w:rsidR="0096447E" w:rsidRPr="0096447E" w:rsidRDefault="0096447E" w:rsidP="0096447E">
      <w:pPr>
        <w:numPr>
          <w:ilvl w:val="0"/>
          <w:numId w:val="67"/>
        </w:numPr>
        <w:spacing w:after="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Postal Delivery.  All postal mail shall be delivered to a </w:t>
      </w:r>
      <w:proofErr w:type="gramStart"/>
      <w:r w:rsidRPr="0096447E">
        <w:rPr>
          <w:rFonts w:ascii="Times New Roman" w:eastAsia="Times New Roman" w:hAnsi="Times New Roman" w:cs="Times New Roman"/>
          <w:color w:val="515967"/>
        </w:rPr>
        <w:t>common locations</w:t>
      </w:r>
      <w:proofErr w:type="gramEnd"/>
      <w:r w:rsidRPr="0096447E">
        <w:rPr>
          <w:rFonts w:ascii="Times New Roman" w:eastAsia="Times New Roman" w:hAnsi="Times New Roman" w:cs="Times New Roman"/>
          <w:color w:val="515967"/>
        </w:rPr>
        <w:t xml:space="preserve"> with the Mixed-Use (MXD) development as agreed with the United States Postal Service.</w:t>
      </w:r>
    </w:p>
    <w:p w:rsidR="0096447E" w:rsidRPr="0096447E" w:rsidRDefault="0096447E" w:rsidP="0096447E">
      <w:pPr>
        <w:numPr>
          <w:ilvl w:val="0"/>
          <w:numId w:val="68"/>
        </w:numPr>
        <w:spacing w:after="120" w:line="240" w:lineRule="auto"/>
        <w:textAlignment w:val="baseline"/>
        <w:rPr>
          <w:rFonts w:ascii="Times New Roman" w:eastAsia="Times New Roman" w:hAnsi="Times New Roman" w:cs="Times New Roman"/>
          <w:color w:val="515967"/>
        </w:rPr>
      </w:pPr>
      <w:r w:rsidRPr="0096447E">
        <w:rPr>
          <w:rFonts w:ascii="Times New Roman" w:eastAsia="Times New Roman" w:hAnsi="Times New Roman" w:cs="Times New Roman"/>
          <w:color w:val="515967"/>
        </w:rPr>
        <w:t xml:space="preserve">Signage.  All signage within a Mixed-Use (MXD) development shall meet the requirements outlined in </w:t>
      </w:r>
      <w:proofErr w:type="gramStart"/>
      <w:r w:rsidRPr="0096447E">
        <w:rPr>
          <w:rFonts w:ascii="Times New Roman" w:eastAsia="Times New Roman" w:hAnsi="Times New Roman" w:cs="Times New Roman"/>
          <w:color w:val="515967"/>
        </w:rPr>
        <w:t>[ ]</w:t>
      </w:r>
      <w:proofErr w:type="gramEnd"/>
      <w:r w:rsidRPr="0096447E">
        <w:rPr>
          <w:rFonts w:ascii="Times New Roman" w:eastAsia="Times New Roman" w:hAnsi="Times New Roman" w:cs="Times New Roman"/>
          <w:color w:val="515967"/>
        </w:rPr>
        <w:t xml:space="preserve"> of HPMC.</w:t>
      </w:r>
    </w:p>
    <w:p w:rsidR="0096447E" w:rsidRPr="0096447E" w:rsidRDefault="0096447E" w:rsidP="0096447E">
      <w:pPr>
        <w:shd w:val="clear" w:color="auto" w:fill="FFFFFF"/>
        <w:spacing w:after="220" w:line="240" w:lineRule="auto"/>
        <w:jc w:val="both"/>
        <w:rPr>
          <w:rFonts w:ascii="Times New Roman" w:eastAsia="Times New Roman" w:hAnsi="Times New Roman" w:cs="Times New Roman"/>
          <w:sz w:val="24"/>
          <w:szCs w:val="24"/>
        </w:rPr>
      </w:pPr>
      <w:r w:rsidRPr="0096447E">
        <w:rPr>
          <w:rFonts w:ascii="Times New Roman" w:eastAsia="Times New Roman" w:hAnsi="Times New Roman" w:cs="Times New Roman"/>
          <w:b/>
          <w:bCs/>
          <w:color w:val="000000"/>
          <w:u w:val="single"/>
        </w:rPr>
        <w:t>12.270.060 Approval Time Limit</w:t>
      </w:r>
    </w:p>
    <w:p w:rsidR="0096447E" w:rsidRPr="0096447E" w:rsidRDefault="0096447E" w:rsidP="0096447E">
      <w:pPr>
        <w:spacing w:after="120" w:line="240" w:lineRule="auto"/>
        <w:ind w:left="720" w:hanging="270"/>
        <w:rPr>
          <w:rFonts w:ascii="Times New Roman" w:eastAsia="Times New Roman" w:hAnsi="Times New Roman" w:cs="Times New Roman"/>
          <w:sz w:val="24"/>
          <w:szCs w:val="24"/>
        </w:rPr>
      </w:pPr>
      <w:r w:rsidRPr="0096447E">
        <w:rPr>
          <w:rFonts w:ascii="Times New Roman" w:eastAsia="Times New Roman" w:hAnsi="Times New Roman" w:cs="Times New Roman"/>
          <w:color w:val="515967"/>
        </w:rPr>
        <w:t>A. The applicant shall begin and substantially complete the Mixed-Use (MXD) project within two (2) years from the date of project approval or written authorization to proceed unless otherwise stipulated in the development’s phasing plan.</w:t>
      </w:r>
    </w:p>
    <w:p w:rsidR="0096447E" w:rsidRPr="0096447E" w:rsidRDefault="0096447E" w:rsidP="0096447E">
      <w:pPr>
        <w:spacing w:after="120" w:line="240" w:lineRule="auto"/>
        <w:ind w:left="720" w:hanging="270"/>
        <w:rPr>
          <w:rFonts w:ascii="Times New Roman" w:eastAsia="Times New Roman" w:hAnsi="Times New Roman" w:cs="Times New Roman"/>
          <w:sz w:val="24"/>
          <w:szCs w:val="24"/>
        </w:rPr>
      </w:pPr>
      <w:r w:rsidRPr="0096447E">
        <w:rPr>
          <w:rFonts w:ascii="Times New Roman" w:eastAsia="Times New Roman" w:hAnsi="Times New Roman" w:cs="Times New Roman"/>
          <w:color w:val="515967"/>
        </w:rPr>
        <w:t>B. If the applicant does not substantially complete the Mixed-Use (MXD) project within the time limits imposed, the Zoning Administrator or designee shall review the Mixed-Use (MXD) project and recommend to the Land Use Authority in a public hearing either an extension of the time limit, revocation of the approval, or amendment to the approved development plan.  The applicant may appeal the decision of the Land Use Authority.  Such appeal must be filed in writing within ten (10) calendar days of the date of the decision.</w:t>
      </w:r>
    </w:p>
    <w:p w:rsidR="001E1D7D" w:rsidRDefault="001E1D7D"/>
    <w:sectPr w:rsidR="001E1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4EF"/>
    <w:multiLevelType w:val="multilevel"/>
    <w:tmpl w:val="EDBA7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351F8"/>
    <w:multiLevelType w:val="multilevel"/>
    <w:tmpl w:val="A844E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A46929"/>
    <w:multiLevelType w:val="multilevel"/>
    <w:tmpl w:val="4FF84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C61DC"/>
    <w:multiLevelType w:val="multilevel"/>
    <w:tmpl w:val="089E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DB5F05"/>
    <w:multiLevelType w:val="multilevel"/>
    <w:tmpl w:val="0DBC1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622920">
    <w:abstractNumId w:val="0"/>
    <w:lvlOverride w:ilvl="0">
      <w:lvl w:ilvl="0">
        <w:numFmt w:val="upperLetter"/>
        <w:lvlText w:val="%1."/>
        <w:lvlJc w:val="left"/>
      </w:lvl>
    </w:lvlOverride>
  </w:num>
  <w:num w:numId="2" w16cid:durableId="212622920">
    <w:abstractNumId w:val="0"/>
    <w:lvlOverride w:ilvl="0">
      <w:lvl w:ilvl="0">
        <w:numFmt w:val="upperLetter"/>
        <w:lvlText w:val="%1."/>
        <w:lvlJc w:val="left"/>
      </w:lvl>
    </w:lvlOverride>
  </w:num>
  <w:num w:numId="3" w16cid:durableId="212622920">
    <w:abstractNumId w:val="0"/>
    <w:lvlOverride w:ilvl="1">
      <w:lvl w:ilvl="1">
        <w:numFmt w:val="lowerLetter"/>
        <w:lvlText w:val="%2."/>
        <w:lvlJc w:val="left"/>
      </w:lvl>
    </w:lvlOverride>
  </w:num>
  <w:num w:numId="4" w16cid:durableId="212622920">
    <w:abstractNumId w:val="0"/>
    <w:lvlOverride w:ilvl="1">
      <w:lvl w:ilvl="1">
        <w:numFmt w:val="lowerLetter"/>
        <w:lvlText w:val="%2."/>
        <w:lvlJc w:val="left"/>
      </w:lvl>
    </w:lvlOverride>
  </w:num>
  <w:num w:numId="5" w16cid:durableId="212622920">
    <w:abstractNumId w:val="0"/>
    <w:lvlOverride w:ilvl="1">
      <w:lvl w:ilvl="1">
        <w:numFmt w:val="lowerLetter"/>
        <w:lvlText w:val="%2."/>
        <w:lvlJc w:val="left"/>
      </w:lvl>
    </w:lvlOverride>
  </w:num>
  <w:num w:numId="6" w16cid:durableId="212622920">
    <w:abstractNumId w:val="0"/>
    <w:lvlOverride w:ilvl="1">
      <w:lvl w:ilvl="1">
        <w:numFmt w:val="lowerLetter"/>
        <w:lvlText w:val="%2."/>
        <w:lvlJc w:val="left"/>
      </w:lvl>
    </w:lvlOverride>
  </w:num>
  <w:num w:numId="7" w16cid:durableId="212622920">
    <w:abstractNumId w:val="0"/>
    <w:lvlOverride w:ilvl="1">
      <w:lvl w:ilvl="1">
        <w:numFmt w:val="lowerLetter"/>
        <w:lvlText w:val="%2."/>
        <w:lvlJc w:val="left"/>
      </w:lvl>
    </w:lvlOverride>
  </w:num>
  <w:num w:numId="8" w16cid:durableId="212622920">
    <w:abstractNumId w:val="0"/>
    <w:lvlOverride w:ilvl="1">
      <w:lvl w:ilvl="1">
        <w:numFmt w:val="lowerLetter"/>
        <w:lvlText w:val="%2."/>
        <w:lvlJc w:val="left"/>
      </w:lvl>
    </w:lvlOverride>
  </w:num>
  <w:num w:numId="9" w16cid:durableId="212622920">
    <w:abstractNumId w:val="0"/>
    <w:lvlOverride w:ilvl="1">
      <w:lvl w:ilvl="1">
        <w:numFmt w:val="lowerLetter"/>
        <w:lvlText w:val="%2."/>
        <w:lvlJc w:val="left"/>
      </w:lvl>
    </w:lvlOverride>
  </w:num>
  <w:num w:numId="10" w16cid:durableId="212622920">
    <w:abstractNumId w:val="0"/>
    <w:lvlOverride w:ilvl="0">
      <w:lvl w:ilvl="0">
        <w:numFmt w:val="upperLetter"/>
        <w:lvlText w:val="%1."/>
        <w:lvlJc w:val="left"/>
      </w:lvl>
    </w:lvlOverride>
  </w:num>
  <w:num w:numId="11" w16cid:durableId="212622920">
    <w:abstractNumId w:val="0"/>
    <w:lvlOverride w:ilvl="0">
      <w:lvl w:ilvl="0">
        <w:numFmt w:val="upperLetter"/>
        <w:lvlText w:val="%1."/>
        <w:lvlJc w:val="left"/>
      </w:lvl>
    </w:lvlOverride>
  </w:num>
  <w:num w:numId="12" w16cid:durableId="212622920">
    <w:abstractNumId w:val="0"/>
    <w:lvlOverride w:ilvl="0">
      <w:lvl w:ilvl="0">
        <w:numFmt w:val="upperLetter"/>
        <w:lvlText w:val="%1."/>
        <w:lvlJc w:val="left"/>
      </w:lvl>
    </w:lvlOverride>
  </w:num>
  <w:num w:numId="13" w16cid:durableId="212622920">
    <w:abstractNumId w:val="0"/>
    <w:lvlOverride w:ilvl="0">
      <w:lvl w:ilvl="0">
        <w:numFmt w:val="upperLetter"/>
        <w:lvlText w:val="%1."/>
        <w:lvlJc w:val="left"/>
      </w:lvl>
    </w:lvlOverride>
  </w:num>
  <w:num w:numId="14" w16cid:durableId="1729185806">
    <w:abstractNumId w:val="3"/>
    <w:lvlOverride w:ilvl="0">
      <w:lvl w:ilvl="0">
        <w:numFmt w:val="upperLetter"/>
        <w:lvlText w:val="%1."/>
        <w:lvlJc w:val="left"/>
      </w:lvl>
    </w:lvlOverride>
  </w:num>
  <w:num w:numId="15" w16cid:durableId="1729185806">
    <w:abstractNumId w:val="3"/>
    <w:lvlOverride w:ilvl="0">
      <w:lvl w:ilvl="0">
        <w:numFmt w:val="upperLetter"/>
        <w:lvlText w:val="%1."/>
        <w:lvlJc w:val="left"/>
      </w:lvl>
    </w:lvlOverride>
  </w:num>
  <w:num w:numId="16" w16cid:durableId="1729185806">
    <w:abstractNumId w:val="3"/>
    <w:lvlOverride w:ilvl="0">
      <w:lvl w:ilvl="0">
        <w:numFmt w:val="upperLetter"/>
        <w:lvlText w:val="%1."/>
        <w:lvlJc w:val="left"/>
      </w:lvl>
    </w:lvlOverride>
  </w:num>
  <w:num w:numId="17" w16cid:durableId="1729185806">
    <w:abstractNumId w:val="3"/>
    <w:lvlOverride w:ilvl="0">
      <w:lvl w:ilvl="0">
        <w:numFmt w:val="upperLetter"/>
        <w:lvlText w:val="%1."/>
        <w:lvlJc w:val="left"/>
      </w:lvl>
    </w:lvlOverride>
  </w:num>
  <w:num w:numId="18" w16cid:durableId="1804958170">
    <w:abstractNumId w:val="2"/>
    <w:lvlOverride w:ilvl="0">
      <w:lvl w:ilvl="0">
        <w:numFmt w:val="upperLetter"/>
        <w:lvlText w:val="%1."/>
        <w:lvlJc w:val="left"/>
      </w:lvl>
    </w:lvlOverride>
  </w:num>
  <w:num w:numId="19" w16cid:durableId="1804958170">
    <w:abstractNumId w:val="2"/>
    <w:lvlOverride w:ilvl="0">
      <w:lvl w:ilvl="0">
        <w:numFmt w:val="upperLetter"/>
        <w:lvlText w:val="%1."/>
        <w:lvlJc w:val="left"/>
      </w:lvl>
    </w:lvlOverride>
  </w:num>
  <w:num w:numId="20" w16cid:durableId="1804958170">
    <w:abstractNumId w:val="2"/>
    <w:lvlOverride w:ilvl="0">
      <w:lvl w:ilvl="0">
        <w:numFmt w:val="upperLetter"/>
        <w:lvlText w:val="%1."/>
        <w:lvlJc w:val="left"/>
      </w:lvl>
    </w:lvlOverride>
  </w:num>
  <w:num w:numId="21" w16cid:durableId="1804958170">
    <w:abstractNumId w:val="2"/>
    <w:lvlOverride w:ilvl="0">
      <w:lvl w:ilvl="0">
        <w:numFmt w:val="upperLetter"/>
        <w:lvlText w:val="%1."/>
        <w:lvlJc w:val="left"/>
      </w:lvl>
    </w:lvlOverride>
  </w:num>
  <w:num w:numId="22" w16cid:durableId="1804958170">
    <w:abstractNumId w:val="2"/>
    <w:lvlOverride w:ilvl="1">
      <w:lvl w:ilvl="1">
        <w:numFmt w:val="lowerLetter"/>
        <w:lvlText w:val="%2."/>
        <w:lvlJc w:val="left"/>
      </w:lvl>
    </w:lvlOverride>
  </w:num>
  <w:num w:numId="23" w16cid:durableId="1804958170">
    <w:abstractNumId w:val="2"/>
    <w:lvlOverride w:ilvl="2">
      <w:lvl w:ilvl="2">
        <w:numFmt w:val="lowerRoman"/>
        <w:lvlText w:val="%3."/>
        <w:lvlJc w:val="right"/>
      </w:lvl>
    </w:lvlOverride>
  </w:num>
  <w:num w:numId="24" w16cid:durableId="1804958170">
    <w:abstractNumId w:val="2"/>
    <w:lvlOverride w:ilvl="2">
      <w:lvl w:ilvl="2">
        <w:numFmt w:val="lowerRoman"/>
        <w:lvlText w:val="%3."/>
        <w:lvlJc w:val="right"/>
      </w:lvl>
    </w:lvlOverride>
  </w:num>
  <w:num w:numId="25" w16cid:durableId="1804958170">
    <w:abstractNumId w:val="2"/>
    <w:lvlOverride w:ilvl="2">
      <w:lvl w:ilvl="2">
        <w:numFmt w:val="lowerRoman"/>
        <w:lvlText w:val="%3."/>
        <w:lvlJc w:val="right"/>
      </w:lvl>
    </w:lvlOverride>
  </w:num>
  <w:num w:numId="26" w16cid:durableId="1804958170">
    <w:abstractNumId w:val="2"/>
    <w:lvlOverride w:ilvl="0">
      <w:lvl w:ilvl="0">
        <w:numFmt w:val="upperLetter"/>
        <w:lvlText w:val="%1."/>
        <w:lvlJc w:val="left"/>
      </w:lvl>
    </w:lvlOverride>
  </w:num>
  <w:num w:numId="27" w16cid:durableId="1417704326">
    <w:abstractNumId w:val="1"/>
    <w:lvlOverride w:ilvl="0">
      <w:lvl w:ilvl="0">
        <w:numFmt w:val="upperLetter"/>
        <w:lvlText w:val="%1."/>
        <w:lvlJc w:val="left"/>
      </w:lvl>
    </w:lvlOverride>
  </w:num>
  <w:num w:numId="28" w16cid:durableId="1114909679">
    <w:abstractNumId w:val="4"/>
  </w:num>
  <w:num w:numId="29" w16cid:durableId="160586987">
    <w:abstractNumId w:val="4"/>
    <w:lvlOverride w:ilvl="0">
      <w:lvl w:ilvl="0">
        <w:numFmt w:val="upperLetter"/>
        <w:lvlText w:val="%1."/>
        <w:lvlJc w:val="left"/>
      </w:lvl>
    </w:lvlOverride>
  </w:num>
  <w:num w:numId="30" w16cid:durableId="160586987">
    <w:abstractNumId w:val="4"/>
    <w:lvlOverride w:ilvl="1">
      <w:lvl w:ilvl="1">
        <w:numFmt w:val="lowerLetter"/>
        <w:lvlText w:val="%2."/>
        <w:lvlJc w:val="left"/>
      </w:lvl>
    </w:lvlOverride>
  </w:num>
  <w:num w:numId="31" w16cid:durableId="160586987">
    <w:abstractNumId w:val="4"/>
    <w:lvlOverride w:ilvl="1">
      <w:lvl w:ilvl="1">
        <w:numFmt w:val="lowerLetter"/>
        <w:lvlText w:val="%2."/>
        <w:lvlJc w:val="left"/>
      </w:lvl>
    </w:lvlOverride>
  </w:num>
  <w:num w:numId="32" w16cid:durableId="160586987">
    <w:abstractNumId w:val="4"/>
    <w:lvlOverride w:ilvl="1">
      <w:lvl w:ilvl="1">
        <w:numFmt w:val="lowerLetter"/>
        <w:lvlText w:val="%2."/>
        <w:lvlJc w:val="left"/>
      </w:lvl>
    </w:lvlOverride>
  </w:num>
  <w:num w:numId="33" w16cid:durableId="160586987">
    <w:abstractNumId w:val="4"/>
    <w:lvlOverride w:ilvl="1">
      <w:lvl w:ilvl="1">
        <w:numFmt w:val="lowerLetter"/>
        <w:lvlText w:val="%2."/>
        <w:lvlJc w:val="left"/>
      </w:lvl>
    </w:lvlOverride>
  </w:num>
  <w:num w:numId="34" w16cid:durableId="160586987">
    <w:abstractNumId w:val="4"/>
    <w:lvlOverride w:ilvl="2">
      <w:lvl w:ilvl="2">
        <w:numFmt w:val="lowerRoman"/>
        <w:lvlText w:val="%3."/>
        <w:lvlJc w:val="right"/>
      </w:lvl>
    </w:lvlOverride>
  </w:num>
  <w:num w:numId="35" w16cid:durableId="160586987">
    <w:abstractNumId w:val="4"/>
    <w:lvlOverride w:ilvl="2">
      <w:lvl w:ilvl="2">
        <w:numFmt w:val="lowerRoman"/>
        <w:lvlText w:val="%3."/>
        <w:lvlJc w:val="right"/>
      </w:lvl>
    </w:lvlOverride>
  </w:num>
  <w:num w:numId="36" w16cid:durableId="160586987">
    <w:abstractNumId w:val="4"/>
    <w:lvlOverride w:ilvl="2">
      <w:lvl w:ilvl="2">
        <w:numFmt w:val="lowerRoman"/>
        <w:lvlText w:val="%3."/>
        <w:lvlJc w:val="right"/>
      </w:lvl>
    </w:lvlOverride>
  </w:num>
  <w:num w:numId="37" w16cid:durableId="160586987">
    <w:abstractNumId w:val="4"/>
    <w:lvlOverride w:ilvl="1">
      <w:lvl w:ilvl="1">
        <w:numFmt w:val="lowerLetter"/>
        <w:lvlText w:val="%2."/>
        <w:lvlJc w:val="left"/>
      </w:lvl>
    </w:lvlOverride>
  </w:num>
  <w:num w:numId="38" w16cid:durableId="160586987">
    <w:abstractNumId w:val="4"/>
    <w:lvlOverride w:ilvl="2">
      <w:lvl w:ilvl="2">
        <w:numFmt w:val="lowerRoman"/>
        <w:lvlText w:val="%3."/>
        <w:lvlJc w:val="right"/>
      </w:lvl>
    </w:lvlOverride>
  </w:num>
  <w:num w:numId="39" w16cid:durableId="160586987">
    <w:abstractNumId w:val="4"/>
    <w:lvlOverride w:ilvl="2">
      <w:lvl w:ilvl="2">
        <w:numFmt w:val="lowerRoman"/>
        <w:lvlText w:val="%3."/>
        <w:lvlJc w:val="right"/>
      </w:lvl>
    </w:lvlOverride>
  </w:num>
  <w:num w:numId="40" w16cid:durableId="160586987">
    <w:abstractNumId w:val="4"/>
    <w:lvlOverride w:ilvl="0">
      <w:lvl w:ilvl="0">
        <w:numFmt w:val="upperLetter"/>
        <w:lvlText w:val="%1."/>
        <w:lvlJc w:val="left"/>
      </w:lvl>
    </w:lvlOverride>
  </w:num>
  <w:num w:numId="41" w16cid:durableId="160586987">
    <w:abstractNumId w:val="4"/>
    <w:lvlOverride w:ilvl="1">
      <w:lvl w:ilvl="1">
        <w:numFmt w:val="lowerLetter"/>
        <w:lvlText w:val="%2."/>
        <w:lvlJc w:val="left"/>
      </w:lvl>
    </w:lvlOverride>
  </w:num>
  <w:num w:numId="42" w16cid:durableId="160586987">
    <w:abstractNumId w:val="4"/>
    <w:lvlOverride w:ilvl="1">
      <w:lvl w:ilvl="1">
        <w:numFmt w:val="lowerLetter"/>
        <w:lvlText w:val="%2."/>
        <w:lvlJc w:val="left"/>
      </w:lvl>
    </w:lvlOverride>
  </w:num>
  <w:num w:numId="43" w16cid:durableId="160586987">
    <w:abstractNumId w:val="4"/>
    <w:lvlOverride w:ilvl="2">
      <w:lvl w:ilvl="2">
        <w:numFmt w:val="lowerRoman"/>
        <w:lvlText w:val="%3."/>
        <w:lvlJc w:val="right"/>
      </w:lvl>
    </w:lvlOverride>
  </w:num>
  <w:num w:numId="44" w16cid:durableId="160586987">
    <w:abstractNumId w:val="4"/>
    <w:lvlOverride w:ilvl="1">
      <w:lvl w:ilvl="1">
        <w:numFmt w:val="lowerLetter"/>
        <w:lvlText w:val="%2."/>
        <w:lvlJc w:val="left"/>
      </w:lvl>
    </w:lvlOverride>
  </w:num>
  <w:num w:numId="45" w16cid:durableId="160586987">
    <w:abstractNumId w:val="4"/>
    <w:lvlOverride w:ilvl="0">
      <w:lvl w:ilvl="0">
        <w:numFmt w:val="upperLetter"/>
        <w:lvlText w:val="%1."/>
        <w:lvlJc w:val="left"/>
      </w:lvl>
    </w:lvlOverride>
  </w:num>
  <w:num w:numId="46" w16cid:durableId="160586987">
    <w:abstractNumId w:val="4"/>
    <w:lvlOverride w:ilvl="0">
      <w:lvl w:ilvl="0">
        <w:numFmt w:val="upperLetter"/>
        <w:lvlText w:val="%1."/>
        <w:lvlJc w:val="left"/>
      </w:lvl>
    </w:lvlOverride>
  </w:num>
  <w:num w:numId="47" w16cid:durableId="160586987">
    <w:abstractNumId w:val="4"/>
    <w:lvlOverride w:ilvl="1">
      <w:lvl w:ilvl="1">
        <w:numFmt w:val="lowerLetter"/>
        <w:lvlText w:val="%2."/>
        <w:lvlJc w:val="left"/>
      </w:lvl>
    </w:lvlOverride>
  </w:num>
  <w:num w:numId="48" w16cid:durableId="160586987">
    <w:abstractNumId w:val="4"/>
    <w:lvlOverride w:ilvl="1">
      <w:lvl w:ilvl="1">
        <w:numFmt w:val="lowerLetter"/>
        <w:lvlText w:val="%2."/>
        <w:lvlJc w:val="left"/>
      </w:lvl>
    </w:lvlOverride>
  </w:num>
  <w:num w:numId="49" w16cid:durableId="160586987">
    <w:abstractNumId w:val="4"/>
    <w:lvlOverride w:ilvl="1">
      <w:lvl w:ilvl="1">
        <w:numFmt w:val="lowerLetter"/>
        <w:lvlText w:val="%2."/>
        <w:lvlJc w:val="left"/>
      </w:lvl>
    </w:lvlOverride>
  </w:num>
  <w:num w:numId="50" w16cid:durableId="160586987">
    <w:abstractNumId w:val="4"/>
    <w:lvlOverride w:ilvl="0">
      <w:lvl w:ilvl="0">
        <w:numFmt w:val="upperLetter"/>
        <w:lvlText w:val="%1."/>
        <w:lvlJc w:val="left"/>
      </w:lvl>
    </w:lvlOverride>
  </w:num>
  <w:num w:numId="51" w16cid:durableId="160586987">
    <w:abstractNumId w:val="4"/>
    <w:lvlOverride w:ilvl="1">
      <w:lvl w:ilvl="1">
        <w:numFmt w:val="lowerLetter"/>
        <w:lvlText w:val="%2."/>
        <w:lvlJc w:val="left"/>
      </w:lvl>
    </w:lvlOverride>
  </w:num>
  <w:num w:numId="52" w16cid:durableId="160586987">
    <w:abstractNumId w:val="4"/>
    <w:lvlOverride w:ilvl="1">
      <w:lvl w:ilvl="1">
        <w:numFmt w:val="lowerLetter"/>
        <w:lvlText w:val="%2."/>
        <w:lvlJc w:val="left"/>
      </w:lvl>
    </w:lvlOverride>
  </w:num>
  <w:num w:numId="53" w16cid:durableId="160586987">
    <w:abstractNumId w:val="4"/>
    <w:lvlOverride w:ilvl="0">
      <w:lvl w:ilvl="0">
        <w:numFmt w:val="upperLetter"/>
        <w:lvlText w:val="%1."/>
        <w:lvlJc w:val="left"/>
      </w:lvl>
    </w:lvlOverride>
  </w:num>
  <w:num w:numId="54" w16cid:durableId="160586987">
    <w:abstractNumId w:val="4"/>
    <w:lvlOverride w:ilvl="1">
      <w:lvl w:ilvl="1">
        <w:numFmt w:val="lowerLetter"/>
        <w:lvlText w:val="%2."/>
        <w:lvlJc w:val="left"/>
      </w:lvl>
    </w:lvlOverride>
  </w:num>
  <w:num w:numId="55" w16cid:durableId="160586987">
    <w:abstractNumId w:val="4"/>
    <w:lvlOverride w:ilvl="1">
      <w:lvl w:ilvl="1">
        <w:numFmt w:val="lowerLetter"/>
        <w:lvlText w:val="%2."/>
        <w:lvlJc w:val="left"/>
      </w:lvl>
    </w:lvlOverride>
  </w:num>
  <w:num w:numId="56" w16cid:durableId="160586987">
    <w:abstractNumId w:val="4"/>
    <w:lvlOverride w:ilvl="1">
      <w:lvl w:ilvl="1">
        <w:numFmt w:val="lowerLetter"/>
        <w:lvlText w:val="%2."/>
        <w:lvlJc w:val="left"/>
      </w:lvl>
    </w:lvlOverride>
  </w:num>
  <w:num w:numId="57" w16cid:durableId="160586987">
    <w:abstractNumId w:val="4"/>
    <w:lvlOverride w:ilvl="1">
      <w:lvl w:ilvl="1">
        <w:numFmt w:val="lowerLetter"/>
        <w:lvlText w:val="%2."/>
        <w:lvlJc w:val="left"/>
      </w:lvl>
    </w:lvlOverride>
  </w:num>
  <w:num w:numId="58" w16cid:durableId="160586987">
    <w:abstractNumId w:val="4"/>
    <w:lvlOverride w:ilvl="1">
      <w:lvl w:ilvl="1">
        <w:numFmt w:val="lowerLetter"/>
        <w:lvlText w:val="%2."/>
        <w:lvlJc w:val="left"/>
      </w:lvl>
    </w:lvlOverride>
  </w:num>
  <w:num w:numId="59" w16cid:durableId="160586987">
    <w:abstractNumId w:val="4"/>
    <w:lvlOverride w:ilvl="1">
      <w:lvl w:ilvl="1">
        <w:numFmt w:val="lowerLetter"/>
        <w:lvlText w:val="%2."/>
        <w:lvlJc w:val="left"/>
      </w:lvl>
    </w:lvlOverride>
  </w:num>
  <w:num w:numId="60" w16cid:durableId="160586987">
    <w:abstractNumId w:val="4"/>
    <w:lvlOverride w:ilvl="1">
      <w:lvl w:ilvl="1">
        <w:numFmt w:val="lowerLetter"/>
        <w:lvlText w:val="%2."/>
        <w:lvlJc w:val="left"/>
      </w:lvl>
    </w:lvlOverride>
  </w:num>
  <w:num w:numId="61" w16cid:durableId="160586987">
    <w:abstractNumId w:val="4"/>
    <w:lvlOverride w:ilvl="0">
      <w:lvl w:ilvl="0">
        <w:numFmt w:val="upperLetter"/>
        <w:lvlText w:val="%1."/>
        <w:lvlJc w:val="left"/>
      </w:lvl>
    </w:lvlOverride>
  </w:num>
  <w:num w:numId="62" w16cid:durableId="160586987">
    <w:abstractNumId w:val="4"/>
    <w:lvlOverride w:ilvl="1">
      <w:lvl w:ilvl="1">
        <w:numFmt w:val="lowerLetter"/>
        <w:lvlText w:val="%2."/>
        <w:lvlJc w:val="left"/>
      </w:lvl>
    </w:lvlOverride>
  </w:num>
  <w:num w:numId="63" w16cid:durableId="160586987">
    <w:abstractNumId w:val="4"/>
    <w:lvlOverride w:ilvl="0">
      <w:lvl w:ilvl="0">
        <w:numFmt w:val="upperLetter"/>
        <w:lvlText w:val="%1."/>
        <w:lvlJc w:val="left"/>
      </w:lvl>
    </w:lvlOverride>
  </w:num>
  <w:num w:numId="64" w16cid:durableId="160586987">
    <w:abstractNumId w:val="4"/>
    <w:lvlOverride w:ilvl="1">
      <w:lvl w:ilvl="1">
        <w:numFmt w:val="lowerLetter"/>
        <w:lvlText w:val="%2."/>
        <w:lvlJc w:val="left"/>
      </w:lvl>
    </w:lvlOverride>
  </w:num>
  <w:num w:numId="65" w16cid:durableId="160586987">
    <w:abstractNumId w:val="4"/>
    <w:lvlOverride w:ilvl="1">
      <w:lvl w:ilvl="1">
        <w:numFmt w:val="lowerLetter"/>
        <w:lvlText w:val="%2."/>
        <w:lvlJc w:val="left"/>
      </w:lvl>
    </w:lvlOverride>
  </w:num>
  <w:num w:numId="66" w16cid:durableId="160586987">
    <w:abstractNumId w:val="4"/>
    <w:lvlOverride w:ilvl="1">
      <w:lvl w:ilvl="1">
        <w:numFmt w:val="lowerLetter"/>
        <w:lvlText w:val="%2."/>
        <w:lvlJc w:val="left"/>
      </w:lvl>
    </w:lvlOverride>
  </w:num>
  <w:num w:numId="67" w16cid:durableId="160586987">
    <w:abstractNumId w:val="4"/>
    <w:lvlOverride w:ilvl="0">
      <w:lvl w:ilvl="0">
        <w:numFmt w:val="upperLetter"/>
        <w:lvlText w:val="%1."/>
        <w:lvlJc w:val="left"/>
      </w:lvl>
    </w:lvlOverride>
  </w:num>
  <w:num w:numId="68" w16cid:durableId="160586987">
    <w:abstractNumId w:val="4"/>
    <w:lvlOverride w:ilvl="0">
      <w:lvl w:ilvl="0">
        <w:numFmt w:val="upperLetter"/>
        <w:lvlText w:val="%1."/>
        <w:lvlJc w:val="left"/>
      </w:lvl>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7E"/>
    <w:rsid w:val="001E1D7D"/>
    <w:rsid w:val="0096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FF691-543D-43E4-ADAD-0A600DA9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depark.municipalcodeonline.com/book?type=ordinances" TargetMode="External"/><Relationship Id="rId13" Type="http://schemas.openxmlformats.org/officeDocument/2006/relationships/hyperlink" Target="https://hydepark.municipalcodeonline.com/book?type=ordinances" TargetMode="External"/><Relationship Id="rId3" Type="http://schemas.openxmlformats.org/officeDocument/2006/relationships/settings" Target="settings.xml"/><Relationship Id="rId7" Type="http://schemas.openxmlformats.org/officeDocument/2006/relationships/hyperlink" Target="https://hydepark.municipalcodeonline.com/book?type=ordinances" TargetMode="External"/><Relationship Id="rId12" Type="http://schemas.openxmlformats.org/officeDocument/2006/relationships/hyperlink" Target="https://hydepark.municipalcodeonline.com/book?type=ordina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ydepark.municipalcodeonline.com/book?type=ordinances" TargetMode="External"/><Relationship Id="rId11" Type="http://schemas.openxmlformats.org/officeDocument/2006/relationships/hyperlink" Target="https://hydepark.municipalcodeonline.com/book?type=ordinances" TargetMode="External"/><Relationship Id="rId5" Type="http://schemas.openxmlformats.org/officeDocument/2006/relationships/hyperlink" Target="https://hydepark.municipalcodeonline.com/book?type=ordinances" TargetMode="External"/><Relationship Id="rId15" Type="http://schemas.openxmlformats.org/officeDocument/2006/relationships/theme" Target="theme/theme1.xml"/><Relationship Id="rId10" Type="http://schemas.openxmlformats.org/officeDocument/2006/relationships/hyperlink" Target="https://hydepark.municipalcodeonline.com/book?type=ordinances" TargetMode="External"/><Relationship Id="rId4" Type="http://schemas.openxmlformats.org/officeDocument/2006/relationships/webSettings" Target="webSettings.xml"/><Relationship Id="rId9" Type="http://schemas.openxmlformats.org/officeDocument/2006/relationships/hyperlink" Target="https://hydepark.municipalcodeonline.com/book?type=ordinan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2439</Words>
  <Characters>13905</Characters>
  <Application>Microsoft Office Word</Application>
  <DocSecurity>0</DocSecurity>
  <Lines>115</Lines>
  <Paragraphs>32</Paragraphs>
  <ScaleCrop>false</ScaleCrop>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Lee</dc:creator>
  <cp:keywords/>
  <dc:description/>
  <cp:lastModifiedBy>Melinda Lee</cp:lastModifiedBy>
  <cp:revision>1</cp:revision>
  <dcterms:created xsi:type="dcterms:W3CDTF">2023-02-28T17:11:00Z</dcterms:created>
  <dcterms:modified xsi:type="dcterms:W3CDTF">2023-02-28T17:12:00Z</dcterms:modified>
</cp:coreProperties>
</file>