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BE587" w14:textId="381E8E05" w:rsidR="004C5F35" w:rsidRPr="00FC6802" w:rsidRDefault="004C5F35" w:rsidP="00FC1AF2">
      <w:pPr>
        <w:pStyle w:val="Heading3"/>
        <w:jc w:val="both"/>
        <w:rPr>
          <w:rFonts w:ascii="Cambria" w:hAnsi="Cambria"/>
          <w:i w:val="0"/>
          <w:u w:val="single"/>
        </w:rPr>
      </w:pPr>
      <w:r w:rsidRPr="00FC6802">
        <w:rPr>
          <w:rFonts w:ascii="Cambria" w:hAnsi="Cambria"/>
          <w:i w:val="0"/>
          <w:u w:val="single"/>
        </w:rPr>
        <w:t>Purpose</w:t>
      </w:r>
    </w:p>
    <w:p w14:paraId="2EB14C67" w14:textId="35324BE1" w:rsidR="004C5F35" w:rsidRPr="00FC6802" w:rsidRDefault="004C5F35" w:rsidP="00FC6802">
      <w:pPr>
        <w:rPr>
          <w:rFonts w:ascii="Cambria" w:hAnsi="Cambria"/>
        </w:rPr>
      </w:pPr>
      <w:r w:rsidRPr="00FC6802">
        <w:rPr>
          <w:rFonts w:ascii="Cambria" w:hAnsi="Cambria"/>
        </w:rPr>
        <w:t>The purpose of this policy is to provide employees an orderly process for the prompt and equitable resolution of grievances.</w:t>
      </w:r>
      <w:r w:rsidR="003370F1" w:rsidRPr="00FC6802">
        <w:rPr>
          <w:rFonts w:ascii="Cambria" w:hAnsi="Cambria"/>
        </w:rPr>
        <w:t xml:space="preserve"> </w:t>
      </w:r>
      <w:r w:rsidRPr="00FC6802">
        <w:rPr>
          <w:rFonts w:ascii="Cambria" w:hAnsi="Cambria"/>
        </w:rPr>
        <w:t>The Board intends that, whenever feasible, complaints be resolved at the lowest possible administrative level.</w:t>
      </w:r>
    </w:p>
    <w:p w14:paraId="62CCD585" w14:textId="073B3368"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Redress of Grievances</w:t>
      </w:r>
    </w:p>
    <w:p w14:paraId="672841CE" w14:textId="77777777" w:rsidR="00811FDA" w:rsidRPr="00FC6802" w:rsidRDefault="00811FDA" w:rsidP="00FC6802">
      <w:pPr>
        <w:rPr>
          <w:rFonts w:ascii="Cambria" w:hAnsi="Cambria"/>
        </w:rPr>
      </w:pPr>
      <w:r w:rsidRPr="00FC6802">
        <w:rPr>
          <w:rFonts w:ascii="Cambria" w:hAnsi="Cambria"/>
        </w:rPr>
        <w:t xml:space="preserve">Employees shall have the right, in a peaceable manner that does not interfere with education in the </w:t>
      </w:r>
      <w:proofErr w:type="gramStart"/>
      <w:r w:rsidRPr="00FC6802">
        <w:rPr>
          <w:rFonts w:ascii="Cambria" w:hAnsi="Cambria"/>
        </w:rPr>
        <w:t>District</w:t>
      </w:r>
      <w:proofErr w:type="gramEnd"/>
      <w:r w:rsidRPr="00FC6802">
        <w:rPr>
          <w:rFonts w:ascii="Cambria" w:hAnsi="Cambria"/>
        </w:rPr>
        <w:t>, to assemble together for their common goals and apply to those vested with the powers of government for redress of grievances or other purposes, by petition, address, or remonstrance.</w:t>
      </w:r>
    </w:p>
    <w:p w14:paraId="0E716AA9" w14:textId="052FCB3E"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Evaluations</w:t>
      </w:r>
    </w:p>
    <w:p w14:paraId="30157B4F" w14:textId="4205B0A9" w:rsidR="00811FDA" w:rsidRPr="00FC6802" w:rsidRDefault="00811FDA" w:rsidP="00FC6802">
      <w:pPr>
        <w:spacing w:after="120"/>
        <w:rPr>
          <w:rFonts w:ascii="Cambria" w:hAnsi="Cambria"/>
        </w:rPr>
      </w:pPr>
      <w:r w:rsidRPr="00FC6802">
        <w:rPr>
          <w:rFonts w:ascii="Cambria" w:hAnsi="Cambria"/>
        </w:rPr>
        <w:t xml:space="preserve">Teachers may present grievances regarding the evaluation process </w:t>
      </w:r>
      <w:r w:rsidR="002C3E94" w:rsidRPr="00FC6802">
        <w:rPr>
          <w:rFonts w:ascii="Cambria" w:hAnsi="Cambria"/>
        </w:rPr>
        <w:t xml:space="preserve">according to the </w:t>
      </w:r>
      <w:proofErr w:type="gramStart"/>
      <w:r w:rsidR="002C3E94" w:rsidRPr="00FC6802">
        <w:rPr>
          <w:rFonts w:ascii="Cambria" w:hAnsi="Cambria"/>
        </w:rPr>
        <w:t>District’s</w:t>
      </w:r>
      <w:proofErr w:type="gramEnd"/>
      <w:r w:rsidR="002C3E94" w:rsidRPr="00FC6802">
        <w:rPr>
          <w:rFonts w:ascii="Cambria" w:hAnsi="Cambria"/>
        </w:rPr>
        <w:t xml:space="preserve"> evaluation processes or as set out in the statute regarding evaluations.</w:t>
      </w:r>
      <w:r w:rsidR="003370F1" w:rsidRPr="00FC6802">
        <w:rPr>
          <w:rFonts w:ascii="Cambria" w:hAnsi="Cambria"/>
        </w:rPr>
        <w:t xml:space="preserve"> </w:t>
      </w:r>
      <w:r w:rsidR="002C3E94" w:rsidRPr="00FC6802">
        <w:rPr>
          <w:rFonts w:ascii="Cambria" w:hAnsi="Cambria"/>
        </w:rPr>
        <w:t xml:space="preserve">Those policies and laws shall govern grievances regarding </w:t>
      </w:r>
      <w:r w:rsidR="00A733D6" w:rsidRPr="00FC6802">
        <w:rPr>
          <w:rFonts w:ascii="Cambria" w:hAnsi="Cambria"/>
        </w:rPr>
        <w:t xml:space="preserve">teacher </w:t>
      </w:r>
      <w:r w:rsidR="002C3E94" w:rsidRPr="00FC6802">
        <w:rPr>
          <w:rFonts w:ascii="Cambria" w:hAnsi="Cambria"/>
        </w:rPr>
        <w:t>evaluations rather than this policy</w:t>
      </w:r>
      <w:r w:rsidRPr="00FC6802">
        <w:rPr>
          <w:rFonts w:ascii="Cambria" w:hAnsi="Cambria"/>
        </w:rPr>
        <w:t>.</w:t>
      </w:r>
      <w:r w:rsidR="00A733D6" w:rsidRPr="00FC6802">
        <w:rPr>
          <w:rFonts w:ascii="Cambria" w:hAnsi="Cambria"/>
        </w:rPr>
        <w:t xml:space="preserve"> Classified employees may present grievances regarding evaluations under this policy.</w:t>
      </w:r>
    </w:p>
    <w:p w14:paraId="43285C17" w14:textId="599B7D35" w:rsidR="008532B6" w:rsidRPr="00FC6802" w:rsidRDefault="00000000" w:rsidP="005E252A">
      <w:pPr>
        <w:pStyle w:val="BodyTextIndent3"/>
      </w:pPr>
      <w:hyperlink r:id="rId7" w:history="1">
        <w:r w:rsidR="0007195B" w:rsidRPr="00FC6802">
          <w:rPr>
            <w:rStyle w:val="Hyperlink"/>
          </w:rPr>
          <w:t>Utah Code § 53G-11-507 (201</w:t>
        </w:r>
        <w:r w:rsidR="00053BE7" w:rsidRPr="00FC6802">
          <w:rPr>
            <w:rStyle w:val="Hyperlink"/>
          </w:rPr>
          <w:t>9</w:t>
        </w:r>
        <w:r w:rsidR="0007195B" w:rsidRPr="00FC6802">
          <w:rPr>
            <w:rStyle w:val="Hyperlink"/>
          </w:rPr>
          <w:t>)</w:t>
        </w:r>
      </w:hyperlink>
    </w:p>
    <w:p w14:paraId="7E61C8C0" w14:textId="13CC0251" w:rsidR="00811FDA" w:rsidRPr="00C87B1B" w:rsidRDefault="00000000" w:rsidP="005E252A">
      <w:pPr>
        <w:pStyle w:val="BodyTextIndent3"/>
        <w:rPr>
          <w:color w:val="0070C0"/>
        </w:rPr>
      </w:pPr>
      <w:hyperlink r:id="rId8" w:history="1">
        <w:r w:rsidR="0007195B" w:rsidRPr="00FC6802">
          <w:rPr>
            <w:rStyle w:val="Hyperlink"/>
          </w:rPr>
          <w:t xml:space="preserve">Utah Code </w:t>
        </w:r>
        <w:r w:rsidR="0007195B" w:rsidRPr="00FC6802">
          <w:rPr>
            <w:rStyle w:val="Hyperlink"/>
            <w:rFonts w:cs="Arial"/>
          </w:rPr>
          <w:t>§</w:t>
        </w:r>
        <w:r w:rsidR="0007195B" w:rsidRPr="00FC6802">
          <w:rPr>
            <w:rStyle w:val="Hyperlink"/>
          </w:rPr>
          <w:t xml:space="preserve"> 53G-11-508 (20</w:t>
        </w:r>
        <w:r w:rsidR="003C34B5">
          <w:rPr>
            <w:rStyle w:val="Hyperlink"/>
          </w:rPr>
          <w:t>20)</w:t>
        </w:r>
      </w:hyperlink>
    </w:p>
    <w:p w14:paraId="085F6B42" w14:textId="1594AE51"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Right to Representation</w:t>
      </w:r>
    </w:p>
    <w:p w14:paraId="4FA2800B" w14:textId="77777777" w:rsidR="00811FDA" w:rsidRPr="00FC6802" w:rsidRDefault="00811FDA" w:rsidP="00FC6802">
      <w:pPr>
        <w:rPr>
          <w:rFonts w:ascii="Cambria" w:hAnsi="Cambria"/>
        </w:rPr>
      </w:pPr>
      <w:r w:rsidRPr="00FC6802">
        <w:rPr>
          <w:rFonts w:ascii="Cambria" w:hAnsi="Cambria"/>
        </w:rPr>
        <w:t xml:space="preserve">An </w:t>
      </w:r>
      <w:r w:rsidR="001624F1" w:rsidRPr="00FC6802">
        <w:rPr>
          <w:rFonts w:ascii="Cambria" w:hAnsi="Cambria"/>
        </w:rPr>
        <w:t>employee,</w:t>
      </w:r>
      <w:r w:rsidRPr="00FC6802">
        <w:rPr>
          <w:rFonts w:ascii="Cambria" w:hAnsi="Cambria"/>
        </w:rPr>
        <w:t xml:space="preserve"> or </w:t>
      </w:r>
      <w:r w:rsidR="001624F1" w:rsidRPr="00FC6802">
        <w:rPr>
          <w:rFonts w:ascii="Cambria" w:hAnsi="Cambria"/>
        </w:rPr>
        <w:t xml:space="preserve">where appropriate </w:t>
      </w:r>
      <w:r w:rsidRPr="00FC6802">
        <w:rPr>
          <w:rFonts w:ascii="Cambria" w:hAnsi="Cambria"/>
        </w:rPr>
        <w:t>a group of employees</w:t>
      </w:r>
      <w:r w:rsidR="001624F1" w:rsidRPr="00FC6802">
        <w:rPr>
          <w:rFonts w:ascii="Cambria" w:hAnsi="Cambria"/>
        </w:rPr>
        <w:t>,</w:t>
      </w:r>
      <w:r w:rsidRPr="00FC6802">
        <w:rPr>
          <w:rFonts w:ascii="Cambria" w:hAnsi="Cambria"/>
        </w:rPr>
        <w:t xml:space="preserve"> may present a grievance through another person or organization recognized by the Board regarding any adverse employment action or administrative action decision negatively affecting the employee.</w:t>
      </w:r>
    </w:p>
    <w:p w14:paraId="28170143" w14:textId="03F01406"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Freedom from Retaliation</w:t>
      </w:r>
    </w:p>
    <w:p w14:paraId="159823F6" w14:textId="77777777" w:rsidR="00811FDA" w:rsidRPr="00FC6802" w:rsidRDefault="00811FDA" w:rsidP="00FC6802">
      <w:pPr>
        <w:rPr>
          <w:rFonts w:ascii="Cambria" w:hAnsi="Cambria"/>
        </w:rPr>
      </w:pPr>
      <w:r w:rsidRPr="00FC6802">
        <w:rPr>
          <w:rFonts w:ascii="Cambria" w:hAnsi="Cambria"/>
        </w:rPr>
        <w:t>No retaliatory action shall be taken by the Board or any administrator against an employee or other participant in a grievance proceeding because of participation in the grievance procedure.</w:t>
      </w:r>
    </w:p>
    <w:p w14:paraId="08A845D3" w14:textId="2C3CDF4E"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Presentation</w:t>
      </w:r>
    </w:p>
    <w:p w14:paraId="3A8B5EA2" w14:textId="77777777" w:rsidR="00811FDA" w:rsidRPr="00FC6802" w:rsidRDefault="00811FDA" w:rsidP="00FC6802">
      <w:pPr>
        <w:rPr>
          <w:rFonts w:ascii="Cambria" w:hAnsi="Cambria"/>
        </w:rPr>
      </w:pPr>
      <w:r w:rsidRPr="00FC6802">
        <w:rPr>
          <w:rFonts w:ascii="Cambria" w:hAnsi="Cambria"/>
        </w:rPr>
        <w:t>An employee’s legal right to present a grievance is satisfied at each level when someone in a position of authority hears the employee’s concern; however, that authority is under no legal compulsion to take action to rectify the matter.</w:t>
      </w:r>
    </w:p>
    <w:p w14:paraId="0FBA426C" w14:textId="364F84DC"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Board’s Role</w:t>
      </w:r>
    </w:p>
    <w:p w14:paraId="7792ED57" w14:textId="6676C125" w:rsidR="00811FDA" w:rsidRPr="00FC6802" w:rsidRDefault="00811FDA" w:rsidP="00FC6802">
      <w:pPr>
        <w:rPr>
          <w:rFonts w:ascii="Cambria" w:hAnsi="Cambria"/>
        </w:rPr>
      </w:pPr>
      <w:r w:rsidRPr="00FC6802">
        <w:rPr>
          <w:rFonts w:ascii="Cambria" w:hAnsi="Cambria"/>
        </w:rPr>
        <w:t>The Board shall provide an opportunity for employees to present their grievances for Board consideration</w:t>
      </w:r>
      <w:r w:rsidR="00461E9E" w:rsidRPr="00FC6802">
        <w:rPr>
          <w:rFonts w:ascii="Cambria" w:hAnsi="Cambria"/>
        </w:rPr>
        <w:t>.</w:t>
      </w:r>
      <w:r w:rsidR="003370F1" w:rsidRPr="00FC6802">
        <w:rPr>
          <w:rFonts w:ascii="Cambria" w:hAnsi="Cambria"/>
        </w:rPr>
        <w:t xml:space="preserve"> </w:t>
      </w:r>
      <w:r w:rsidRPr="00FC6802">
        <w:rPr>
          <w:rFonts w:ascii="Cambria" w:hAnsi="Cambria"/>
        </w:rPr>
        <w:t xml:space="preserve">At the option of the Board grievances may be reviewed solely at the administrative level by a school </w:t>
      </w:r>
      <w:r w:rsidR="00461E9E" w:rsidRPr="00FC6802">
        <w:rPr>
          <w:rFonts w:ascii="Cambria" w:hAnsi="Cambria"/>
        </w:rPr>
        <w:t>principal</w:t>
      </w:r>
      <w:r w:rsidRPr="00FC6802">
        <w:rPr>
          <w:rFonts w:ascii="Cambria" w:hAnsi="Cambria"/>
        </w:rPr>
        <w:t xml:space="preserve"> or the Board may exercise its discretion to hear a grievance at a regular meeting in executive session or at such other times as the Board may determine.</w:t>
      </w:r>
    </w:p>
    <w:p w14:paraId="5AA82714" w14:textId="77777777"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Notice to Employees</w:t>
      </w:r>
    </w:p>
    <w:p w14:paraId="7FF0097F" w14:textId="77777777" w:rsidR="00811FDA" w:rsidRPr="00FC6802" w:rsidRDefault="00811FDA" w:rsidP="00FC6802">
      <w:pPr>
        <w:rPr>
          <w:rFonts w:ascii="Cambria" w:hAnsi="Cambria"/>
        </w:rPr>
      </w:pPr>
      <w:r w:rsidRPr="00FC6802">
        <w:rPr>
          <w:rFonts w:ascii="Cambria" w:hAnsi="Cambria"/>
        </w:rPr>
        <w:t xml:space="preserve">Principals of each school shall be responsible for informing all employees under their supervision of the </w:t>
      </w:r>
      <w:proofErr w:type="gramStart"/>
      <w:r w:rsidRPr="00FC6802">
        <w:rPr>
          <w:rFonts w:ascii="Cambria" w:hAnsi="Cambria"/>
        </w:rPr>
        <w:t>District’s</w:t>
      </w:r>
      <w:proofErr w:type="gramEnd"/>
      <w:r w:rsidRPr="00FC6802">
        <w:rPr>
          <w:rFonts w:ascii="Cambria" w:hAnsi="Cambria"/>
        </w:rPr>
        <w:t xml:space="preserve"> employee grievances policy. </w:t>
      </w:r>
    </w:p>
    <w:p w14:paraId="36A9482B" w14:textId="23A8B760" w:rsidR="00811FDA" w:rsidRPr="00FC6802" w:rsidRDefault="0019706E" w:rsidP="003370F1">
      <w:pPr>
        <w:pStyle w:val="Heading3"/>
        <w:spacing w:before="120" w:after="120"/>
        <w:jc w:val="both"/>
        <w:rPr>
          <w:rFonts w:ascii="Cambria" w:hAnsi="Cambria"/>
          <w:i w:val="0"/>
          <w:u w:val="single"/>
        </w:rPr>
      </w:pPr>
      <w:r w:rsidRPr="00FC6802">
        <w:rPr>
          <w:rFonts w:ascii="Cambria" w:hAnsi="Cambria"/>
          <w:i w:val="0"/>
          <w:u w:val="single"/>
        </w:rPr>
        <w:lastRenderedPageBreak/>
        <w:t>Definitions</w:t>
      </w:r>
    </w:p>
    <w:p w14:paraId="17427D5A" w14:textId="77777777" w:rsidR="00811FDA" w:rsidRPr="00FC6802" w:rsidRDefault="00811FDA" w:rsidP="00015EFF">
      <w:pPr>
        <w:pStyle w:val="Heading3"/>
        <w:numPr>
          <w:ilvl w:val="0"/>
          <w:numId w:val="20"/>
        </w:numPr>
        <w:spacing w:before="120" w:after="120"/>
        <w:jc w:val="both"/>
        <w:rPr>
          <w:rFonts w:ascii="Cambria" w:hAnsi="Cambria"/>
          <w:b w:val="0"/>
          <w:i w:val="0"/>
        </w:rPr>
      </w:pPr>
      <w:r w:rsidRPr="00FC6802">
        <w:rPr>
          <w:rFonts w:ascii="Cambria" w:hAnsi="Cambria"/>
          <w:b w:val="0"/>
          <w:i w:val="0"/>
        </w:rPr>
        <w:t>Complaint</w:t>
      </w:r>
    </w:p>
    <w:p w14:paraId="6CCFB677" w14:textId="77777777" w:rsidR="000D3F6D" w:rsidRPr="00FC6802" w:rsidRDefault="000D3F6D" w:rsidP="00015EFF">
      <w:pPr>
        <w:numPr>
          <w:ilvl w:val="1"/>
          <w:numId w:val="20"/>
        </w:numPr>
        <w:ind w:left="1080"/>
        <w:rPr>
          <w:rFonts w:ascii="Cambria" w:hAnsi="Cambria"/>
        </w:rPr>
      </w:pPr>
      <w:r w:rsidRPr="00FC6802">
        <w:rPr>
          <w:rFonts w:ascii="Cambria" w:hAnsi="Cambria"/>
        </w:rPr>
        <w:t>A complaint must specify the individual harm suffered.</w:t>
      </w:r>
    </w:p>
    <w:p w14:paraId="7797EC16" w14:textId="77777777" w:rsidR="00811FDA" w:rsidRPr="00FC6802" w:rsidRDefault="00811FDA" w:rsidP="00015EFF">
      <w:pPr>
        <w:pStyle w:val="Heading3"/>
        <w:numPr>
          <w:ilvl w:val="0"/>
          <w:numId w:val="20"/>
        </w:numPr>
        <w:spacing w:before="120" w:after="120"/>
        <w:rPr>
          <w:rFonts w:ascii="Cambria" w:hAnsi="Cambria"/>
          <w:b w:val="0"/>
          <w:i w:val="0"/>
        </w:rPr>
      </w:pPr>
      <w:r w:rsidRPr="00FC6802">
        <w:rPr>
          <w:rFonts w:ascii="Cambria" w:hAnsi="Cambria"/>
          <w:b w:val="0"/>
          <w:i w:val="0"/>
        </w:rPr>
        <w:t>A grievance under this policy shall include:</w:t>
      </w:r>
    </w:p>
    <w:p w14:paraId="1A4907BF" w14:textId="77777777" w:rsidR="00811FDA" w:rsidRPr="00FC6802" w:rsidRDefault="00811FDA" w:rsidP="00015EFF">
      <w:pPr>
        <w:numPr>
          <w:ilvl w:val="1"/>
          <w:numId w:val="20"/>
        </w:numPr>
        <w:ind w:left="1080"/>
        <w:rPr>
          <w:rFonts w:ascii="Cambria" w:hAnsi="Cambria"/>
        </w:rPr>
      </w:pPr>
      <w:r w:rsidRPr="00FC6802">
        <w:rPr>
          <w:rFonts w:ascii="Cambria" w:hAnsi="Cambria"/>
        </w:rPr>
        <w:t>Grievances concerning an employee’s wages, hours, or conditions of work or other adverse employment action decisions affecting an employee.</w:t>
      </w:r>
    </w:p>
    <w:p w14:paraId="7EBAF8AF" w14:textId="05000199" w:rsidR="00811FDA" w:rsidRPr="00FC6802" w:rsidRDefault="00811FDA" w:rsidP="00015EFF">
      <w:pPr>
        <w:numPr>
          <w:ilvl w:val="1"/>
          <w:numId w:val="20"/>
        </w:numPr>
        <w:ind w:left="1080"/>
        <w:rPr>
          <w:rFonts w:ascii="Cambria" w:hAnsi="Cambria"/>
        </w:rPr>
      </w:pPr>
      <w:r w:rsidRPr="00FC6802">
        <w:rPr>
          <w:rFonts w:ascii="Cambria" w:hAnsi="Cambria"/>
        </w:rPr>
        <w:t xml:space="preserve">Specific allegations of unlawful discrimination in employment </w:t>
      </w:r>
      <w:r w:rsidR="00C87B1B" w:rsidRPr="003C34B5">
        <w:rPr>
          <w:rFonts w:ascii="Cambria" w:hAnsi="Cambria"/>
          <w:color w:val="000000" w:themeColor="text1"/>
        </w:rPr>
        <w:t xml:space="preserve">or education programs </w:t>
      </w:r>
      <w:r w:rsidRPr="00FC6802">
        <w:rPr>
          <w:rFonts w:ascii="Cambria" w:hAnsi="Cambria"/>
        </w:rPr>
        <w:t>on the basis of sex (</w:t>
      </w:r>
      <w:r w:rsidR="00C87B1B" w:rsidRPr="003C34B5">
        <w:rPr>
          <w:rFonts w:ascii="Cambria" w:hAnsi="Cambria"/>
          <w:color w:val="000000" w:themeColor="text1"/>
        </w:rPr>
        <w:t xml:space="preserve">but not </w:t>
      </w:r>
      <w:r w:rsidRPr="00FC6802">
        <w:rPr>
          <w:rFonts w:ascii="Cambria" w:hAnsi="Cambria"/>
        </w:rPr>
        <w:t xml:space="preserve">including allegations of sexual harassment), race, religion, national </w:t>
      </w:r>
      <w:r w:rsidR="00461E9E" w:rsidRPr="00FC6802">
        <w:rPr>
          <w:rFonts w:ascii="Cambria" w:hAnsi="Cambria"/>
        </w:rPr>
        <w:t xml:space="preserve">origin, age, </w:t>
      </w:r>
      <w:r w:rsidR="008532B6" w:rsidRPr="00FC6802">
        <w:rPr>
          <w:rFonts w:ascii="Cambria" w:hAnsi="Cambria"/>
        </w:rPr>
        <w:t>disability, sexual orientation, or gender identity</w:t>
      </w:r>
      <w:r w:rsidR="00461E9E" w:rsidRPr="00FC6802">
        <w:rPr>
          <w:rFonts w:ascii="Cambria" w:hAnsi="Cambria"/>
        </w:rPr>
        <w:t xml:space="preserve"> or on t</w:t>
      </w:r>
      <w:r w:rsidR="000D3F6D" w:rsidRPr="00FC6802">
        <w:rPr>
          <w:rFonts w:ascii="Cambria" w:hAnsi="Cambria"/>
        </w:rPr>
        <w:t>he</w:t>
      </w:r>
      <w:r w:rsidRPr="00FC6802">
        <w:rPr>
          <w:rFonts w:ascii="Cambria" w:hAnsi="Cambria"/>
        </w:rPr>
        <w:t xml:space="preserve"> basis of the employee’s exercise of constitutional rights.</w:t>
      </w:r>
    </w:p>
    <w:p w14:paraId="65E34AA8" w14:textId="77777777" w:rsidR="00811FDA" w:rsidRPr="00FC6802" w:rsidRDefault="00811FDA" w:rsidP="00015EFF">
      <w:pPr>
        <w:numPr>
          <w:ilvl w:val="1"/>
          <w:numId w:val="20"/>
        </w:numPr>
        <w:ind w:left="1080"/>
        <w:rPr>
          <w:rFonts w:ascii="Cambria" w:hAnsi="Cambria"/>
        </w:rPr>
      </w:pPr>
      <w:r w:rsidRPr="00FC6802">
        <w:rPr>
          <w:rFonts w:ascii="Cambria" w:hAnsi="Cambria"/>
        </w:rPr>
        <w:t>Alleged violations of State Board rules or of policies adopted by the Board.</w:t>
      </w:r>
    </w:p>
    <w:p w14:paraId="5BB3FD40" w14:textId="77777777" w:rsidR="00811FDA" w:rsidRPr="00FC6802" w:rsidRDefault="00811FDA" w:rsidP="00015EFF">
      <w:pPr>
        <w:numPr>
          <w:ilvl w:val="1"/>
          <w:numId w:val="20"/>
        </w:numPr>
        <w:ind w:left="1080"/>
        <w:rPr>
          <w:rFonts w:ascii="Cambria" w:hAnsi="Cambria"/>
        </w:rPr>
      </w:pPr>
      <w:r w:rsidRPr="00FC6802">
        <w:rPr>
          <w:rFonts w:ascii="Cambria" w:hAnsi="Cambria"/>
        </w:rPr>
        <w:t>Alleged violations of a constitutional, statutory, or common law right.</w:t>
      </w:r>
    </w:p>
    <w:p w14:paraId="23076182" w14:textId="77777777" w:rsidR="002C7533" w:rsidRPr="00FC6802" w:rsidRDefault="00811FDA" w:rsidP="00015EFF">
      <w:pPr>
        <w:pStyle w:val="Heading3"/>
        <w:numPr>
          <w:ilvl w:val="0"/>
          <w:numId w:val="20"/>
        </w:numPr>
        <w:spacing w:before="120" w:after="120"/>
        <w:jc w:val="both"/>
        <w:rPr>
          <w:rFonts w:ascii="Cambria" w:hAnsi="Cambria"/>
          <w:b w:val="0"/>
          <w:i w:val="0"/>
        </w:rPr>
      </w:pPr>
      <w:r w:rsidRPr="00FC6802">
        <w:rPr>
          <w:rFonts w:ascii="Cambria" w:hAnsi="Cambria"/>
          <w:b w:val="0"/>
          <w:i w:val="0"/>
        </w:rPr>
        <w:t>Aggrieved Party</w:t>
      </w:r>
      <w:r w:rsidR="002C7533" w:rsidRPr="00FC6802">
        <w:rPr>
          <w:rFonts w:ascii="Cambria" w:hAnsi="Cambria"/>
          <w:b w:val="0"/>
          <w:i w:val="0"/>
        </w:rPr>
        <w:t xml:space="preserve"> </w:t>
      </w:r>
    </w:p>
    <w:p w14:paraId="6D348939" w14:textId="7F0F2915" w:rsidR="00811FDA" w:rsidRPr="00FC6802" w:rsidRDefault="00811FDA" w:rsidP="00015EFF">
      <w:pPr>
        <w:pStyle w:val="Heading3"/>
        <w:numPr>
          <w:ilvl w:val="1"/>
          <w:numId w:val="20"/>
        </w:numPr>
        <w:ind w:left="1080"/>
        <w:rPr>
          <w:rFonts w:ascii="Cambria" w:hAnsi="Cambria"/>
          <w:b w:val="0"/>
          <w:i w:val="0"/>
        </w:rPr>
      </w:pPr>
      <w:r w:rsidRPr="00FC6802">
        <w:rPr>
          <w:rFonts w:ascii="Cambria" w:hAnsi="Cambria"/>
          <w:b w:val="0"/>
          <w:i w:val="0"/>
        </w:rPr>
        <w:t>An aggrieved party is an employee who alleges a violation of a constitutional, statutory, or common law right, or of a State Board rule or local Board policy</w:t>
      </w:r>
      <w:r w:rsidR="000D3F6D" w:rsidRPr="00FC6802">
        <w:rPr>
          <w:rFonts w:ascii="Cambria" w:hAnsi="Cambria"/>
          <w:b w:val="0"/>
          <w:i w:val="0"/>
        </w:rPr>
        <w:t>.</w:t>
      </w:r>
      <w:r w:rsidR="003370F1" w:rsidRPr="00FC6802">
        <w:rPr>
          <w:rFonts w:ascii="Cambria" w:hAnsi="Cambria"/>
          <w:b w:val="0"/>
          <w:i w:val="0"/>
        </w:rPr>
        <w:t xml:space="preserve"> </w:t>
      </w:r>
      <w:r w:rsidRPr="00FC6802">
        <w:rPr>
          <w:rFonts w:ascii="Cambria" w:hAnsi="Cambria"/>
          <w:b w:val="0"/>
          <w:i w:val="0"/>
        </w:rPr>
        <w:t>An employee who files a grievance is not necessarily an “aggrieved party</w:t>
      </w:r>
      <w:r w:rsidR="000D3F6D" w:rsidRPr="00FC6802">
        <w:rPr>
          <w:rFonts w:ascii="Cambria" w:hAnsi="Cambria"/>
          <w:b w:val="0"/>
          <w:i w:val="0"/>
        </w:rPr>
        <w:t>”.</w:t>
      </w:r>
      <w:r w:rsidR="003370F1" w:rsidRPr="00FC6802">
        <w:rPr>
          <w:rFonts w:ascii="Cambria" w:hAnsi="Cambria"/>
          <w:b w:val="0"/>
          <w:i w:val="0"/>
        </w:rPr>
        <w:t xml:space="preserve"> </w:t>
      </w:r>
      <w:r w:rsidRPr="00FC6802">
        <w:rPr>
          <w:rFonts w:ascii="Cambria" w:hAnsi="Cambria"/>
          <w:b w:val="0"/>
          <w:i w:val="0"/>
        </w:rPr>
        <w:t>Different procedures may apply to “aggrieved parties” than to “complainants</w:t>
      </w:r>
      <w:r w:rsidR="000D3F6D" w:rsidRPr="00FC6802">
        <w:rPr>
          <w:rFonts w:ascii="Cambria" w:hAnsi="Cambria"/>
          <w:b w:val="0"/>
          <w:i w:val="0"/>
        </w:rPr>
        <w:t>”.</w:t>
      </w:r>
      <w:r w:rsidR="003370F1" w:rsidRPr="00FC6802">
        <w:rPr>
          <w:rFonts w:ascii="Cambria" w:hAnsi="Cambria"/>
          <w:b w:val="0"/>
          <w:i w:val="0"/>
        </w:rPr>
        <w:t xml:space="preserve"> </w:t>
      </w:r>
      <w:r w:rsidRPr="00FC6802">
        <w:rPr>
          <w:rFonts w:ascii="Cambria" w:hAnsi="Cambria"/>
          <w:b w:val="0"/>
          <w:i w:val="0"/>
        </w:rPr>
        <w:t>Those distinctions shall be determined on a case-by-case basis.</w:t>
      </w:r>
    </w:p>
    <w:p w14:paraId="1381371C" w14:textId="1A8FB458"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Presentations and Hearings</w:t>
      </w:r>
    </w:p>
    <w:p w14:paraId="5F2BFA1F" w14:textId="790F2335" w:rsidR="00811FDA" w:rsidRPr="00FC6802" w:rsidRDefault="00811FDA" w:rsidP="00FC6802">
      <w:pPr>
        <w:rPr>
          <w:rFonts w:ascii="Cambria" w:hAnsi="Cambria"/>
        </w:rPr>
      </w:pPr>
      <w:r w:rsidRPr="00FC6802">
        <w:rPr>
          <w:rFonts w:ascii="Cambria" w:hAnsi="Cambria"/>
        </w:rPr>
        <w:t>In most circumstances, complainants shall be entitled to administrative review conferences and an informal presentation of the complaint to the Board at the Board’s discretion; however, this provision shall not be construed to create an independent right to a hearing before the Board in addition to hearings required by law</w:t>
      </w:r>
      <w:r w:rsidR="00AD2A67" w:rsidRPr="00FC6802">
        <w:rPr>
          <w:rFonts w:ascii="Cambria" w:hAnsi="Cambria"/>
        </w:rPr>
        <w:t>.</w:t>
      </w:r>
      <w:r w:rsidR="003370F1" w:rsidRPr="00FC6802">
        <w:rPr>
          <w:rFonts w:ascii="Cambria" w:hAnsi="Cambria"/>
        </w:rPr>
        <w:t xml:space="preserve"> </w:t>
      </w:r>
      <w:r w:rsidRPr="00FC6802">
        <w:rPr>
          <w:rFonts w:ascii="Cambria" w:hAnsi="Cambria"/>
        </w:rPr>
        <w:t>Aggrieved parties whose legal rights have been adversely affected such that they are entitled to some type of due process hearing shall be offered a hearing before the Board or its designee</w:t>
      </w:r>
      <w:r w:rsidR="000D3F6D" w:rsidRPr="00FC6802">
        <w:rPr>
          <w:rFonts w:ascii="Cambria" w:hAnsi="Cambria"/>
        </w:rPr>
        <w:t>.</w:t>
      </w:r>
      <w:r w:rsidR="003370F1" w:rsidRPr="00FC6802">
        <w:rPr>
          <w:rFonts w:ascii="Cambria" w:hAnsi="Cambria"/>
        </w:rPr>
        <w:t xml:space="preserve"> </w:t>
      </w:r>
      <w:r w:rsidRPr="00FC6802">
        <w:rPr>
          <w:rFonts w:ascii="Cambria" w:hAnsi="Cambria"/>
        </w:rPr>
        <w:t>Upon receipt of the written request for a hearing, the Superintendent shall determine whether an aggrieved party is legally entitled to more than a presentation and, if so, the type of hearing appropriate.</w:t>
      </w:r>
    </w:p>
    <w:p w14:paraId="35276602" w14:textId="16065EFA"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Aggrieved Party</w:t>
      </w:r>
    </w:p>
    <w:p w14:paraId="43812009" w14:textId="605F6E88" w:rsidR="00811FDA" w:rsidRPr="00FC6802" w:rsidRDefault="00811FDA" w:rsidP="00FC6802">
      <w:pPr>
        <w:rPr>
          <w:rFonts w:ascii="Cambria" w:hAnsi="Cambria"/>
        </w:rPr>
      </w:pPr>
      <w:r w:rsidRPr="00FC6802">
        <w:rPr>
          <w:rFonts w:ascii="Cambria" w:hAnsi="Cambria"/>
        </w:rPr>
        <w:t>An employee aggrieved by a violation of a constitutional, statutory, or common law right, a rule adopted by the State Board of Education, or a policy adopted by the Board shall be afforded a hearing before the Board in accordance with applicable law</w:t>
      </w:r>
      <w:r w:rsidR="00AD2A67" w:rsidRPr="00FC6802">
        <w:rPr>
          <w:rFonts w:ascii="Cambria" w:hAnsi="Cambria"/>
        </w:rPr>
        <w:t>.</w:t>
      </w:r>
      <w:r w:rsidR="003370F1" w:rsidRPr="00FC6802">
        <w:rPr>
          <w:rFonts w:ascii="Cambria" w:hAnsi="Cambria"/>
        </w:rPr>
        <w:t xml:space="preserve"> </w:t>
      </w:r>
      <w:r w:rsidRPr="00FC6802">
        <w:rPr>
          <w:rFonts w:ascii="Cambria" w:hAnsi="Cambria"/>
        </w:rPr>
        <w:t>However, this provision shall not be construed to create an independent right to a hearing before the Board in addition to any hearing required by law.</w:t>
      </w:r>
    </w:p>
    <w:p w14:paraId="4BB6D3C8" w14:textId="0D76497B"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Request</w:t>
      </w:r>
    </w:p>
    <w:p w14:paraId="3FE789AE" w14:textId="707E3069" w:rsidR="00811FDA" w:rsidRPr="00FC6802" w:rsidRDefault="00811FDA" w:rsidP="00FC6802">
      <w:pPr>
        <w:rPr>
          <w:rFonts w:ascii="Cambria" w:hAnsi="Cambria"/>
        </w:rPr>
      </w:pPr>
      <w:r w:rsidRPr="00FC6802">
        <w:rPr>
          <w:rFonts w:ascii="Cambria" w:hAnsi="Cambria"/>
        </w:rPr>
        <w:t>The aggrieved employee shall make a written request for a hearing, identifying specifically the claimed violation and the relief requested</w:t>
      </w:r>
      <w:r w:rsidR="00AD2A67" w:rsidRPr="00FC6802">
        <w:rPr>
          <w:rFonts w:ascii="Cambria" w:hAnsi="Cambria"/>
        </w:rPr>
        <w:t>.</w:t>
      </w:r>
      <w:r w:rsidR="003370F1" w:rsidRPr="00FC6802">
        <w:rPr>
          <w:rFonts w:ascii="Cambria" w:hAnsi="Cambria"/>
        </w:rPr>
        <w:t xml:space="preserve"> </w:t>
      </w:r>
      <w:r w:rsidRPr="00FC6802">
        <w:rPr>
          <w:rFonts w:ascii="Cambria" w:hAnsi="Cambria"/>
        </w:rPr>
        <w:t xml:space="preserve">The written request shall be </w:t>
      </w:r>
      <w:r w:rsidRPr="00FC6802">
        <w:rPr>
          <w:rFonts w:ascii="Cambria" w:hAnsi="Cambria"/>
        </w:rPr>
        <w:lastRenderedPageBreak/>
        <w:t>deemed filed upon receipt by the Superintendent’s office</w:t>
      </w:r>
      <w:r w:rsidR="00AD2A67" w:rsidRPr="00FC6802">
        <w:rPr>
          <w:rFonts w:ascii="Cambria" w:hAnsi="Cambria"/>
        </w:rPr>
        <w:t>.</w:t>
      </w:r>
      <w:r w:rsidR="003370F1" w:rsidRPr="00FC6802">
        <w:rPr>
          <w:rFonts w:ascii="Cambria" w:hAnsi="Cambria"/>
        </w:rPr>
        <w:t xml:space="preserve"> </w:t>
      </w:r>
      <w:r w:rsidRPr="00FC6802">
        <w:rPr>
          <w:rFonts w:ascii="Cambria" w:hAnsi="Cambria"/>
        </w:rPr>
        <w:t>The request shall be filed with the Superintendent’s office not more than 15 days after the claimed violation.</w:t>
      </w:r>
    </w:p>
    <w:p w14:paraId="3099B2E0" w14:textId="0DEDB10E"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Hearing</w:t>
      </w:r>
    </w:p>
    <w:p w14:paraId="13700CFA" w14:textId="775AFE8B" w:rsidR="00811FDA" w:rsidRPr="00FC6802" w:rsidRDefault="00811FDA" w:rsidP="00FC6802">
      <w:pPr>
        <w:rPr>
          <w:rFonts w:ascii="Cambria" w:hAnsi="Cambria"/>
        </w:rPr>
      </w:pPr>
      <w:r w:rsidRPr="00FC6802">
        <w:rPr>
          <w:rFonts w:ascii="Cambria" w:hAnsi="Cambria"/>
        </w:rPr>
        <w:t>The school principal or designee shall conduct a hearing within 30 days of receipt of a written request</w:t>
      </w:r>
      <w:r w:rsidR="00AD2A67" w:rsidRPr="00FC6802">
        <w:rPr>
          <w:rFonts w:ascii="Cambria" w:hAnsi="Cambria"/>
        </w:rPr>
        <w:t>.</w:t>
      </w:r>
      <w:r w:rsidR="003370F1" w:rsidRPr="00FC6802">
        <w:rPr>
          <w:rFonts w:ascii="Cambria" w:hAnsi="Cambria"/>
        </w:rPr>
        <w:t xml:space="preserve"> </w:t>
      </w:r>
      <w:r w:rsidRPr="00FC6802">
        <w:rPr>
          <w:rFonts w:ascii="Cambria" w:hAnsi="Cambria"/>
        </w:rPr>
        <w:t>However, the hearing may be postponed by mutual consent</w:t>
      </w:r>
      <w:r w:rsidR="00AD2A67" w:rsidRPr="00FC6802">
        <w:rPr>
          <w:rFonts w:ascii="Cambria" w:hAnsi="Cambria"/>
        </w:rPr>
        <w:t>.</w:t>
      </w:r>
      <w:r w:rsidR="003370F1" w:rsidRPr="00FC6802">
        <w:rPr>
          <w:rFonts w:ascii="Cambria" w:hAnsi="Cambria"/>
        </w:rPr>
        <w:t xml:space="preserve"> </w:t>
      </w:r>
      <w:r w:rsidRPr="00FC6802">
        <w:rPr>
          <w:rFonts w:ascii="Cambria" w:hAnsi="Cambria"/>
        </w:rPr>
        <w:t>The principal or designee shall notify the aggrieved employee in writing of the time and place of the hearing</w:t>
      </w:r>
      <w:r w:rsidR="00AD2A67" w:rsidRPr="00FC6802">
        <w:rPr>
          <w:rFonts w:ascii="Cambria" w:hAnsi="Cambria"/>
        </w:rPr>
        <w:t>.</w:t>
      </w:r>
      <w:r w:rsidR="003370F1" w:rsidRPr="00FC6802">
        <w:rPr>
          <w:rFonts w:ascii="Cambria" w:hAnsi="Cambria"/>
        </w:rPr>
        <w:t xml:space="preserve"> </w:t>
      </w:r>
      <w:r w:rsidRPr="00FC6802">
        <w:rPr>
          <w:rFonts w:ascii="Cambria" w:hAnsi="Cambria"/>
        </w:rPr>
        <w:t>The Board shall notify the aggrieved employee of its decision in writing within 15 days after the hearing.</w:t>
      </w:r>
    </w:p>
    <w:p w14:paraId="4CAE7EE1" w14:textId="77777777"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Other Review Processes</w:t>
      </w:r>
    </w:p>
    <w:p w14:paraId="5D465015" w14:textId="76008AF6" w:rsidR="00811FDA" w:rsidRPr="003C34B5" w:rsidRDefault="00811FDA" w:rsidP="00C87B1B">
      <w:pPr>
        <w:ind w:firstLine="720"/>
        <w:rPr>
          <w:rFonts w:ascii="Cambria" w:hAnsi="Cambria"/>
          <w:color w:val="000000" w:themeColor="text1"/>
        </w:rPr>
      </w:pPr>
      <w:r w:rsidRPr="00FC6802">
        <w:rPr>
          <w:rFonts w:ascii="Cambria" w:hAnsi="Cambria"/>
        </w:rPr>
        <w:t xml:space="preserve">Employee termination and non-renewal procedures are found in policy series D and </w:t>
      </w:r>
      <w:r w:rsidR="008532B6" w:rsidRPr="00FC6802">
        <w:rPr>
          <w:rFonts w:ascii="Cambria" w:hAnsi="Cambria"/>
        </w:rPr>
        <w:t xml:space="preserve">such actions </w:t>
      </w:r>
      <w:r w:rsidRPr="00FC6802">
        <w:rPr>
          <w:rFonts w:ascii="Cambria" w:hAnsi="Cambria"/>
        </w:rPr>
        <w:t>are not subject to the procedures set forth in this section</w:t>
      </w:r>
      <w:r w:rsidRPr="00C87B1B">
        <w:rPr>
          <w:rFonts w:ascii="Cambria" w:hAnsi="Cambria"/>
          <w:color w:val="0070C0"/>
        </w:rPr>
        <w:t>.</w:t>
      </w:r>
      <w:r w:rsidR="00C87B1B" w:rsidRPr="00C87B1B">
        <w:rPr>
          <w:rFonts w:ascii="Cambria" w:hAnsi="Cambria"/>
          <w:color w:val="0070C0"/>
        </w:rPr>
        <w:t xml:space="preserve"> </w:t>
      </w:r>
      <w:r w:rsidR="00C87B1B" w:rsidRPr="003C34B5">
        <w:rPr>
          <w:rFonts w:ascii="Cambria" w:hAnsi="Cambria"/>
          <w:color w:val="000000" w:themeColor="text1"/>
        </w:rPr>
        <w:t>Procedures for complaints regarding sexual harassment (a form of sex discrimination) are set forth in Policy DKB and Policy FHAB. Those procedures apply rather than the procedures in this policy.</w:t>
      </w:r>
    </w:p>
    <w:p w14:paraId="6D7B275E" w14:textId="77777777"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Representation</w:t>
      </w:r>
    </w:p>
    <w:p w14:paraId="28A23703" w14:textId="63092987" w:rsidR="00811FDA" w:rsidRPr="00FC6802" w:rsidRDefault="00811FDA" w:rsidP="00FC6802">
      <w:pPr>
        <w:rPr>
          <w:rFonts w:ascii="Cambria" w:hAnsi="Cambria"/>
        </w:rPr>
      </w:pPr>
      <w:r w:rsidRPr="00FC6802">
        <w:rPr>
          <w:rFonts w:ascii="Cambria" w:hAnsi="Cambria"/>
        </w:rPr>
        <w:t>The employee registering a complaint or any employee who is the subject of a complaint may be represented at his or her own expense by a fellow employee, attorney, other person, or organization</w:t>
      </w:r>
      <w:r w:rsidR="00AD2A67" w:rsidRPr="00FC6802">
        <w:rPr>
          <w:rFonts w:ascii="Cambria" w:hAnsi="Cambria"/>
        </w:rPr>
        <w:t>.</w:t>
      </w:r>
      <w:r w:rsidR="003370F1" w:rsidRPr="00FC6802">
        <w:rPr>
          <w:rFonts w:ascii="Cambria" w:hAnsi="Cambria"/>
        </w:rPr>
        <w:t xml:space="preserve"> </w:t>
      </w:r>
      <w:r w:rsidRPr="00FC6802">
        <w:rPr>
          <w:rFonts w:ascii="Cambria" w:hAnsi="Cambria"/>
        </w:rPr>
        <w:t xml:space="preserve">The </w:t>
      </w:r>
      <w:proofErr w:type="gramStart"/>
      <w:r w:rsidRPr="00FC6802">
        <w:rPr>
          <w:rFonts w:ascii="Cambria" w:hAnsi="Cambria"/>
        </w:rPr>
        <w:t>District</w:t>
      </w:r>
      <w:proofErr w:type="gramEnd"/>
      <w:r w:rsidRPr="00FC6802">
        <w:rPr>
          <w:rFonts w:ascii="Cambria" w:hAnsi="Cambria"/>
        </w:rPr>
        <w:t xml:space="preserve"> may be assisted in processing complaints as it deems appropriate.</w:t>
      </w:r>
    </w:p>
    <w:p w14:paraId="72253D49" w14:textId="77777777"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General Provisions</w:t>
      </w:r>
    </w:p>
    <w:p w14:paraId="19AD1980" w14:textId="77777777" w:rsidR="00811FDA" w:rsidRPr="00FC6802" w:rsidRDefault="00811FDA" w:rsidP="00FC6802">
      <w:pPr>
        <w:rPr>
          <w:rFonts w:ascii="Cambria" w:hAnsi="Cambria"/>
        </w:rPr>
      </w:pPr>
      <w:r w:rsidRPr="00FC6802">
        <w:rPr>
          <w:rFonts w:ascii="Cambria" w:hAnsi="Cambria"/>
        </w:rPr>
        <w:t>The following shall be general provisions for processing grievances:</w:t>
      </w:r>
    </w:p>
    <w:p w14:paraId="20B80045" w14:textId="77777777" w:rsidR="00811FDA" w:rsidRPr="00FC6802" w:rsidRDefault="00811FDA" w:rsidP="007070A9">
      <w:pPr>
        <w:numPr>
          <w:ilvl w:val="0"/>
          <w:numId w:val="17"/>
        </w:numPr>
        <w:rPr>
          <w:rFonts w:ascii="Cambria" w:hAnsi="Cambria"/>
        </w:rPr>
      </w:pPr>
      <w:r w:rsidRPr="00FC6802">
        <w:rPr>
          <w:rFonts w:ascii="Cambria" w:hAnsi="Cambria"/>
        </w:rPr>
        <w:t>Grievances shall be heard in informal administrative conferences.</w:t>
      </w:r>
    </w:p>
    <w:p w14:paraId="4DEF1675" w14:textId="1686CAD8" w:rsidR="00811FDA" w:rsidRPr="00FC6802" w:rsidRDefault="00811FDA" w:rsidP="007070A9">
      <w:pPr>
        <w:numPr>
          <w:ilvl w:val="0"/>
          <w:numId w:val="17"/>
        </w:numPr>
        <w:rPr>
          <w:rFonts w:ascii="Cambria" w:hAnsi="Cambria"/>
        </w:rPr>
      </w:pPr>
      <w:r w:rsidRPr="00FC6802">
        <w:rPr>
          <w:rFonts w:ascii="Cambria" w:hAnsi="Cambria"/>
        </w:rPr>
        <w:t>Time is of the essence</w:t>
      </w:r>
      <w:r w:rsidR="00534F03" w:rsidRPr="00FC6802">
        <w:rPr>
          <w:rFonts w:ascii="Cambria" w:hAnsi="Cambria"/>
        </w:rPr>
        <w:t>.</w:t>
      </w:r>
      <w:r w:rsidR="003370F1" w:rsidRPr="00FC6802">
        <w:rPr>
          <w:rFonts w:ascii="Cambria" w:hAnsi="Cambria"/>
        </w:rPr>
        <w:t xml:space="preserve"> </w:t>
      </w:r>
      <w:r w:rsidRPr="00FC6802">
        <w:rPr>
          <w:rFonts w:ascii="Cambria" w:hAnsi="Cambria"/>
        </w:rPr>
        <w:t>All time limits shall be strictly complied with, except if extended by mutual consent</w:t>
      </w:r>
      <w:r w:rsidR="00534F03" w:rsidRPr="00FC6802">
        <w:rPr>
          <w:rFonts w:ascii="Cambria" w:hAnsi="Cambria"/>
        </w:rPr>
        <w:t>.</w:t>
      </w:r>
      <w:r w:rsidR="003370F1" w:rsidRPr="00FC6802">
        <w:rPr>
          <w:rFonts w:ascii="Cambria" w:hAnsi="Cambria"/>
        </w:rPr>
        <w:t xml:space="preserve"> </w:t>
      </w:r>
      <w:r w:rsidRPr="00FC6802">
        <w:rPr>
          <w:rFonts w:ascii="Cambria" w:hAnsi="Cambria"/>
        </w:rPr>
        <w:t>All references are to calendar days, unless otherwise indicated.</w:t>
      </w:r>
    </w:p>
    <w:p w14:paraId="683D539A" w14:textId="1420FBAF" w:rsidR="00811FDA" w:rsidRPr="00FC6802" w:rsidRDefault="00811FDA" w:rsidP="007070A9">
      <w:pPr>
        <w:numPr>
          <w:ilvl w:val="0"/>
          <w:numId w:val="17"/>
        </w:numPr>
        <w:rPr>
          <w:rFonts w:ascii="Cambria" w:hAnsi="Cambria"/>
        </w:rPr>
      </w:pPr>
      <w:r w:rsidRPr="00FC6802">
        <w:rPr>
          <w:rFonts w:ascii="Cambria" w:hAnsi="Cambria"/>
        </w:rPr>
        <w:t>The appropriate administrator at each level shall respond to the employee within seven working days of a grievance conference</w:t>
      </w:r>
      <w:r w:rsidR="00534F03" w:rsidRPr="00FC6802">
        <w:rPr>
          <w:rFonts w:ascii="Cambria" w:hAnsi="Cambria"/>
        </w:rPr>
        <w:t>.</w:t>
      </w:r>
      <w:r w:rsidR="003370F1" w:rsidRPr="00FC6802">
        <w:rPr>
          <w:rFonts w:ascii="Cambria" w:hAnsi="Cambria"/>
        </w:rPr>
        <w:t xml:space="preserve"> </w:t>
      </w:r>
      <w:r w:rsidRPr="00FC6802">
        <w:rPr>
          <w:rFonts w:ascii="Cambria" w:hAnsi="Cambria"/>
        </w:rPr>
        <w:t>Oral grievances may receive an oral or written response, and written grievances shall receive a written response.</w:t>
      </w:r>
    </w:p>
    <w:p w14:paraId="13BD37A1" w14:textId="2CF0C0BF" w:rsidR="00811FDA" w:rsidRPr="00FC6802" w:rsidRDefault="00811FDA" w:rsidP="007070A9">
      <w:pPr>
        <w:numPr>
          <w:ilvl w:val="0"/>
          <w:numId w:val="17"/>
        </w:numPr>
        <w:rPr>
          <w:rFonts w:ascii="Cambria" w:hAnsi="Cambria"/>
        </w:rPr>
      </w:pPr>
      <w:r w:rsidRPr="00FC6802">
        <w:rPr>
          <w:rFonts w:ascii="Cambria" w:hAnsi="Cambria"/>
        </w:rPr>
        <w:t>The employee has seven working days after a response to appeal to the next level</w:t>
      </w:r>
      <w:r w:rsidR="00534F03" w:rsidRPr="00FC6802">
        <w:rPr>
          <w:rFonts w:ascii="Cambria" w:hAnsi="Cambria"/>
        </w:rPr>
        <w:t>.</w:t>
      </w:r>
      <w:r w:rsidR="003370F1" w:rsidRPr="00FC6802">
        <w:rPr>
          <w:rFonts w:ascii="Cambria" w:hAnsi="Cambria"/>
        </w:rPr>
        <w:t xml:space="preserve"> </w:t>
      </w:r>
      <w:r w:rsidRPr="00FC6802">
        <w:rPr>
          <w:rFonts w:ascii="Cambria" w:hAnsi="Cambria"/>
        </w:rPr>
        <w:t>The grievance shall be considered concluded if at any level it is not appealed within the given time limit.</w:t>
      </w:r>
    </w:p>
    <w:p w14:paraId="5D0BD88E" w14:textId="67D4D863" w:rsidR="00811FDA" w:rsidRPr="00FC6802" w:rsidRDefault="00811FDA" w:rsidP="007070A9">
      <w:pPr>
        <w:numPr>
          <w:ilvl w:val="0"/>
          <w:numId w:val="17"/>
        </w:numPr>
        <w:rPr>
          <w:rFonts w:ascii="Cambria" w:hAnsi="Cambria"/>
        </w:rPr>
      </w:pPr>
      <w:r w:rsidRPr="00FC6802">
        <w:rPr>
          <w:rFonts w:ascii="Cambria" w:hAnsi="Cambria"/>
        </w:rPr>
        <w:t>All grievances arising out of an event or condition or related series of events must be addressed in one grievance</w:t>
      </w:r>
      <w:r w:rsidR="00534F03" w:rsidRPr="00FC6802">
        <w:rPr>
          <w:rFonts w:ascii="Cambria" w:hAnsi="Cambria"/>
        </w:rPr>
        <w:t>.</w:t>
      </w:r>
      <w:r w:rsidR="003370F1" w:rsidRPr="00FC6802">
        <w:rPr>
          <w:rFonts w:ascii="Cambria" w:hAnsi="Cambria"/>
        </w:rPr>
        <w:t xml:space="preserve"> </w:t>
      </w:r>
      <w:r w:rsidRPr="00FC6802">
        <w:rPr>
          <w:rFonts w:ascii="Cambria" w:hAnsi="Cambria"/>
        </w:rPr>
        <w:t>An employee may not bring separate or serial grievances concerning events or conditions about which the employee has previously complained.</w:t>
      </w:r>
      <w:r w:rsidRPr="00FC6802">
        <w:rPr>
          <w:rFonts w:ascii="Cambria" w:hAnsi="Cambria"/>
        </w:rPr>
        <w:tab/>
      </w:r>
    </w:p>
    <w:p w14:paraId="2A7F9ADA" w14:textId="72AE107E"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lastRenderedPageBreak/>
        <w:t>Level One</w:t>
      </w:r>
    </w:p>
    <w:p w14:paraId="7C6459CF" w14:textId="77777777" w:rsidR="00811FDA" w:rsidRPr="00FC6802" w:rsidRDefault="00811FDA" w:rsidP="00FC6802">
      <w:pPr>
        <w:rPr>
          <w:rFonts w:ascii="Cambria" w:hAnsi="Cambria"/>
        </w:rPr>
      </w:pPr>
      <w:r w:rsidRPr="00FC6802">
        <w:rPr>
          <w:rFonts w:ascii="Cambria" w:hAnsi="Cambria"/>
        </w:rPr>
        <w:t xml:space="preserve">Any employee having a grievance shall meet with the </w:t>
      </w:r>
      <w:proofErr w:type="gramStart"/>
      <w:r w:rsidRPr="00FC6802">
        <w:rPr>
          <w:rFonts w:ascii="Cambria" w:hAnsi="Cambria"/>
        </w:rPr>
        <w:t>Principal</w:t>
      </w:r>
      <w:proofErr w:type="gramEnd"/>
      <w:r w:rsidRPr="00FC6802">
        <w:rPr>
          <w:rFonts w:ascii="Cambria" w:hAnsi="Cambria"/>
        </w:rPr>
        <w:t xml:space="preserve"> or immediate supervisor within fifteen days of the time the employee first knew, or should have known, of the event, condition, or series of events upon which the grievance is based.</w:t>
      </w:r>
    </w:p>
    <w:p w14:paraId="30D65861" w14:textId="1ABBAAA3"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Level Two</w:t>
      </w:r>
    </w:p>
    <w:p w14:paraId="2A095695" w14:textId="77777777" w:rsidR="00811FDA" w:rsidRPr="00FC6802" w:rsidRDefault="00811FDA" w:rsidP="00FC6802">
      <w:pPr>
        <w:rPr>
          <w:rFonts w:ascii="Cambria" w:hAnsi="Cambria"/>
        </w:rPr>
      </w:pPr>
      <w:r w:rsidRPr="00FC6802">
        <w:rPr>
          <w:rFonts w:ascii="Cambria" w:hAnsi="Cambria"/>
        </w:rPr>
        <w:t>If the employee is not satisfied with the outcome of the grievance conference at Level One, the employee may meet with the Superintendent or a designee to discuss the grievance within seven working days after receiving the response.</w:t>
      </w:r>
    </w:p>
    <w:p w14:paraId="434B67B2" w14:textId="77777777" w:rsidR="00811FDA" w:rsidRPr="00FC6802" w:rsidRDefault="00811FDA" w:rsidP="00FC6802">
      <w:pPr>
        <w:rPr>
          <w:rFonts w:ascii="Cambria" w:hAnsi="Cambria"/>
        </w:rPr>
      </w:pPr>
      <w:r w:rsidRPr="00FC6802">
        <w:rPr>
          <w:rFonts w:ascii="Cambria" w:hAnsi="Cambria"/>
        </w:rPr>
        <w:t xml:space="preserve">At or prior to the conference with the Superintendent or designee, the employee shall submit a written description of the basis of the grievance, the date(s) it occurred, the remedy sought, and the date the employee conferred with the </w:t>
      </w:r>
      <w:proofErr w:type="gramStart"/>
      <w:r w:rsidRPr="00FC6802">
        <w:rPr>
          <w:rFonts w:ascii="Cambria" w:hAnsi="Cambria"/>
        </w:rPr>
        <w:t>Principal</w:t>
      </w:r>
      <w:proofErr w:type="gramEnd"/>
      <w:r w:rsidRPr="00FC6802">
        <w:rPr>
          <w:rFonts w:ascii="Cambria" w:hAnsi="Cambria"/>
        </w:rPr>
        <w:t xml:space="preserve"> or immediate supervisor.</w:t>
      </w:r>
    </w:p>
    <w:p w14:paraId="3ED60223" w14:textId="2C8DE23E" w:rsidR="00811FDA" w:rsidRPr="00FC6802" w:rsidRDefault="00811FDA" w:rsidP="003370F1">
      <w:pPr>
        <w:pStyle w:val="Heading3"/>
        <w:spacing w:before="120" w:after="120"/>
        <w:jc w:val="both"/>
        <w:rPr>
          <w:rFonts w:ascii="Cambria" w:hAnsi="Cambria"/>
          <w:i w:val="0"/>
          <w:u w:val="single"/>
        </w:rPr>
      </w:pPr>
      <w:r w:rsidRPr="00FC6802">
        <w:rPr>
          <w:rFonts w:ascii="Cambria" w:hAnsi="Cambria"/>
          <w:i w:val="0"/>
          <w:u w:val="single"/>
        </w:rPr>
        <w:t>Level Three</w:t>
      </w:r>
    </w:p>
    <w:p w14:paraId="331CD6D3" w14:textId="792C7490" w:rsidR="00811FDA" w:rsidRPr="00FC6802" w:rsidRDefault="00811FDA" w:rsidP="00FC6802">
      <w:pPr>
        <w:rPr>
          <w:rFonts w:ascii="Cambria" w:hAnsi="Cambria"/>
        </w:rPr>
      </w:pPr>
      <w:r w:rsidRPr="00FC6802">
        <w:rPr>
          <w:rFonts w:ascii="Cambria" w:hAnsi="Cambria"/>
        </w:rPr>
        <w:t>If the outcome of the grievance conference at Level Two is not to the employee’s satisfaction, an employee wishing to appeal shall file a written request with the Superintendent for a Board hearing at the next regular meeting</w:t>
      </w:r>
      <w:r w:rsidR="00534F03" w:rsidRPr="00FC6802">
        <w:rPr>
          <w:rFonts w:ascii="Cambria" w:hAnsi="Cambria"/>
        </w:rPr>
        <w:t>.</w:t>
      </w:r>
      <w:r w:rsidR="003370F1" w:rsidRPr="00FC6802">
        <w:rPr>
          <w:rFonts w:ascii="Cambria" w:hAnsi="Cambria"/>
        </w:rPr>
        <w:t xml:space="preserve"> </w:t>
      </w:r>
      <w:r w:rsidRPr="00FC6802">
        <w:rPr>
          <w:rFonts w:ascii="Cambria" w:hAnsi="Cambria"/>
        </w:rPr>
        <w:t>In matters involving an aggrieved party, the meeting shall be held within 30 days after the date the written request for a Board hearing was filed with the Superintendent, unless postponed by mutual consent</w:t>
      </w:r>
      <w:r w:rsidR="00534F03" w:rsidRPr="00FC6802">
        <w:rPr>
          <w:rFonts w:ascii="Cambria" w:hAnsi="Cambria"/>
        </w:rPr>
        <w:t>.</w:t>
      </w:r>
      <w:r w:rsidR="003370F1" w:rsidRPr="00FC6802">
        <w:rPr>
          <w:rFonts w:ascii="Cambria" w:hAnsi="Cambria"/>
        </w:rPr>
        <w:t xml:space="preserve"> </w:t>
      </w:r>
      <w:r w:rsidRPr="00FC6802">
        <w:rPr>
          <w:rFonts w:ascii="Cambria" w:hAnsi="Cambria"/>
        </w:rPr>
        <w:t>The Board shall notify the aggrieved employee in writing of the time and place of the hearing</w:t>
      </w:r>
      <w:r w:rsidR="00534F03" w:rsidRPr="00FC6802">
        <w:rPr>
          <w:rFonts w:ascii="Cambria" w:hAnsi="Cambria"/>
        </w:rPr>
        <w:t>.</w:t>
      </w:r>
      <w:r w:rsidR="003370F1" w:rsidRPr="00FC6802">
        <w:rPr>
          <w:rFonts w:ascii="Cambria" w:hAnsi="Cambria"/>
        </w:rPr>
        <w:t xml:space="preserve"> </w:t>
      </w:r>
      <w:r w:rsidRPr="00FC6802">
        <w:rPr>
          <w:rFonts w:ascii="Cambria" w:hAnsi="Cambria"/>
        </w:rPr>
        <w:t>The Board shall provide written notification to the aggrieved employee of its decision within 15 days after the hearing.</w:t>
      </w:r>
    </w:p>
    <w:p w14:paraId="746A3BE2" w14:textId="1B5004F9" w:rsidR="00811FDA" w:rsidRPr="00FC6802" w:rsidRDefault="00811FDA" w:rsidP="00FC6802">
      <w:pPr>
        <w:rPr>
          <w:rFonts w:ascii="Cambria" w:hAnsi="Cambria"/>
        </w:rPr>
      </w:pPr>
      <w:r w:rsidRPr="00FC6802">
        <w:rPr>
          <w:rFonts w:ascii="Cambria" w:hAnsi="Cambria"/>
        </w:rPr>
        <w:t>The Board may designate a portion of its regular monthly meeting to hear employee grievances</w:t>
      </w:r>
      <w:r w:rsidR="00534F03" w:rsidRPr="00FC6802">
        <w:rPr>
          <w:rFonts w:ascii="Cambria" w:hAnsi="Cambria"/>
        </w:rPr>
        <w:t>.</w:t>
      </w:r>
      <w:r w:rsidR="003370F1" w:rsidRPr="00FC6802">
        <w:rPr>
          <w:rFonts w:ascii="Cambria" w:hAnsi="Cambria"/>
        </w:rPr>
        <w:t xml:space="preserve"> </w:t>
      </w:r>
      <w:r w:rsidRPr="00FC6802">
        <w:rPr>
          <w:rFonts w:ascii="Cambria" w:hAnsi="Cambria"/>
        </w:rPr>
        <w:t>However, the Board shall not discuss any subject that is not included in the written notice (posted agenda) for the meeting, other than to propose to place it on the agenda for a subsequent meeting.</w:t>
      </w:r>
    </w:p>
    <w:p w14:paraId="2A884823" w14:textId="6DB3CE08" w:rsidR="00811FDA" w:rsidRPr="00FC6802" w:rsidRDefault="00811FDA" w:rsidP="00FC6802">
      <w:pPr>
        <w:rPr>
          <w:rFonts w:ascii="Cambria" w:hAnsi="Cambria"/>
        </w:rPr>
      </w:pPr>
      <w:r w:rsidRPr="00FC6802">
        <w:rPr>
          <w:rFonts w:ascii="Cambria" w:hAnsi="Cambria"/>
        </w:rPr>
        <w:t>The Board President may set reasonable time limits on grievance presentations</w:t>
      </w:r>
      <w:r w:rsidR="00534F03" w:rsidRPr="00FC6802">
        <w:rPr>
          <w:rFonts w:ascii="Cambria" w:hAnsi="Cambria"/>
        </w:rPr>
        <w:t>.</w:t>
      </w:r>
      <w:r w:rsidR="003370F1" w:rsidRPr="00FC6802">
        <w:rPr>
          <w:rFonts w:ascii="Cambria" w:hAnsi="Cambria"/>
        </w:rPr>
        <w:t xml:space="preserve"> </w:t>
      </w:r>
      <w:r w:rsidRPr="00FC6802">
        <w:rPr>
          <w:rFonts w:ascii="Cambria" w:hAnsi="Cambria"/>
        </w:rPr>
        <w:t>The Board shall listen to the grievance but is not required to respond or take any action on the matter unless the grievance is from an aggrieved party.</w:t>
      </w:r>
    </w:p>
    <w:p w14:paraId="49442415" w14:textId="2DA96BEE" w:rsidR="00811FDA" w:rsidRPr="00FC6802" w:rsidRDefault="00811FDA" w:rsidP="00FC6802">
      <w:pPr>
        <w:rPr>
          <w:rFonts w:ascii="Cambria" w:hAnsi="Cambria"/>
        </w:rPr>
      </w:pPr>
      <w:r w:rsidRPr="00FC6802">
        <w:rPr>
          <w:rFonts w:ascii="Cambria" w:hAnsi="Cambria"/>
        </w:rPr>
        <w:t>Aggrieved parties who are entitled to some type of due process hearing shall be afforded that hearing with the Board or its designee at Level Three</w:t>
      </w:r>
      <w:r w:rsidR="00534F03" w:rsidRPr="00FC6802">
        <w:rPr>
          <w:rFonts w:ascii="Cambria" w:hAnsi="Cambria"/>
        </w:rPr>
        <w:t>.</w:t>
      </w:r>
      <w:r w:rsidR="003370F1" w:rsidRPr="00FC6802">
        <w:rPr>
          <w:rFonts w:ascii="Cambria" w:hAnsi="Cambria"/>
        </w:rPr>
        <w:t xml:space="preserve"> </w:t>
      </w:r>
      <w:r w:rsidRPr="00FC6802">
        <w:rPr>
          <w:rFonts w:ascii="Cambria" w:hAnsi="Cambria"/>
        </w:rPr>
        <w:t>If the Board’s designee conducts the hearing, the designee shall make a recommendation to the Board at a meeting held within 30 days of the date the request for a Board hearing was filed with the Superintendent</w:t>
      </w:r>
      <w:r w:rsidR="00534F03" w:rsidRPr="00FC6802">
        <w:rPr>
          <w:rFonts w:ascii="Cambria" w:hAnsi="Cambria"/>
        </w:rPr>
        <w:t>.</w:t>
      </w:r>
      <w:r w:rsidR="003370F1" w:rsidRPr="00FC6802">
        <w:rPr>
          <w:rFonts w:ascii="Cambria" w:hAnsi="Cambria"/>
        </w:rPr>
        <w:t xml:space="preserve"> </w:t>
      </w:r>
      <w:r w:rsidRPr="00FC6802">
        <w:rPr>
          <w:rFonts w:ascii="Cambria" w:hAnsi="Cambria"/>
        </w:rPr>
        <w:t>The employee shall be given an opportunity to respond to the recommendation either orally or in writing.</w:t>
      </w:r>
    </w:p>
    <w:p w14:paraId="56290A67" w14:textId="5A2D32BF" w:rsidR="00811FDA" w:rsidRPr="00FC6802" w:rsidRDefault="003D32A6" w:rsidP="003370F1">
      <w:pPr>
        <w:pStyle w:val="Heading3"/>
        <w:spacing w:before="120" w:after="120"/>
        <w:jc w:val="both"/>
        <w:rPr>
          <w:rFonts w:ascii="Cambria" w:hAnsi="Cambria"/>
          <w:i w:val="0"/>
          <w:u w:val="single"/>
        </w:rPr>
      </w:pPr>
      <w:r w:rsidRPr="00FC6802">
        <w:rPr>
          <w:rFonts w:ascii="Cambria" w:hAnsi="Cambria"/>
          <w:i w:val="0"/>
          <w:u w:val="single"/>
        </w:rPr>
        <w:t>Closed Hearing</w:t>
      </w:r>
    </w:p>
    <w:p w14:paraId="7F80E3E9" w14:textId="72ECABCA" w:rsidR="00811FDA" w:rsidRPr="00FC6802" w:rsidRDefault="00811FDA" w:rsidP="00FC6802">
      <w:pPr>
        <w:spacing w:after="120"/>
        <w:rPr>
          <w:rFonts w:ascii="Cambria" w:hAnsi="Cambria"/>
        </w:rPr>
      </w:pPr>
      <w:r w:rsidRPr="00FC6802">
        <w:rPr>
          <w:rFonts w:ascii="Cambria" w:hAnsi="Cambria"/>
        </w:rPr>
        <w:t xml:space="preserve">If the grievance involves the character, professional competence, or physical or mental health of the employee bringing the grievance, it shall be heard by the Board in </w:t>
      </w:r>
      <w:r w:rsidR="003D32A6" w:rsidRPr="00FC6802">
        <w:rPr>
          <w:rFonts w:ascii="Cambria" w:hAnsi="Cambria"/>
        </w:rPr>
        <w:t>a closed meeting</w:t>
      </w:r>
      <w:r w:rsidRPr="00FC6802">
        <w:rPr>
          <w:rFonts w:ascii="Cambria" w:hAnsi="Cambria"/>
        </w:rPr>
        <w:t>, unless the employee requests that it to be heard in public</w:t>
      </w:r>
      <w:r w:rsidR="00534F03" w:rsidRPr="00FC6802">
        <w:rPr>
          <w:rFonts w:ascii="Cambria" w:hAnsi="Cambria"/>
        </w:rPr>
        <w:t>.</w:t>
      </w:r>
      <w:r w:rsidR="003370F1" w:rsidRPr="00FC6802">
        <w:rPr>
          <w:rFonts w:ascii="Cambria" w:hAnsi="Cambria"/>
        </w:rPr>
        <w:t xml:space="preserve"> </w:t>
      </w:r>
      <w:r w:rsidRPr="00FC6802">
        <w:rPr>
          <w:rFonts w:ascii="Cambria" w:hAnsi="Cambria"/>
        </w:rPr>
        <w:t xml:space="preserve">If the grievance involves complaints or charges against another </w:t>
      </w:r>
      <w:r w:rsidR="008532B6" w:rsidRPr="00FC6802">
        <w:rPr>
          <w:rFonts w:ascii="Cambria" w:hAnsi="Cambria"/>
        </w:rPr>
        <w:t>person</w:t>
      </w:r>
      <w:r w:rsidRPr="00FC6802">
        <w:rPr>
          <w:rFonts w:ascii="Cambria" w:hAnsi="Cambria"/>
        </w:rPr>
        <w:t xml:space="preserve">, it shall be heard by the Board in </w:t>
      </w:r>
      <w:r w:rsidR="003D32A6" w:rsidRPr="00FC6802">
        <w:rPr>
          <w:rFonts w:ascii="Cambria" w:hAnsi="Cambria"/>
        </w:rPr>
        <w:t>a closed meeting</w:t>
      </w:r>
      <w:r w:rsidRPr="00FC6802">
        <w:rPr>
          <w:rFonts w:ascii="Cambria" w:hAnsi="Cambria"/>
        </w:rPr>
        <w:t xml:space="preserve">, unless the </w:t>
      </w:r>
      <w:r w:rsidR="008532B6" w:rsidRPr="00FC6802">
        <w:rPr>
          <w:rFonts w:ascii="Cambria" w:hAnsi="Cambria"/>
        </w:rPr>
        <w:t>person</w:t>
      </w:r>
      <w:r w:rsidRPr="00FC6802">
        <w:rPr>
          <w:rFonts w:ascii="Cambria" w:hAnsi="Cambria"/>
        </w:rPr>
        <w:t xml:space="preserve"> complained about requests that it be heard in public.</w:t>
      </w:r>
    </w:p>
    <w:p w14:paraId="0EB46153" w14:textId="09E31498" w:rsidR="00811FDA" w:rsidRPr="005E252A" w:rsidRDefault="00000000" w:rsidP="005E252A">
      <w:pPr>
        <w:pStyle w:val="BodyTextIndent3"/>
      </w:pPr>
      <w:hyperlink r:id="rId9" w:history="1">
        <w:r w:rsidR="00811FDA" w:rsidRPr="005E252A">
          <w:rPr>
            <w:rStyle w:val="Hyperlink"/>
            <w:color w:val="0432FF"/>
          </w:rPr>
          <w:t>Utah Code § 52-4-</w:t>
        </w:r>
        <w:r w:rsidR="002C3E94" w:rsidRPr="005E252A">
          <w:rPr>
            <w:rStyle w:val="Hyperlink"/>
            <w:color w:val="0432FF"/>
          </w:rPr>
          <w:t xml:space="preserve">205(1)(a) </w:t>
        </w:r>
      </w:hyperlink>
      <w:r w:rsidR="004C25FF" w:rsidRPr="005E252A">
        <w:rPr>
          <w:rStyle w:val="Hyperlink"/>
          <w:color w:val="0432FF"/>
        </w:rPr>
        <w:t xml:space="preserve"> (</w:t>
      </w:r>
      <w:r w:rsidR="004C25FF" w:rsidRPr="007B1847">
        <w:rPr>
          <w:rStyle w:val="Hyperlink"/>
          <w:color w:val="0070C0"/>
        </w:rPr>
        <w:t>20</w:t>
      </w:r>
      <w:r w:rsidR="007B1847">
        <w:rPr>
          <w:rStyle w:val="Hyperlink"/>
          <w:color w:val="0070C0"/>
        </w:rPr>
        <w:t xml:space="preserve">22) </w:t>
      </w:r>
      <w:r w:rsidR="004C25FF" w:rsidRPr="007B1847">
        <w:rPr>
          <w:rStyle w:val="Hyperlink"/>
          <w:strike/>
          <w:color w:val="FF0000"/>
        </w:rPr>
        <w:t>21)</w:t>
      </w:r>
    </w:p>
    <w:p w14:paraId="39067469" w14:textId="77777777" w:rsidR="00BC0A86" w:rsidRPr="00FC6802" w:rsidRDefault="00BC0A86" w:rsidP="00FC1AF2">
      <w:pPr>
        <w:pStyle w:val="Heading3"/>
        <w:jc w:val="both"/>
        <w:rPr>
          <w:rFonts w:ascii="Cambria" w:hAnsi="Cambria"/>
        </w:rPr>
      </w:pPr>
    </w:p>
    <w:sectPr w:rsidR="00BC0A86" w:rsidRPr="00FC6802" w:rsidSect="009123F7">
      <w:headerReference w:type="default" r:id="rId10"/>
      <w:footerReference w:type="default" r:id="rId11"/>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DEFB" w14:textId="77777777" w:rsidR="00CB74DA" w:rsidRDefault="00CB74DA">
      <w:r>
        <w:separator/>
      </w:r>
    </w:p>
  </w:endnote>
  <w:endnote w:type="continuationSeparator" w:id="0">
    <w:p w14:paraId="2893304D" w14:textId="77777777" w:rsidR="00CB74DA" w:rsidRDefault="00CB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7"/>
      <w:gridCol w:w="1873"/>
    </w:tblGrid>
    <w:tr w:rsidR="00811FDA" w:rsidRPr="007B1847" w14:paraId="110252E3" w14:textId="77777777" w:rsidTr="006A1992">
      <w:tc>
        <w:tcPr>
          <w:tcW w:w="7308" w:type="dxa"/>
        </w:tcPr>
        <w:p w14:paraId="6E92D6B5" w14:textId="77777777" w:rsidR="00811FDA" w:rsidRPr="007B1847" w:rsidRDefault="00FC6802" w:rsidP="00073A78">
          <w:pPr>
            <w:rPr>
              <w:rFonts w:ascii="Cambria" w:hAnsi="Cambria" w:cs="Arial"/>
              <w:iCs/>
              <w:color w:val="808080"/>
              <w:sz w:val="20"/>
              <w:szCs w:val="20"/>
            </w:rPr>
          </w:pPr>
          <w:r w:rsidRPr="007B1847">
            <w:rPr>
              <w:rFonts w:ascii="Cambria" w:hAnsi="Cambria" w:cs="Arial"/>
              <w:iCs/>
              <w:color w:val="808080"/>
              <w:sz w:val="20"/>
              <w:szCs w:val="20"/>
            </w:rPr>
            <w:t xml:space="preserve">Issue Date: </w:t>
          </w:r>
          <w:r w:rsidR="003C34B5" w:rsidRPr="007B1847">
            <w:rPr>
              <w:rFonts w:ascii="Cambria" w:hAnsi="Cambria" w:cs="Arial"/>
              <w:iCs/>
              <w:color w:val="808080"/>
              <w:sz w:val="20"/>
              <w:szCs w:val="20"/>
            </w:rPr>
            <w:t>11.18</w:t>
          </w:r>
          <w:r w:rsidRPr="007B1847">
            <w:rPr>
              <w:rFonts w:ascii="Cambria" w:hAnsi="Cambria" w:cs="Arial"/>
              <w:iCs/>
              <w:color w:val="808080"/>
              <w:sz w:val="20"/>
              <w:szCs w:val="20"/>
            </w:rPr>
            <w:t>.2020</w:t>
          </w:r>
        </w:p>
        <w:p w14:paraId="57B4E4BB" w14:textId="57E18522" w:rsidR="004C25FF" w:rsidRPr="007B1847" w:rsidRDefault="004C25FF" w:rsidP="00073A78">
          <w:pPr>
            <w:rPr>
              <w:rFonts w:ascii="Cambria" w:hAnsi="Cambria" w:cs="Arial"/>
              <w:iCs/>
              <w:color w:val="808080"/>
              <w:sz w:val="20"/>
              <w:szCs w:val="20"/>
            </w:rPr>
          </w:pPr>
          <w:r w:rsidRPr="007B1847">
            <w:rPr>
              <w:rFonts w:ascii="Cambria" w:hAnsi="Cambria" w:cs="Arial"/>
              <w:iCs/>
              <w:color w:val="808080"/>
              <w:sz w:val="20"/>
              <w:szCs w:val="20"/>
            </w:rPr>
            <w:t>Citations Updated</w:t>
          </w:r>
          <w:r w:rsidR="005E252A" w:rsidRPr="007B1847">
            <w:rPr>
              <w:rFonts w:ascii="Cambria" w:hAnsi="Cambria" w:cs="Arial"/>
              <w:iCs/>
              <w:color w:val="808080"/>
              <w:sz w:val="20"/>
              <w:szCs w:val="20"/>
            </w:rPr>
            <w:t>: 12.15.2021</w:t>
          </w:r>
        </w:p>
      </w:tc>
      <w:tc>
        <w:tcPr>
          <w:tcW w:w="1908" w:type="dxa"/>
          <w:vAlign w:val="center"/>
        </w:tcPr>
        <w:p w14:paraId="51B7BE09" w14:textId="77777777" w:rsidR="00811FDA" w:rsidRPr="007B1847" w:rsidRDefault="00811FDA" w:rsidP="006A1992">
          <w:pPr>
            <w:jc w:val="center"/>
            <w:rPr>
              <w:rFonts w:ascii="Cambria" w:hAnsi="Cambria" w:cs="Arial"/>
              <w:iCs/>
            </w:rPr>
          </w:pPr>
          <w:r w:rsidRPr="007B1847">
            <w:rPr>
              <w:rFonts w:ascii="Cambria" w:hAnsi="Cambria" w:cs="Arial"/>
              <w:iCs/>
            </w:rPr>
            <w:t xml:space="preserve">Page </w:t>
          </w:r>
          <w:r w:rsidR="00D322BD" w:rsidRPr="007B1847">
            <w:rPr>
              <w:rFonts w:ascii="Cambria" w:hAnsi="Cambria" w:cs="Arial"/>
              <w:iCs/>
            </w:rPr>
            <w:fldChar w:fldCharType="begin"/>
          </w:r>
          <w:r w:rsidRPr="007B1847">
            <w:rPr>
              <w:rFonts w:ascii="Cambria" w:hAnsi="Cambria" w:cs="Arial"/>
              <w:iCs/>
            </w:rPr>
            <w:instrText xml:space="preserve"> PAGE </w:instrText>
          </w:r>
          <w:r w:rsidR="00D322BD" w:rsidRPr="007B1847">
            <w:rPr>
              <w:rFonts w:ascii="Cambria" w:hAnsi="Cambria" w:cs="Arial"/>
              <w:iCs/>
            </w:rPr>
            <w:fldChar w:fldCharType="separate"/>
          </w:r>
          <w:r w:rsidR="0007195B" w:rsidRPr="007B1847">
            <w:rPr>
              <w:rFonts w:ascii="Cambria" w:hAnsi="Cambria" w:cs="Arial"/>
              <w:iCs/>
              <w:noProof/>
            </w:rPr>
            <w:t>1</w:t>
          </w:r>
          <w:r w:rsidR="00D322BD" w:rsidRPr="007B1847">
            <w:rPr>
              <w:rFonts w:ascii="Cambria" w:hAnsi="Cambria" w:cs="Arial"/>
              <w:iCs/>
            </w:rPr>
            <w:fldChar w:fldCharType="end"/>
          </w:r>
          <w:r w:rsidRPr="007B1847">
            <w:rPr>
              <w:rFonts w:ascii="Cambria" w:hAnsi="Cambria" w:cs="Arial"/>
              <w:iCs/>
            </w:rPr>
            <w:t xml:space="preserve"> of </w:t>
          </w:r>
          <w:r w:rsidR="00D322BD" w:rsidRPr="007B1847">
            <w:rPr>
              <w:rFonts w:ascii="Cambria" w:hAnsi="Cambria" w:cs="Arial"/>
              <w:iCs/>
            </w:rPr>
            <w:fldChar w:fldCharType="begin"/>
          </w:r>
          <w:r w:rsidRPr="007B1847">
            <w:rPr>
              <w:rFonts w:ascii="Cambria" w:hAnsi="Cambria" w:cs="Arial"/>
              <w:iCs/>
            </w:rPr>
            <w:instrText xml:space="preserve"> NUMPAGES </w:instrText>
          </w:r>
          <w:r w:rsidR="00D322BD" w:rsidRPr="007B1847">
            <w:rPr>
              <w:rFonts w:ascii="Cambria" w:hAnsi="Cambria" w:cs="Arial"/>
              <w:iCs/>
            </w:rPr>
            <w:fldChar w:fldCharType="separate"/>
          </w:r>
          <w:r w:rsidR="0007195B" w:rsidRPr="007B1847">
            <w:rPr>
              <w:rFonts w:ascii="Cambria" w:hAnsi="Cambria" w:cs="Arial"/>
              <w:iCs/>
              <w:noProof/>
            </w:rPr>
            <w:t>5</w:t>
          </w:r>
          <w:r w:rsidR="00D322BD" w:rsidRPr="007B1847">
            <w:rPr>
              <w:rFonts w:ascii="Cambria" w:hAnsi="Cambria" w:cs="Arial"/>
              <w:iCs/>
            </w:rPr>
            <w:fldChar w:fldCharType="end"/>
          </w:r>
        </w:p>
      </w:tc>
    </w:tr>
  </w:tbl>
  <w:p w14:paraId="21328C5C" w14:textId="77777777" w:rsidR="00811FDA" w:rsidRPr="007B1847" w:rsidRDefault="00811FDA">
    <w:pPr>
      <w:rPr>
        <w:rFonts w:ascii="Cambria" w:hAnsi="Cambria"/>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ECEB" w14:textId="77777777" w:rsidR="00CB74DA" w:rsidRDefault="00CB74DA">
      <w:r>
        <w:separator/>
      </w:r>
    </w:p>
  </w:footnote>
  <w:footnote w:type="continuationSeparator" w:id="0">
    <w:p w14:paraId="55511477" w14:textId="77777777" w:rsidR="00CB74DA" w:rsidRDefault="00CB7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C560" w14:textId="4267424B" w:rsidR="00811FDA" w:rsidRPr="007B1847" w:rsidRDefault="00FC6802" w:rsidP="00ED7D66">
    <w:pPr>
      <w:rPr>
        <w:rFonts w:ascii="Cambria" w:hAnsi="Cambria"/>
        <w:b/>
        <w:bCs/>
        <w:sz w:val="36"/>
        <w:szCs w:val="36"/>
      </w:rPr>
    </w:pPr>
    <w:r w:rsidRPr="007B1847">
      <w:rPr>
        <w:rFonts w:ascii="Cambria" w:hAnsi="Cambria"/>
        <w:b/>
        <w:bCs/>
        <w:sz w:val="36"/>
        <w:szCs w:val="36"/>
      </w:rPr>
      <w:t xml:space="preserve">                                                      Redress of Grievances - DHC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11779"/>
    <w:multiLevelType w:val="hybridMultilevel"/>
    <w:tmpl w:val="730ACE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C701BB"/>
    <w:multiLevelType w:val="hybridMultilevel"/>
    <w:tmpl w:val="465A59E2"/>
    <w:lvl w:ilvl="0" w:tplc="143202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601F88"/>
    <w:multiLevelType w:val="hybridMultilevel"/>
    <w:tmpl w:val="9A229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2563962">
    <w:abstractNumId w:val="9"/>
  </w:num>
  <w:num w:numId="2" w16cid:durableId="209415111">
    <w:abstractNumId w:val="7"/>
  </w:num>
  <w:num w:numId="3" w16cid:durableId="873159400">
    <w:abstractNumId w:val="6"/>
  </w:num>
  <w:num w:numId="4" w16cid:durableId="1646813363">
    <w:abstractNumId w:val="5"/>
  </w:num>
  <w:num w:numId="5" w16cid:durableId="1979072200">
    <w:abstractNumId w:val="4"/>
  </w:num>
  <w:num w:numId="6" w16cid:durableId="244851140">
    <w:abstractNumId w:val="8"/>
  </w:num>
  <w:num w:numId="7" w16cid:durableId="947736383">
    <w:abstractNumId w:val="3"/>
  </w:num>
  <w:num w:numId="8" w16cid:durableId="1935477481">
    <w:abstractNumId w:val="2"/>
  </w:num>
  <w:num w:numId="9" w16cid:durableId="63601059">
    <w:abstractNumId w:val="1"/>
  </w:num>
  <w:num w:numId="10" w16cid:durableId="599064892">
    <w:abstractNumId w:val="0"/>
  </w:num>
  <w:num w:numId="11" w16cid:durableId="1754011212">
    <w:abstractNumId w:val="17"/>
  </w:num>
  <w:num w:numId="12" w16cid:durableId="986783634">
    <w:abstractNumId w:val="13"/>
  </w:num>
  <w:num w:numId="13" w16cid:durableId="1803576064">
    <w:abstractNumId w:val="11"/>
  </w:num>
  <w:num w:numId="14" w16cid:durableId="1936328454">
    <w:abstractNumId w:val="15"/>
  </w:num>
  <w:num w:numId="15" w16cid:durableId="1170869607">
    <w:abstractNumId w:val="12"/>
  </w:num>
  <w:num w:numId="16" w16cid:durableId="1232544518">
    <w:abstractNumId w:val="14"/>
  </w:num>
  <w:num w:numId="17" w16cid:durableId="593321793">
    <w:abstractNumId w:val="18"/>
  </w:num>
  <w:num w:numId="18" w16cid:durableId="120006173">
    <w:abstractNumId w:val="10"/>
  </w:num>
  <w:num w:numId="19" w16cid:durableId="823081048">
    <w:abstractNumId w:val="19"/>
  </w:num>
  <w:num w:numId="20" w16cid:durableId="13989422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2346"/>
    <w:rsid w:val="00012454"/>
    <w:rsid w:val="000140EA"/>
    <w:rsid w:val="00015C80"/>
    <w:rsid w:val="00015EFF"/>
    <w:rsid w:val="000161DD"/>
    <w:rsid w:val="00016C7D"/>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3BE7"/>
    <w:rsid w:val="00055E20"/>
    <w:rsid w:val="000564D2"/>
    <w:rsid w:val="00060B07"/>
    <w:rsid w:val="0006379A"/>
    <w:rsid w:val="00064F4D"/>
    <w:rsid w:val="000702E8"/>
    <w:rsid w:val="0007195B"/>
    <w:rsid w:val="00073A78"/>
    <w:rsid w:val="000762B2"/>
    <w:rsid w:val="0008073C"/>
    <w:rsid w:val="00082EAF"/>
    <w:rsid w:val="000A142F"/>
    <w:rsid w:val="000A7B63"/>
    <w:rsid w:val="000B1A07"/>
    <w:rsid w:val="000B4F16"/>
    <w:rsid w:val="000B5D67"/>
    <w:rsid w:val="000D185E"/>
    <w:rsid w:val="000D2A8F"/>
    <w:rsid w:val="000D3F6D"/>
    <w:rsid w:val="000D42D5"/>
    <w:rsid w:val="000E0780"/>
    <w:rsid w:val="000E3D78"/>
    <w:rsid w:val="000E443C"/>
    <w:rsid w:val="000E7639"/>
    <w:rsid w:val="000F027B"/>
    <w:rsid w:val="000F109D"/>
    <w:rsid w:val="000F2E66"/>
    <w:rsid w:val="000F329A"/>
    <w:rsid w:val="00100B5C"/>
    <w:rsid w:val="001022BA"/>
    <w:rsid w:val="0010775D"/>
    <w:rsid w:val="001101D5"/>
    <w:rsid w:val="001107AD"/>
    <w:rsid w:val="001129CD"/>
    <w:rsid w:val="00114500"/>
    <w:rsid w:val="00120059"/>
    <w:rsid w:val="00122384"/>
    <w:rsid w:val="001249D6"/>
    <w:rsid w:val="00126E2D"/>
    <w:rsid w:val="00127EDF"/>
    <w:rsid w:val="001351F5"/>
    <w:rsid w:val="00135D8E"/>
    <w:rsid w:val="00144FE8"/>
    <w:rsid w:val="0014761F"/>
    <w:rsid w:val="00147986"/>
    <w:rsid w:val="00147AC4"/>
    <w:rsid w:val="00147E61"/>
    <w:rsid w:val="001517A2"/>
    <w:rsid w:val="0015277E"/>
    <w:rsid w:val="0015550A"/>
    <w:rsid w:val="0015610E"/>
    <w:rsid w:val="001624F1"/>
    <w:rsid w:val="00162C22"/>
    <w:rsid w:val="00165DB9"/>
    <w:rsid w:val="0017163D"/>
    <w:rsid w:val="00177542"/>
    <w:rsid w:val="00182B4A"/>
    <w:rsid w:val="0018440C"/>
    <w:rsid w:val="001872C8"/>
    <w:rsid w:val="001924D8"/>
    <w:rsid w:val="0019706E"/>
    <w:rsid w:val="001A4044"/>
    <w:rsid w:val="001A68F8"/>
    <w:rsid w:val="001B3772"/>
    <w:rsid w:val="001B5BDF"/>
    <w:rsid w:val="001B734B"/>
    <w:rsid w:val="001C0171"/>
    <w:rsid w:val="001C1C99"/>
    <w:rsid w:val="001C3DD9"/>
    <w:rsid w:val="001C7B93"/>
    <w:rsid w:val="001D399A"/>
    <w:rsid w:val="001D5A7E"/>
    <w:rsid w:val="001D5C9C"/>
    <w:rsid w:val="001E4F88"/>
    <w:rsid w:val="001E53F4"/>
    <w:rsid w:val="001E5F6A"/>
    <w:rsid w:val="001E7504"/>
    <w:rsid w:val="001E7845"/>
    <w:rsid w:val="001E7915"/>
    <w:rsid w:val="001F1F7D"/>
    <w:rsid w:val="001F2317"/>
    <w:rsid w:val="001F2820"/>
    <w:rsid w:val="001F3A16"/>
    <w:rsid w:val="001F47C2"/>
    <w:rsid w:val="001F58B6"/>
    <w:rsid w:val="001F60BB"/>
    <w:rsid w:val="002005C4"/>
    <w:rsid w:val="002042D4"/>
    <w:rsid w:val="0021049B"/>
    <w:rsid w:val="00214611"/>
    <w:rsid w:val="00216AC0"/>
    <w:rsid w:val="002204AA"/>
    <w:rsid w:val="002208DF"/>
    <w:rsid w:val="002352A5"/>
    <w:rsid w:val="00235AE3"/>
    <w:rsid w:val="00240A3A"/>
    <w:rsid w:val="00240EF4"/>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4CC7"/>
    <w:rsid w:val="0028574B"/>
    <w:rsid w:val="00293498"/>
    <w:rsid w:val="002A0575"/>
    <w:rsid w:val="002A151A"/>
    <w:rsid w:val="002A2F21"/>
    <w:rsid w:val="002A4CC3"/>
    <w:rsid w:val="002A4F8F"/>
    <w:rsid w:val="002B1444"/>
    <w:rsid w:val="002B5D59"/>
    <w:rsid w:val="002C20C3"/>
    <w:rsid w:val="002C35FA"/>
    <w:rsid w:val="002C3E94"/>
    <w:rsid w:val="002C565F"/>
    <w:rsid w:val="002C7533"/>
    <w:rsid w:val="002D36FA"/>
    <w:rsid w:val="002D42F7"/>
    <w:rsid w:val="002D772E"/>
    <w:rsid w:val="002D7743"/>
    <w:rsid w:val="002E345F"/>
    <w:rsid w:val="002F000C"/>
    <w:rsid w:val="002F1622"/>
    <w:rsid w:val="002F2741"/>
    <w:rsid w:val="002F4B62"/>
    <w:rsid w:val="002F5127"/>
    <w:rsid w:val="002F5853"/>
    <w:rsid w:val="003019B1"/>
    <w:rsid w:val="00302892"/>
    <w:rsid w:val="00303183"/>
    <w:rsid w:val="00306591"/>
    <w:rsid w:val="003075EA"/>
    <w:rsid w:val="003105AF"/>
    <w:rsid w:val="00311904"/>
    <w:rsid w:val="0031247F"/>
    <w:rsid w:val="00316A41"/>
    <w:rsid w:val="0032609F"/>
    <w:rsid w:val="00327A33"/>
    <w:rsid w:val="00331BB4"/>
    <w:rsid w:val="0033234D"/>
    <w:rsid w:val="00336574"/>
    <w:rsid w:val="003370F1"/>
    <w:rsid w:val="003371DD"/>
    <w:rsid w:val="0034176B"/>
    <w:rsid w:val="00341FE7"/>
    <w:rsid w:val="003466F7"/>
    <w:rsid w:val="00346BD3"/>
    <w:rsid w:val="0034744C"/>
    <w:rsid w:val="00347F2C"/>
    <w:rsid w:val="00350BA3"/>
    <w:rsid w:val="00351472"/>
    <w:rsid w:val="00353A06"/>
    <w:rsid w:val="00355153"/>
    <w:rsid w:val="0036480B"/>
    <w:rsid w:val="00370423"/>
    <w:rsid w:val="0037450F"/>
    <w:rsid w:val="00374BC1"/>
    <w:rsid w:val="00375F1F"/>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4B5"/>
    <w:rsid w:val="003C3FE1"/>
    <w:rsid w:val="003D0B96"/>
    <w:rsid w:val="003D32A6"/>
    <w:rsid w:val="003D7909"/>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7878"/>
    <w:rsid w:val="00426E29"/>
    <w:rsid w:val="00430D70"/>
    <w:rsid w:val="0043245B"/>
    <w:rsid w:val="00434005"/>
    <w:rsid w:val="00437750"/>
    <w:rsid w:val="00440191"/>
    <w:rsid w:val="0044131A"/>
    <w:rsid w:val="00442B06"/>
    <w:rsid w:val="0045307F"/>
    <w:rsid w:val="0045585E"/>
    <w:rsid w:val="00455BF6"/>
    <w:rsid w:val="00455F3C"/>
    <w:rsid w:val="00455F75"/>
    <w:rsid w:val="004569F6"/>
    <w:rsid w:val="00461345"/>
    <w:rsid w:val="00461E9E"/>
    <w:rsid w:val="00464032"/>
    <w:rsid w:val="004645DF"/>
    <w:rsid w:val="0048194D"/>
    <w:rsid w:val="004842D9"/>
    <w:rsid w:val="00485E86"/>
    <w:rsid w:val="00490C15"/>
    <w:rsid w:val="00492F79"/>
    <w:rsid w:val="004A058E"/>
    <w:rsid w:val="004A12A5"/>
    <w:rsid w:val="004A2680"/>
    <w:rsid w:val="004A5631"/>
    <w:rsid w:val="004A6E47"/>
    <w:rsid w:val="004A79B1"/>
    <w:rsid w:val="004A7CBE"/>
    <w:rsid w:val="004A7FED"/>
    <w:rsid w:val="004B0E60"/>
    <w:rsid w:val="004B13FB"/>
    <w:rsid w:val="004B2930"/>
    <w:rsid w:val="004B4DCF"/>
    <w:rsid w:val="004C25FF"/>
    <w:rsid w:val="004C2B82"/>
    <w:rsid w:val="004C5F35"/>
    <w:rsid w:val="004D16C9"/>
    <w:rsid w:val="004D19A5"/>
    <w:rsid w:val="004D2C82"/>
    <w:rsid w:val="004D4D44"/>
    <w:rsid w:val="004D517D"/>
    <w:rsid w:val="004E10B1"/>
    <w:rsid w:val="004E1E65"/>
    <w:rsid w:val="004E70E4"/>
    <w:rsid w:val="004F0139"/>
    <w:rsid w:val="004F6517"/>
    <w:rsid w:val="004F6F8B"/>
    <w:rsid w:val="004F7207"/>
    <w:rsid w:val="00506938"/>
    <w:rsid w:val="005106D5"/>
    <w:rsid w:val="00511AEC"/>
    <w:rsid w:val="00513170"/>
    <w:rsid w:val="00515669"/>
    <w:rsid w:val="00520BDB"/>
    <w:rsid w:val="005216C5"/>
    <w:rsid w:val="00533361"/>
    <w:rsid w:val="00534F03"/>
    <w:rsid w:val="00543468"/>
    <w:rsid w:val="0055101A"/>
    <w:rsid w:val="005537C7"/>
    <w:rsid w:val="005538D1"/>
    <w:rsid w:val="00553E39"/>
    <w:rsid w:val="005553E1"/>
    <w:rsid w:val="00564DF6"/>
    <w:rsid w:val="00565B10"/>
    <w:rsid w:val="00566AE7"/>
    <w:rsid w:val="0056797A"/>
    <w:rsid w:val="00572A39"/>
    <w:rsid w:val="00572FEE"/>
    <w:rsid w:val="00574D67"/>
    <w:rsid w:val="00576879"/>
    <w:rsid w:val="005808DC"/>
    <w:rsid w:val="00585B04"/>
    <w:rsid w:val="00585E75"/>
    <w:rsid w:val="00590471"/>
    <w:rsid w:val="00590BA0"/>
    <w:rsid w:val="00595BFE"/>
    <w:rsid w:val="005A0A83"/>
    <w:rsid w:val="005A14BD"/>
    <w:rsid w:val="005A3C81"/>
    <w:rsid w:val="005A52D5"/>
    <w:rsid w:val="005A63BE"/>
    <w:rsid w:val="005B1EB8"/>
    <w:rsid w:val="005B1EED"/>
    <w:rsid w:val="005B2B07"/>
    <w:rsid w:val="005B47C8"/>
    <w:rsid w:val="005B5952"/>
    <w:rsid w:val="005B5FDB"/>
    <w:rsid w:val="005C67BF"/>
    <w:rsid w:val="005D1C49"/>
    <w:rsid w:val="005D521D"/>
    <w:rsid w:val="005D6E1D"/>
    <w:rsid w:val="005E245C"/>
    <w:rsid w:val="005E252A"/>
    <w:rsid w:val="005F1514"/>
    <w:rsid w:val="005F6326"/>
    <w:rsid w:val="005F6500"/>
    <w:rsid w:val="005F7AE1"/>
    <w:rsid w:val="006013DD"/>
    <w:rsid w:val="00601840"/>
    <w:rsid w:val="00603DB9"/>
    <w:rsid w:val="00604D93"/>
    <w:rsid w:val="006104E4"/>
    <w:rsid w:val="006109A2"/>
    <w:rsid w:val="00614499"/>
    <w:rsid w:val="00614FBB"/>
    <w:rsid w:val="006161E2"/>
    <w:rsid w:val="00620A23"/>
    <w:rsid w:val="0062245C"/>
    <w:rsid w:val="00623299"/>
    <w:rsid w:val="00626260"/>
    <w:rsid w:val="006314C7"/>
    <w:rsid w:val="006415DA"/>
    <w:rsid w:val="006422C5"/>
    <w:rsid w:val="006425EE"/>
    <w:rsid w:val="006506DF"/>
    <w:rsid w:val="0065090D"/>
    <w:rsid w:val="00650D93"/>
    <w:rsid w:val="00651E75"/>
    <w:rsid w:val="00654094"/>
    <w:rsid w:val="006576F1"/>
    <w:rsid w:val="00662FE9"/>
    <w:rsid w:val="00664AE3"/>
    <w:rsid w:val="00674C0E"/>
    <w:rsid w:val="0067678D"/>
    <w:rsid w:val="00676B62"/>
    <w:rsid w:val="00683C7B"/>
    <w:rsid w:val="00693096"/>
    <w:rsid w:val="00695F46"/>
    <w:rsid w:val="006A1992"/>
    <w:rsid w:val="006A3A60"/>
    <w:rsid w:val="006A3EC7"/>
    <w:rsid w:val="006A3F5E"/>
    <w:rsid w:val="006A44C3"/>
    <w:rsid w:val="006A66D3"/>
    <w:rsid w:val="006B03F9"/>
    <w:rsid w:val="006B0F38"/>
    <w:rsid w:val="006B28C4"/>
    <w:rsid w:val="006B76AA"/>
    <w:rsid w:val="006B7839"/>
    <w:rsid w:val="006C0671"/>
    <w:rsid w:val="006C097A"/>
    <w:rsid w:val="006C12E6"/>
    <w:rsid w:val="006C1B84"/>
    <w:rsid w:val="006C2457"/>
    <w:rsid w:val="006C38D0"/>
    <w:rsid w:val="006C7465"/>
    <w:rsid w:val="006D4EFD"/>
    <w:rsid w:val="006D6C50"/>
    <w:rsid w:val="006E6FDD"/>
    <w:rsid w:val="006F0F17"/>
    <w:rsid w:val="006F4769"/>
    <w:rsid w:val="006F4955"/>
    <w:rsid w:val="0070089A"/>
    <w:rsid w:val="00700D52"/>
    <w:rsid w:val="00701DCE"/>
    <w:rsid w:val="007070A9"/>
    <w:rsid w:val="00711E01"/>
    <w:rsid w:val="0072041D"/>
    <w:rsid w:val="00721B39"/>
    <w:rsid w:val="007244DA"/>
    <w:rsid w:val="007265E5"/>
    <w:rsid w:val="007333C7"/>
    <w:rsid w:val="00733BD5"/>
    <w:rsid w:val="00733CC5"/>
    <w:rsid w:val="0074188C"/>
    <w:rsid w:val="00747A4C"/>
    <w:rsid w:val="00747E4D"/>
    <w:rsid w:val="0075025F"/>
    <w:rsid w:val="00754ACB"/>
    <w:rsid w:val="00754CFE"/>
    <w:rsid w:val="00754ED1"/>
    <w:rsid w:val="00761C06"/>
    <w:rsid w:val="007715AE"/>
    <w:rsid w:val="007717AD"/>
    <w:rsid w:val="007748A3"/>
    <w:rsid w:val="00775006"/>
    <w:rsid w:val="00775133"/>
    <w:rsid w:val="00775815"/>
    <w:rsid w:val="007759F9"/>
    <w:rsid w:val="00777F45"/>
    <w:rsid w:val="00781F46"/>
    <w:rsid w:val="00786BEA"/>
    <w:rsid w:val="00795022"/>
    <w:rsid w:val="007A54C0"/>
    <w:rsid w:val="007A6845"/>
    <w:rsid w:val="007B1847"/>
    <w:rsid w:val="007B338B"/>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34D0"/>
    <w:rsid w:val="007E6B0D"/>
    <w:rsid w:val="007E6D30"/>
    <w:rsid w:val="007F16F7"/>
    <w:rsid w:val="007F1808"/>
    <w:rsid w:val="00801402"/>
    <w:rsid w:val="008032E5"/>
    <w:rsid w:val="00804792"/>
    <w:rsid w:val="0080516A"/>
    <w:rsid w:val="00811FDA"/>
    <w:rsid w:val="00812BAB"/>
    <w:rsid w:val="00816405"/>
    <w:rsid w:val="00817397"/>
    <w:rsid w:val="00817A49"/>
    <w:rsid w:val="0082757F"/>
    <w:rsid w:val="008334B7"/>
    <w:rsid w:val="008362A2"/>
    <w:rsid w:val="00836C08"/>
    <w:rsid w:val="008374B6"/>
    <w:rsid w:val="00837E6F"/>
    <w:rsid w:val="00844EFA"/>
    <w:rsid w:val="008525E9"/>
    <w:rsid w:val="008532B6"/>
    <w:rsid w:val="00863AA2"/>
    <w:rsid w:val="008657E6"/>
    <w:rsid w:val="00865986"/>
    <w:rsid w:val="00874EF2"/>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FCF"/>
    <w:rsid w:val="008E043E"/>
    <w:rsid w:val="008E2EB9"/>
    <w:rsid w:val="008E3CFF"/>
    <w:rsid w:val="008E4292"/>
    <w:rsid w:val="008E64A1"/>
    <w:rsid w:val="008F15A4"/>
    <w:rsid w:val="008F4287"/>
    <w:rsid w:val="00902D19"/>
    <w:rsid w:val="0091084D"/>
    <w:rsid w:val="00910988"/>
    <w:rsid w:val="00911465"/>
    <w:rsid w:val="00911C0B"/>
    <w:rsid w:val="009123F7"/>
    <w:rsid w:val="009140A4"/>
    <w:rsid w:val="00915A71"/>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3A7F"/>
    <w:rsid w:val="0097784E"/>
    <w:rsid w:val="009839F7"/>
    <w:rsid w:val="00995BCB"/>
    <w:rsid w:val="009A15ED"/>
    <w:rsid w:val="009A1696"/>
    <w:rsid w:val="009A3B64"/>
    <w:rsid w:val="009A72D3"/>
    <w:rsid w:val="009C03B7"/>
    <w:rsid w:val="009C3154"/>
    <w:rsid w:val="009C4717"/>
    <w:rsid w:val="009D052A"/>
    <w:rsid w:val="009D3F0C"/>
    <w:rsid w:val="009D4FAA"/>
    <w:rsid w:val="009E612E"/>
    <w:rsid w:val="009F110C"/>
    <w:rsid w:val="009F3614"/>
    <w:rsid w:val="00A0182D"/>
    <w:rsid w:val="00A01A57"/>
    <w:rsid w:val="00A026DB"/>
    <w:rsid w:val="00A05303"/>
    <w:rsid w:val="00A061DB"/>
    <w:rsid w:val="00A10F44"/>
    <w:rsid w:val="00A11B37"/>
    <w:rsid w:val="00A123E1"/>
    <w:rsid w:val="00A13B66"/>
    <w:rsid w:val="00A140C5"/>
    <w:rsid w:val="00A21512"/>
    <w:rsid w:val="00A23121"/>
    <w:rsid w:val="00A23D22"/>
    <w:rsid w:val="00A316AB"/>
    <w:rsid w:val="00A31C43"/>
    <w:rsid w:val="00A33F25"/>
    <w:rsid w:val="00A34B63"/>
    <w:rsid w:val="00A36B68"/>
    <w:rsid w:val="00A4308C"/>
    <w:rsid w:val="00A43DCD"/>
    <w:rsid w:val="00A43FB8"/>
    <w:rsid w:val="00A44522"/>
    <w:rsid w:val="00A4638B"/>
    <w:rsid w:val="00A50ED5"/>
    <w:rsid w:val="00A57AB7"/>
    <w:rsid w:val="00A61288"/>
    <w:rsid w:val="00A7269D"/>
    <w:rsid w:val="00A733D6"/>
    <w:rsid w:val="00A87062"/>
    <w:rsid w:val="00A95367"/>
    <w:rsid w:val="00A97C22"/>
    <w:rsid w:val="00AA3CB1"/>
    <w:rsid w:val="00AA4C0F"/>
    <w:rsid w:val="00AA756E"/>
    <w:rsid w:val="00AB21ED"/>
    <w:rsid w:val="00AB762E"/>
    <w:rsid w:val="00AC0CA4"/>
    <w:rsid w:val="00AC4ADA"/>
    <w:rsid w:val="00AD2A67"/>
    <w:rsid w:val="00AD492C"/>
    <w:rsid w:val="00AE3C3E"/>
    <w:rsid w:val="00AE3DB8"/>
    <w:rsid w:val="00AE406C"/>
    <w:rsid w:val="00AE5CCA"/>
    <w:rsid w:val="00AF1D94"/>
    <w:rsid w:val="00AF4F5F"/>
    <w:rsid w:val="00AF541D"/>
    <w:rsid w:val="00AF6278"/>
    <w:rsid w:val="00AF63EC"/>
    <w:rsid w:val="00AF6741"/>
    <w:rsid w:val="00AF70A5"/>
    <w:rsid w:val="00B04B40"/>
    <w:rsid w:val="00B05115"/>
    <w:rsid w:val="00B102FD"/>
    <w:rsid w:val="00B11FA5"/>
    <w:rsid w:val="00B12535"/>
    <w:rsid w:val="00B14510"/>
    <w:rsid w:val="00B16EE7"/>
    <w:rsid w:val="00B237AA"/>
    <w:rsid w:val="00B275A3"/>
    <w:rsid w:val="00B27954"/>
    <w:rsid w:val="00B341D4"/>
    <w:rsid w:val="00B40DC6"/>
    <w:rsid w:val="00B41A01"/>
    <w:rsid w:val="00B4629E"/>
    <w:rsid w:val="00B511AE"/>
    <w:rsid w:val="00B52A2C"/>
    <w:rsid w:val="00B56BCF"/>
    <w:rsid w:val="00B63CC3"/>
    <w:rsid w:val="00B64CCA"/>
    <w:rsid w:val="00B67062"/>
    <w:rsid w:val="00B710ED"/>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A0374"/>
    <w:rsid w:val="00BA3DD4"/>
    <w:rsid w:val="00BA6B01"/>
    <w:rsid w:val="00BA6F36"/>
    <w:rsid w:val="00BC0A86"/>
    <w:rsid w:val="00BC2672"/>
    <w:rsid w:val="00BC4E20"/>
    <w:rsid w:val="00BC7EBD"/>
    <w:rsid w:val="00BD564E"/>
    <w:rsid w:val="00BE0184"/>
    <w:rsid w:val="00BE269A"/>
    <w:rsid w:val="00BE3A04"/>
    <w:rsid w:val="00BE5189"/>
    <w:rsid w:val="00BF5DA7"/>
    <w:rsid w:val="00BF7FC3"/>
    <w:rsid w:val="00C0150E"/>
    <w:rsid w:val="00C016BD"/>
    <w:rsid w:val="00C0205D"/>
    <w:rsid w:val="00C022DE"/>
    <w:rsid w:val="00C041A7"/>
    <w:rsid w:val="00C065A4"/>
    <w:rsid w:val="00C06947"/>
    <w:rsid w:val="00C137C9"/>
    <w:rsid w:val="00C14EEB"/>
    <w:rsid w:val="00C1586D"/>
    <w:rsid w:val="00C1723B"/>
    <w:rsid w:val="00C24055"/>
    <w:rsid w:val="00C308DE"/>
    <w:rsid w:val="00C3090A"/>
    <w:rsid w:val="00C31A50"/>
    <w:rsid w:val="00C342E4"/>
    <w:rsid w:val="00C34ABA"/>
    <w:rsid w:val="00C56C0D"/>
    <w:rsid w:val="00C578B5"/>
    <w:rsid w:val="00C60900"/>
    <w:rsid w:val="00C64D18"/>
    <w:rsid w:val="00C67BEE"/>
    <w:rsid w:val="00C67F8C"/>
    <w:rsid w:val="00C71824"/>
    <w:rsid w:val="00C721B2"/>
    <w:rsid w:val="00C75FA7"/>
    <w:rsid w:val="00C84783"/>
    <w:rsid w:val="00C862C2"/>
    <w:rsid w:val="00C87B1B"/>
    <w:rsid w:val="00C921F2"/>
    <w:rsid w:val="00C9280F"/>
    <w:rsid w:val="00C92FAF"/>
    <w:rsid w:val="00CA3506"/>
    <w:rsid w:val="00CA3625"/>
    <w:rsid w:val="00CA4C0D"/>
    <w:rsid w:val="00CA7928"/>
    <w:rsid w:val="00CA7943"/>
    <w:rsid w:val="00CA7A48"/>
    <w:rsid w:val="00CB14BC"/>
    <w:rsid w:val="00CB3BDA"/>
    <w:rsid w:val="00CB4230"/>
    <w:rsid w:val="00CB58B5"/>
    <w:rsid w:val="00CB74DA"/>
    <w:rsid w:val="00CB7C81"/>
    <w:rsid w:val="00CC01F5"/>
    <w:rsid w:val="00CC134E"/>
    <w:rsid w:val="00CD58E7"/>
    <w:rsid w:val="00CD692C"/>
    <w:rsid w:val="00CD6A6B"/>
    <w:rsid w:val="00CD7847"/>
    <w:rsid w:val="00CE08ED"/>
    <w:rsid w:val="00CE7E3F"/>
    <w:rsid w:val="00CF1D37"/>
    <w:rsid w:val="00CF3673"/>
    <w:rsid w:val="00CF654D"/>
    <w:rsid w:val="00CF7126"/>
    <w:rsid w:val="00D0086E"/>
    <w:rsid w:val="00D04A47"/>
    <w:rsid w:val="00D05CCB"/>
    <w:rsid w:val="00D06A17"/>
    <w:rsid w:val="00D07331"/>
    <w:rsid w:val="00D07F58"/>
    <w:rsid w:val="00D11C42"/>
    <w:rsid w:val="00D216FC"/>
    <w:rsid w:val="00D21C31"/>
    <w:rsid w:val="00D24007"/>
    <w:rsid w:val="00D254BD"/>
    <w:rsid w:val="00D322BD"/>
    <w:rsid w:val="00D323EE"/>
    <w:rsid w:val="00D3411C"/>
    <w:rsid w:val="00D3463E"/>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C0FEE"/>
    <w:rsid w:val="00DC47E1"/>
    <w:rsid w:val="00DC4FB3"/>
    <w:rsid w:val="00DD0ABD"/>
    <w:rsid w:val="00DD2CB0"/>
    <w:rsid w:val="00DD35F1"/>
    <w:rsid w:val="00DD7A51"/>
    <w:rsid w:val="00DE58A0"/>
    <w:rsid w:val="00DE70A2"/>
    <w:rsid w:val="00DE7B41"/>
    <w:rsid w:val="00DF09E3"/>
    <w:rsid w:val="00DF1F23"/>
    <w:rsid w:val="00E037FA"/>
    <w:rsid w:val="00E05252"/>
    <w:rsid w:val="00E05C68"/>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44593"/>
    <w:rsid w:val="00E5135E"/>
    <w:rsid w:val="00E56A8D"/>
    <w:rsid w:val="00E61652"/>
    <w:rsid w:val="00E65DC4"/>
    <w:rsid w:val="00E669A2"/>
    <w:rsid w:val="00E670BB"/>
    <w:rsid w:val="00E727DB"/>
    <w:rsid w:val="00E8028E"/>
    <w:rsid w:val="00E8310C"/>
    <w:rsid w:val="00E83914"/>
    <w:rsid w:val="00E8482E"/>
    <w:rsid w:val="00E850A8"/>
    <w:rsid w:val="00E859D9"/>
    <w:rsid w:val="00E87C35"/>
    <w:rsid w:val="00E909E3"/>
    <w:rsid w:val="00EA3251"/>
    <w:rsid w:val="00EA5799"/>
    <w:rsid w:val="00EA5942"/>
    <w:rsid w:val="00EA62B9"/>
    <w:rsid w:val="00EC552D"/>
    <w:rsid w:val="00ED0888"/>
    <w:rsid w:val="00ED1507"/>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6D13"/>
    <w:rsid w:val="00F17B56"/>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87EA0"/>
    <w:rsid w:val="00F91406"/>
    <w:rsid w:val="00F94712"/>
    <w:rsid w:val="00FA297E"/>
    <w:rsid w:val="00FA4D57"/>
    <w:rsid w:val="00FA52F6"/>
    <w:rsid w:val="00FA674E"/>
    <w:rsid w:val="00FA74B6"/>
    <w:rsid w:val="00FB22D2"/>
    <w:rsid w:val="00FB2561"/>
    <w:rsid w:val="00FC15D4"/>
    <w:rsid w:val="00FC1AF2"/>
    <w:rsid w:val="00FC43AA"/>
    <w:rsid w:val="00FC6770"/>
    <w:rsid w:val="00FC6802"/>
    <w:rsid w:val="00FC739C"/>
    <w:rsid w:val="00FD1CF9"/>
    <w:rsid w:val="00FD5668"/>
    <w:rsid w:val="00FD6E10"/>
    <w:rsid w:val="00FD729F"/>
    <w:rsid w:val="00FD7A52"/>
    <w:rsid w:val="00FE3844"/>
    <w:rsid w:val="00FE5ECC"/>
    <w:rsid w:val="00FE600E"/>
    <w:rsid w:val="00FE770D"/>
    <w:rsid w:val="00FF09BC"/>
    <w:rsid w:val="00FF0C20"/>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D4BBD"/>
  <w15:chartTrackingRefBased/>
  <w15:docId w15:val="{0D2958B2-A75D-41D9-91F9-FEFD2E68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5E252A"/>
    <w:pPr>
      <w:spacing w:before="0"/>
      <w:ind w:left="1080"/>
      <w:jc w:val="both"/>
    </w:pPr>
    <w:rPr>
      <w:rFonts w:ascii="Cambria" w:hAnsi="Cambria"/>
      <w:i/>
      <w:color w:val="0432FF"/>
    </w:rPr>
  </w:style>
  <w:style w:type="character" w:customStyle="1" w:styleId="BodyTextIndent3Char">
    <w:name w:val="Body Text Indent 3 Char"/>
    <w:link w:val="BodyTextIndent3"/>
    <w:rsid w:val="005E252A"/>
    <w:rPr>
      <w:rFonts w:ascii="Cambria" w:hAnsi="Cambria"/>
      <w:i/>
      <w:color w:val="0432FF"/>
      <w:sz w:val="24"/>
      <w:szCs w:val="24"/>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link w:val="BalloonTextChar"/>
    <w:rsid w:val="002C3E94"/>
    <w:pPr>
      <w:spacing w:before="0"/>
    </w:pPr>
    <w:rPr>
      <w:rFonts w:ascii="Tahoma" w:hAnsi="Tahoma" w:cs="Tahoma"/>
      <w:sz w:val="16"/>
      <w:szCs w:val="16"/>
    </w:rPr>
  </w:style>
  <w:style w:type="character" w:customStyle="1" w:styleId="BalloonTextChar">
    <w:name w:val="Balloon Text Char"/>
    <w:link w:val="BalloonText"/>
    <w:rsid w:val="002C3E94"/>
    <w:rPr>
      <w:rFonts w:ascii="Tahoma" w:hAnsi="Tahoma" w:cs="Tahoma"/>
      <w:sz w:val="16"/>
      <w:szCs w:val="16"/>
    </w:rPr>
  </w:style>
  <w:style w:type="character" w:styleId="Hyperlink">
    <w:name w:val="Hyperlink"/>
    <w:rsid w:val="00182B4A"/>
    <w:rPr>
      <w:color w:val="0000FF"/>
      <w:u w:val="single"/>
    </w:rPr>
  </w:style>
  <w:style w:type="character" w:styleId="FollowedHyperlink">
    <w:name w:val="FollowedHyperlink"/>
    <w:rsid w:val="00AF70A5"/>
    <w:rPr>
      <w:color w:val="800080"/>
      <w:u w:val="single"/>
    </w:rPr>
  </w:style>
  <w:style w:type="character" w:styleId="UnresolvedMention">
    <w:name w:val="Unresolved Mention"/>
    <w:uiPriority w:val="99"/>
    <w:semiHidden/>
    <w:unhideWhenUsed/>
    <w:rsid w:val="00353A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11/53G-11-S50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utah.gov/xcode/Title53G/Chapter11/53G-11-S507.html?v=C53G-11-S507_20180124201801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utah.gov/xcode/Title52/Chapter4/52-4-S205.html?v=C52-4-S205_2014040320140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Legal Defense of Employees</vt:lpstr>
    </vt:vector>
  </TitlesOfParts>
  <Company>Utah School Boards Association</Company>
  <LinksUpToDate>false</LinksUpToDate>
  <CharactersWithSpaces>10170</CharactersWithSpaces>
  <SharedDoc>false</SharedDoc>
  <HLinks>
    <vt:vector size="18" baseType="variant">
      <vt:variant>
        <vt:i4>1769581</vt:i4>
      </vt:variant>
      <vt:variant>
        <vt:i4>6</vt:i4>
      </vt:variant>
      <vt:variant>
        <vt:i4>0</vt:i4>
      </vt:variant>
      <vt:variant>
        <vt:i4>5</vt:i4>
      </vt:variant>
      <vt:variant>
        <vt:lpwstr>http://le.utah.gov/xcode/Title52/Chapter4/52-4-S205.html?v=C52-4-S205_2014040320140329</vt:lpwstr>
      </vt:variant>
      <vt:variant>
        <vt:lpwstr/>
      </vt:variant>
      <vt:variant>
        <vt:i4>131153</vt:i4>
      </vt:variant>
      <vt:variant>
        <vt:i4>3</vt:i4>
      </vt:variant>
      <vt:variant>
        <vt:i4>0</vt:i4>
      </vt:variant>
      <vt:variant>
        <vt:i4>5</vt:i4>
      </vt:variant>
      <vt:variant>
        <vt:lpwstr>https://le.utah.gov/xcode/Title53G/Chapter11/53G-11-S508.html</vt:lpwstr>
      </vt:variant>
      <vt:variant>
        <vt:lpwstr/>
      </vt:variant>
      <vt:variant>
        <vt:i4>4390959</vt:i4>
      </vt:variant>
      <vt:variant>
        <vt:i4>0</vt:i4>
      </vt:variant>
      <vt:variant>
        <vt:i4>0</vt:i4>
      </vt:variant>
      <vt:variant>
        <vt:i4>5</vt:i4>
      </vt:variant>
      <vt:variant>
        <vt:lpwstr>https://le.utah.gov/xcode/Title53G/Chapter11/53G-11-S507.html?v=C53G-11-S507_2018012420180124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dc:title>
  <dc:subject/>
  <dc:creator>Patrick L. Tanner</dc:creator>
  <cp:keywords/>
  <cp:lastModifiedBy>Microsoft Office User</cp:lastModifiedBy>
  <cp:revision>2</cp:revision>
  <cp:lastPrinted>2022-01-04T19:29:00Z</cp:lastPrinted>
  <dcterms:created xsi:type="dcterms:W3CDTF">2022-11-18T16:46:00Z</dcterms:created>
  <dcterms:modified xsi:type="dcterms:W3CDTF">2022-11-18T16:46:00Z</dcterms:modified>
</cp:coreProperties>
</file>