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A4D9" w14:textId="15D3DCD8" w:rsidR="00086366" w:rsidRDefault="00BC0998" w:rsidP="00E460CE">
      <w:pPr>
        <w:jc w:val="center"/>
        <w:rPr>
          <w:b/>
          <w:bCs/>
          <w:u w:val="single"/>
        </w:rPr>
      </w:pPr>
      <w:r>
        <w:rPr>
          <w:b/>
          <w:bCs/>
          <w:u w:val="single"/>
        </w:rPr>
        <w:t>Residential Mobile Home Zone</w:t>
      </w:r>
      <w:r w:rsidR="4A348088" w:rsidRPr="00600E5B">
        <w:rPr>
          <w:b/>
          <w:bCs/>
          <w:u w:val="single"/>
        </w:rPr>
        <w:t xml:space="preserve"> – Staff Summary</w:t>
      </w:r>
    </w:p>
    <w:p w14:paraId="5B55C489" w14:textId="1B7018F8" w:rsidR="00E460CE" w:rsidRDefault="00E460CE" w:rsidP="009B7098">
      <w:pPr>
        <w:jc w:val="both"/>
      </w:pPr>
      <w:r w:rsidRPr="03553F2D">
        <w:rPr>
          <w:b/>
          <w:bCs/>
        </w:rPr>
        <w:t>Purpose:</w:t>
      </w:r>
      <w:r>
        <w:t xml:space="preserve"> Magna has an existing mobile home park on 8400 West and a parcel near the Pleasant Green Cemetery that is zoned for a mobile home park. </w:t>
      </w:r>
      <w:r w:rsidR="000A509C">
        <w:t>Mobile Home</w:t>
      </w:r>
      <w:r w:rsidR="00806F66">
        <w:t xml:space="preserve"> Parks and Subdivisions</w:t>
      </w:r>
      <w:r w:rsidR="00D147C1">
        <w:t xml:space="preserve"> can offer an important form of </w:t>
      </w:r>
      <w:r w:rsidR="003E1143">
        <w:t>affordable housing for many residents. T</w:t>
      </w:r>
      <w:r w:rsidR="0075645E">
        <w:t xml:space="preserve">here are </w:t>
      </w:r>
      <w:r w:rsidR="006452D6">
        <w:t>unique aspects</w:t>
      </w:r>
      <w:r w:rsidR="0075645E">
        <w:t xml:space="preserve"> of these uses</w:t>
      </w:r>
      <w:r w:rsidR="000A702A">
        <w:t xml:space="preserve">, such as </w:t>
      </w:r>
      <w:r w:rsidR="006452D6">
        <w:t>the need for communal park upkeep,</w:t>
      </w:r>
      <w:r w:rsidR="0075645E">
        <w:t xml:space="preserve"> that must be</w:t>
      </w:r>
      <w:r w:rsidR="006452D6">
        <w:t xml:space="preserve"> addressed through zoning.</w:t>
      </w:r>
      <w:r w:rsidR="00775613">
        <w:t xml:space="preserve"> This draft Chapter </w:t>
      </w:r>
      <w:r w:rsidR="000074A9">
        <w:t>retains regulations from the existing code but reformats them to be more user-friendly.</w:t>
      </w:r>
    </w:p>
    <w:p w14:paraId="27E95BAB" w14:textId="05B2E655" w:rsidR="0006287A" w:rsidRDefault="0006287A" w:rsidP="009B7098">
      <w:pPr>
        <w:jc w:val="both"/>
      </w:pPr>
      <w:r w:rsidRPr="03553F2D">
        <w:rPr>
          <w:b/>
          <w:bCs/>
        </w:rPr>
        <w:t>Applicability:</w:t>
      </w:r>
      <w:r>
        <w:t xml:space="preserve"> The RMH Zone is intended for the existing mobile home park in Magna. With the possible exception of the parcels near the cemetery, other areas in the community may not appropriate for this designation.</w:t>
      </w:r>
    </w:p>
    <w:p w14:paraId="6E935618" w14:textId="0698826F" w:rsidR="00A34C68" w:rsidRPr="007F1DF7" w:rsidRDefault="00A34C68" w:rsidP="009B7098">
      <w:pPr>
        <w:jc w:val="both"/>
        <w:rPr>
          <w:b/>
          <w:bCs/>
        </w:rPr>
      </w:pPr>
      <w:r w:rsidRPr="007F1DF7">
        <w:rPr>
          <w:b/>
          <w:bCs/>
        </w:rPr>
        <w:t>Outlined Changes:</w:t>
      </w:r>
    </w:p>
    <w:p w14:paraId="145A2F70" w14:textId="5504935E" w:rsidR="00A34C68" w:rsidRDefault="007F1DF7" w:rsidP="00CC27BB">
      <w:pPr>
        <w:pStyle w:val="ListParagraph"/>
        <w:numPr>
          <w:ilvl w:val="0"/>
          <w:numId w:val="13"/>
        </w:numPr>
        <w:contextualSpacing w:val="0"/>
        <w:jc w:val="both"/>
      </w:pPr>
      <w:r>
        <w:t>Sections were re-formatted for readability and consistency with other drafted chapters.</w:t>
      </w:r>
    </w:p>
    <w:p w14:paraId="3131FCC4" w14:textId="1A128EF0" w:rsidR="00FB4E05" w:rsidRDefault="00FB4E05" w:rsidP="00CC27BB">
      <w:pPr>
        <w:pStyle w:val="ListParagraph"/>
        <w:numPr>
          <w:ilvl w:val="0"/>
          <w:numId w:val="13"/>
        </w:numPr>
        <w:contextualSpacing w:val="0"/>
        <w:jc w:val="both"/>
      </w:pPr>
      <w:r>
        <w:t>The “Purpose of Provisions” section was expanded.</w:t>
      </w:r>
    </w:p>
    <w:p w14:paraId="40468896" w14:textId="243BE633" w:rsidR="007F1DF7" w:rsidRDefault="00790DEA" w:rsidP="00CC27BB">
      <w:pPr>
        <w:pStyle w:val="ListParagraph"/>
        <w:numPr>
          <w:ilvl w:val="0"/>
          <w:numId w:val="13"/>
        </w:numPr>
        <w:contextualSpacing w:val="0"/>
        <w:jc w:val="both"/>
      </w:pPr>
      <w:r>
        <w:t xml:space="preserve">The following uses were added </w:t>
      </w:r>
      <w:r w:rsidR="00424929">
        <w:t>as permitted or conditional in the Zone</w:t>
      </w:r>
      <w:r>
        <w:t>:</w:t>
      </w:r>
      <w:r w:rsidR="00424929">
        <w:t xml:space="preserve"> Community Garden, Public Park, </w:t>
      </w:r>
      <w:proofErr w:type="spellStart"/>
      <w:r w:rsidR="00424929">
        <w:t>Micromobility</w:t>
      </w:r>
      <w:proofErr w:type="spellEnd"/>
      <w:r w:rsidR="00424929">
        <w:t xml:space="preserve"> Infrastructure, </w:t>
      </w:r>
      <w:r w:rsidR="00AA71CA">
        <w:t xml:space="preserve">and </w:t>
      </w:r>
      <w:r w:rsidR="00424929">
        <w:t>Solar and Wind Systems – Accessory</w:t>
      </w:r>
      <w:r w:rsidR="00AA71CA">
        <w:t>.</w:t>
      </w:r>
      <w:r w:rsidR="00424929">
        <w:t xml:space="preserve"> </w:t>
      </w:r>
      <w:r>
        <w:t xml:space="preserve"> </w:t>
      </w:r>
    </w:p>
    <w:p w14:paraId="56A15739" w14:textId="77777777" w:rsidR="007F1DF7" w:rsidRPr="00E460CE" w:rsidRDefault="007F1DF7" w:rsidP="009B7098">
      <w:pPr>
        <w:jc w:val="both"/>
      </w:pPr>
    </w:p>
    <w:p w14:paraId="36266FD0" w14:textId="77777777" w:rsidR="00C31C5A" w:rsidRDefault="00C31C5A" w:rsidP="4A348088"/>
    <w:p w14:paraId="381D9769" w14:textId="62466166" w:rsidR="00C31C5A" w:rsidRDefault="00C31C5A">
      <w:r>
        <w:br w:type="page"/>
      </w:r>
    </w:p>
    <w:sdt>
      <w:sdtPr>
        <w:rPr>
          <w:rFonts w:asciiTheme="minorHAnsi" w:eastAsiaTheme="minorHAnsi" w:hAnsiTheme="minorHAnsi" w:cstheme="minorBidi"/>
          <w:color w:val="auto"/>
          <w:sz w:val="22"/>
          <w:szCs w:val="22"/>
        </w:rPr>
        <w:id w:val="464759662"/>
        <w:docPartObj>
          <w:docPartGallery w:val="Table of Contents"/>
          <w:docPartUnique/>
        </w:docPartObj>
      </w:sdtPr>
      <w:sdtEndPr/>
      <w:sdtContent>
        <w:p w14:paraId="32E8464D" w14:textId="023E28B7" w:rsidR="00453E9D" w:rsidRDefault="00453E9D">
          <w:pPr>
            <w:pStyle w:val="TOCHeading"/>
          </w:pPr>
          <w:r>
            <w:t>Chapter 19.</w:t>
          </w:r>
          <w:r w:rsidR="1E3BCDCB">
            <w:t>40</w:t>
          </w:r>
          <w:r>
            <w:t xml:space="preserve"> Contents</w:t>
          </w:r>
        </w:p>
        <w:p w14:paraId="26B47E8B" w14:textId="43D950DD" w:rsidR="00453E9D" w:rsidRDefault="00453E9D" w:rsidP="4C20040D">
          <w:pPr>
            <w:pStyle w:val="TOC2"/>
            <w:tabs>
              <w:tab w:val="right" w:leader="dot" w:pos="9360"/>
            </w:tabs>
            <w:rPr>
              <w:noProof/>
            </w:rPr>
          </w:pPr>
          <w:r>
            <w:fldChar w:fldCharType="begin"/>
          </w:r>
          <w:r>
            <w:instrText>TOC \o "1-3" \h \z \u</w:instrText>
          </w:r>
          <w:r>
            <w:fldChar w:fldCharType="separate"/>
          </w:r>
          <w:hyperlink w:anchor="_Toc83549575">
            <w:r w:rsidR="4C20040D" w:rsidRPr="4C20040D">
              <w:rPr>
                <w:rStyle w:val="Hyperlink"/>
              </w:rPr>
              <w:t>19.40.010 – Purpose of Provisions.</w:t>
            </w:r>
            <w:r>
              <w:tab/>
            </w:r>
            <w:r>
              <w:fldChar w:fldCharType="begin"/>
            </w:r>
            <w:r>
              <w:instrText>PAGEREF _Toc83549575 \h</w:instrText>
            </w:r>
            <w:r>
              <w:fldChar w:fldCharType="separate"/>
            </w:r>
            <w:r w:rsidR="4C20040D" w:rsidRPr="4C20040D">
              <w:rPr>
                <w:rStyle w:val="Hyperlink"/>
              </w:rPr>
              <w:t>2</w:t>
            </w:r>
            <w:r>
              <w:fldChar w:fldCharType="end"/>
            </w:r>
          </w:hyperlink>
        </w:p>
        <w:p w14:paraId="756758AF" w14:textId="1D333F2A" w:rsidR="00453E9D" w:rsidRDefault="00EB43A6" w:rsidP="4C20040D">
          <w:pPr>
            <w:pStyle w:val="TOC2"/>
            <w:tabs>
              <w:tab w:val="right" w:leader="dot" w:pos="9360"/>
            </w:tabs>
            <w:rPr>
              <w:noProof/>
            </w:rPr>
          </w:pPr>
          <w:hyperlink w:anchor="_Toc137680347">
            <w:r w:rsidR="4C20040D" w:rsidRPr="4C20040D">
              <w:rPr>
                <w:rStyle w:val="Hyperlink"/>
              </w:rPr>
              <w:t>19.40.020 – Scope.</w:t>
            </w:r>
            <w:r w:rsidR="00453E9D">
              <w:tab/>
            </w:r>
            <w:r w:rsidR="00453E9D">
              <w:fldChar w:fldCharType="begin"/>
            </w:r>
            <w:r w:rsidR="00453E9D">
              <w:instrText>PAGEREF _Toc137680347 \h</w:instrText>
            </w:r>
            <w:r w:rsidR="00453E9D">
              <w:fldChar w:fldCharType="separate"/>
            </w:r>
            <w:r w:rsidR="4C20040D" w:rsidRPr="4C20040D">
              <w:rPr>
                <w:rStyle w:val="Hyperlink"/>
              </w:rPr>
              <w:t>2</w:t>
            </w:r>
            <w:r w:rsidR="00453E9D">
              <w:fldChar w:fldCharType="end"/>
            </w:r>
          </w:hyperlink>
        </w:p>
        <w:p w14:paraId="18C228A3" w14:textId="3E802093" w:rsidR="00453E9D" w:rsidRDefault="00EB43A6" w:rsidP="4C20040D">
          <w:pPr>
            <w:pStyle w:val="TOC2"/>
            <w:tabs>
              <w:tab w:val="right" w:leader="dot" w:pos="9360"/>
            </w:tabs>
            <w:rPr>
              <w:noProof/>
            </w:rPr>
          </w:pPr>
          <w:hyperlink w:anchor="_Toc385876007">
            <w:r w:rsidR="4C20040D" w:rsidRPr="4C20040D">
              <w:rPr>
                <w:rStyle w:val="Hyperlink"/>
              </w:rPr>
              <w:t>19.40.030 – Schedule of Permitted Uses.</w:t>
            </w:r>
            <w:r w:rsidR="00453E9D">
              <w:tab/>
            </w:r>
            <w:r w:rsidR="00453E9D">
              <w:fldChar w:fldCharType="begin"/>
            </w:r>
            <w:r w:rsidR="00453E9D">
              <w:instrText>PAGEREF _Toc385876007 \h</w:instrText>
            </w:r>
            <w:r w:rsidR="00453E9D">
              <w:fldChar w:fldCharType="separate"/>
            </w:r>
            <w:r w:rsidR="4C20040D" w:rsidRPr="4C20040D">
              <w:rPr>
                <w:rStyle w:val="Hyperlink"/>
              </w:rPr>
              <w:t>2</w:t>
            </w:r>
            <w:r w:rsidR="00453E9D">
              <w:fldChar w:fldCharType="end"/>
            </w:r>
          </w:hyperlink>
        </w:p>
        <w:p w14:paraId="6B9DC0D1" w14:textId="54D3EA1C" w:rsidR="00453E9D" w:rsidRDefault="00EB43A6" w:rsidP="4C20040D">
          <w:pPr>
            <w:pStyle w:val="TOC2"/>
            <w:tabs>
              <w:tab w:val="right" w:leader="dot" w:pos="9360"/>
            </w:tabs>
            <w:rPr>
              <w:noProof/>
            </w:rPr>
          </w:pPr>
          <w:hyperlink w:anchor="_Toc514227118">
            <w:r w:rsidR="4C20040D" w:rsidRPr="4C20040D">
              <w:rPr>
                <w:rStyle w:val="Hyperlink"/>
              </w:rPr>
              <w:t>19.40.040 – Development Standards and Required Yards and Setbacks.</w:t>
            </w:r>
            <w:r w:rsidR="00453E9D">
              <w:tab/>
            </w:r>
            <w:r w:rsidR="00453E9D">
              <w:fldChar w:fldCharType="begin"/>
            </w:r>
            <w:r w:rsidR="00453E9D">
              <w:instrText>PAGEREF _Toc514227118 \h</w:instrText>
            </w:r>
            <w:r w:rsidR="00453E9D">
              <w:fldChar w:fldCharType="separate"/>
            </w:r>
            <w:r w:rsidR="4C20040D" w:rsidRPr="4C20040D">
              <w:rPr>
                <w:rStyle w:val="Hyperlink"/>
              </w:rPr>
              <w:t>3</w:t>
            </w:r>
            <w:r w:rsidR="00453E9D">
              <w:fldChar w:fldCharType="end"/>
            </w:r>
          </w:hyperlink>
        </w:p>
        <w:p w14:paraId="1DFAF655" w14:textId="7974718B" w:rsidR="00453E9D" w:rsidRDefault="00EB43A6" w:rsidP="4C20040D">
          <w:pPr>
            <w:pStyle w:val="TOC2"/>
            <w:tabs>
              <w:tab w:val="right" w:leader="dot" w:pos="9360"/>
            </w:tabs>
            <w:rPr>
              <w:noProof/>
            </w:rPr>
          </w:pPr>
          <w:hyperlink w:anchor="_Toc1299364443">
            <w:r w:rsidR="4C20040D" w:rsidRPr="4C20040D">
              <w:rPr>
                <w:rStyle w:val="Hyperlink"/>
              </w:rPr>
              <w:t>19.40.050 – Mobile Home Parks and Subdivisions, Standards and Review.</w:t>
            </w:r>
            <w:r w:rsidR="00453E9D">
              <w:tab/>
            </w:r>
            <w:r w:rsidR="00453E9D">
              <w:fldChar w:fldCharType="begin"/>
            </w:r>
            <w:r w:rsidR="00453E9D">
              <w:instrText>PAGEREF _Toc1299364443 \h</w:instrText>
            </w:r>
            <w:r w:rsidR="00453E9D">
              <w:fldChar w:fldCharType="separate"/>
            </w:r>
            <w:r w:rsidR="4C20040D" w:rsidRPr="4C20040D">
              <w:rPr>
                <w:rStyle w:val="Hyperlink"/>
              </w:rPr>
              <w:t>4</w:t>
            </w:r>
            <w:r w:rsidR="00453E9D">
              <w:fldChar w:fldCharType="end"/>
            </w:r>
          </w:hyperlink>
        </w:p>
        <w:p w14:paraId="3FC8DDA4" w14:textId="3FD3C0F5" w:rsidR="00453E9D" w:rsidRDefault="00EB43A6" w:rsidP="4C20040D">
          <w:pPr>
            <w:pStyle w:val="TOC2"/>
            <w:tabs>
              <w:tab w:val="right" w:leader="dot" w:pos="9360"/>
            </w:tabs>
            <w:rPr>
              <w:noProof/>
            </w:rPr>
          </w:pPr>
          <w:hyperlink w:anchor="_Toc1399109555">
            <w:r w:rsidR="4C20040D" w:rsidRPr="4C20040D">
              <w:rPr>
                <w:rStyle w:val="Hyperlink"/>
              </w:rPr>
              <w:t>19.40.060 – General Information.</w:t>
            </w:r>
            <w:r w:rsidR="00453E9D">
              <w:tab/>
            </w:r>
            <w:r w:rsidR="00453E9D">
              <w:fldChar w:fldCharType="begin"/>
            </w:r>
            <w:r w:rsidR="00453E9D">
              <w:instrText>PAGEREF _Toc1399109555 \h</w:instrText>
            </w:r>
            <w:r w:rsidR="00453E9D">
              <w:fldChar w:fldCharType="separate"/>
            </w:r>
            <w:r w:rsidR="4C20040D" w:rsidRPr="4C20040D">
              <w:rPr>
                <w:rStyle w:val="Hyperlink"/>
              </w:rPr>
              <w:t>4</w:t>
            </w:r>
            <w:r w:rsidR="00453E9D">
              <w:fldChar w:fldCharType="end"/>
            </w:r>
          </w:hyperlink>
          <w:r w:rsidR="00453E9D">
            <w:fldChar w:fldCharType="end"/>
          </w:r>
        </w:p>
      </w:sdtContent>
    </w:sdt>
    <w:p w14:paraId="490070A3" w14:textId="76C94439" w:rsidR="00453E9D" w:rsidRPr="00E35869" w:rsidRDefault="00453E9D" w:rsidP="00E35869"/>
    <w:p w14:paraId="4113601E" w14:textId="16AD0812" w:rsidR="00C31C5A" w:rsidRPr="00E904A7" w:rsidRDefault="001C07BD" w:rsidP="00E904A7">
      <w:pPr>
        <w:jc w:val="center"/>
        <w:rPr>
          <w:b/>
          <w:bCs/>
          <w:sz w:val="28"/>
          <w:szCs w:val="28"/>
        </w:rPr>
      </w:pPr>
      <w:r w:rsidRPr="4C20040D">
        <w:rPr>
          <w:b/>
          <w:bCs/>
          <w:sz w:val="28"/>
          <w:szCs w:val="28"/>
        </w:rPr>
        <w:t>Chapter 19.</w:t>
      </w:r>
      <w:r w:rsidR="584EB677" w:rsidRPr="4C20040D">
        <w:rPr>
          <w:b/>
          <w:bCs/>
          <w:sz w:val="28"/>
          <w:szCs w:val="28"/>
        </w:rPr>
        <w:t>40</w:t>
      </w:r>
      <w:r w:rsidRPr="4C20040D">
        <w:rPr>
          <w:b/>
          <w:bCs/>
          <w:sz w:val="28"/>
          <w:szCs w:val="28"/>
        </w:rPr>
        <w:t xml:space="preserve">: </w:t>
      </w:r>
      <w:r w:rsidR="00BC0998" w:rsidRPr="4C20040D">
        <w:rPr>
          <w:b/>
          <w:bCs/>
          <w:sz w:val="28"/>
          <w:szCs w:val="28"/>
        </w:rPr>
        <w:t>Residential Mobile Home Zone</w:t>
      </w:r>
    </w:p>
    <w:p w14:paraId="7F28F383" w14:textId="4D2D2CC5" w:rsidR="001C07BD" w:rsidRPr="00DC4938" w:rsidRDefault="001C07BD" w:rsidP="00E904A7">
      <w:pPr>
        <w:jc w:val="center"/>
        <w:rPr>
          <w:color w:val="FF0000"/>
          <w:sz w:val="24"/>
          <w:szCs w:val="24"/>
        </w:rPr>
      </w:pPr>
      <w:r w:rsidRPr="4C20040D">
        <w:rPr>
          <w:color w:val="FF0000"/>
          <w:sz w:val="24"/>
          <w:szCs w:val="24"/>
        </w:rPr>
        <w:t xml:space="preserve">DRAFT for Review Purposes Only – </w:t>
      </w:r>
      <w:r w:rsidR="00DC4938" w:rsidRPr="4C20040D">
        <w:rPr>
          <w:color w:val="FF0000"/>
          <w:sz w:val="24"/>
          <w:szCs w:val="24"/>
        </w:rPr>
        <w:t>August 2nd</w:t>
      </w:r>
      <w:r w:rsidRPr="4C20040D">
        <w:rPr>
          <w:color w:val="FF0000"/>
          <w:sz w:val="24"/>
          <w:szCs w:val="24"/>
        </w:rPr>
        <w:t>, 2022</w:t>
      </w:r>
    </w:p>
    <w:p w14:paraId="0434FAEC" w14:textId="02995440" w:rsidR="26435690" w:rsidRDefault="26435690" w:rsidP="4C20040D">
      <w:pPr>
        <w:jc w:val="center"/>
        <w:rPr>
          <w:color w:val="FF0000"/>
          <w:sz w:val="24"/>
          <w:szCs w:val="24"/>
        </w:rPr>
      </w:pPr>
      <w:r w:rsidRPr="4C20040D">
        <w:rPr>
          <w:color w:val="FF0000"/>
          <w:sz w:val="24"/>
          <w:szCs w:val="24"/>
        </w:rPr>
        <w:t>Magna’s Stated intent is that this Chapter be Eliminated. The few parcels that are currently zoned Residential Mobile Home must first be rezoned</w:t>
      </w:r>
      <w:r w:rsidR="757272FD" w:rsidRPr="4C20040D">
        <w:rPr>
          <w:color w:val="FF0000"/>
          <w:sz w:val="24"/>
          <w:szCs w:val="24"/>
        </w:rPr>
        <w:t>.</w:t>
      </w:r>
    </w:p>
    <w:p w14:paraId="43B0BD68" w14:textId="1B31EC50" w:rsidR="001C07BD" w:rsidRPr="00E904A7" w:rsidRDefault="001C07BD" w:rsidP="4A348088">
      <w:pPr>
        <w:rPr>
          <w:b/>
          <w:bCs/>
        </w:rPr>
      </w:pPr>
      <w:r w:rsidRPr="00E904A7">
        <w:rPr>
          <w:b/>
          <w:bCs/>
        </w:rPr>
        <w:t>Sections:</w:t>
      </w:r>
    </w:p>
    <w:p w14:paraId="6ADACB6F" w14:textId="0101C6E2" w:rsidR="001C07BD" w:rsidRPr="005C37F9" w:rsidRDefault="001C07BD" w:rsidP="005C37F9">
      <w:pPr>
        <w:pStyle w:val="Heading2"/>
      </w:pPr>
      <w:bookmarkStart w:id="0" w:name="_Toc83549575"/>
      <w:r>
        <w:t>19.</w:t>
      </w:r>
      <w:r w:rsidR="577B1B33">
        <w:t>40</w:t>
      </w:r>
      <w:r>
        <w:t>.010 – Purpose of Provisions.</w:t>
      </w:r>
      <w:bookmarkEnd w:id="0"/>
    </w:p>
    <w:p w14:paraId="6D8A4087" w14:textId="1167C23B" w:rsidR="00AC1780" w:rsidRDefault="00AC1780" w:rsidP="00074044">
      <w:pPr>
        <w:jc w:val="both"/>
      </w:pPr>
      <w:r w:rsidRPr="00AC1780">
        <w:t xml:space="preserve">The purpose of the </w:t>
      </w:r>
      <w:r>
        <w:t>Residential Mobile Home Zone</w:t>
      </w:r>
      <w:r w:rsidR="00BF4A30">
        <w:t xml:space="preserve"> (</w:t>
      </w:r>
      <w:r w:rsidR="00142117">
        <w:t>“</w:t>
      </w:r>
      <w:r w:rsidR="00BF4A30">
        <w:t>RMH</w:t>
      </w:r>
      <w:r w:rsidR="00142117">
        <w:t>”</w:t>
      </w:r>
      <w:r w:rsidR="00BF4A30">
        <w:t>)</w:t>
      </w:r>
      <w:r w:rsidRPr="00AC1780">
        <w:t xml:space="preserve"> is to provide appropriate areas for </w:t>
      </w:r>
      <w:r w:rsidR="00BF4A30">
        <w:t xml:space="preserve">the </w:t>
      </w:r>
      <w:r w:rsidRPr="00AC1780">
        <w:t xml:space="preserve">development </w:t>
      </w:r>
      <w:r w:rsidR="00BF4A30">
        <w:t xml:space="preserve">and preservation </w:t>
      </w:r>
      <w:r w:rsidRPr="00AC1780">
        <w:t>of mobile home parks and mobile home subdivisions</w:t>
      </w:r>
      <w:r w:rsidR="00BF4A30">
        <w:t xml:space="preserve">. The use and development standards in this Chapter are intended to provide for housing choice and affordability while </w:t>
      </w:r>
      <w:r w:rsidR="00074044">
        <w:t>ensuring that mobile home parks and subdivisions are harmonious with surrounding development.</w:t>
      </w:r>
    </w:p>
    <w:p w14:paraId="4275043F" w14:textId="06120223" w:rsidR="001C07BD" w:rsidRPr="00E904A7" w:rsidRDefault="001C07BD" w:rsidP="005C37F9">
      <w:pPr>
        <w:pStyle w:val="Heading2"/>
      </w:pPr>
      <w:bookmarkStart w:id="1" w:name="_Toc137680347"/>
      <w:r>
        <w:t>19.</w:t>
      </w:r>
      <w:r w:rsidR="02E87132">
        <w:t>40</w:t>
      </w:r>
      <w:r>
        <w:t xml:space="preserve">.020 – Scope. </w:t>
      </w:r>
      <w:bookmarkEnd w:id="1"/>
    </w:p>
    <w:p w14:paraId="0B45B840" w14:textId="54931A0A" w:rsidR="00454CAC" w:rsidRDefault="009278C7" w:rsidP="009278C7">
      <w:pPr>
        <w:jc w:val="both"/>
      </w:pPr>
      <w:r w:rsidRPr="009278C7">
        <w:t xml:space="preserve">The provisions of this </w:t>
      </w:r>
      <w:r>
        <w:t>C</w:t>
      </w:r>
      <w:r w:rsidRPr="009278C7">
        <w:t xml:space="preserve">hapter apply to any real property located in a </w:t>
      </w:r>
      <w:r w:rsidR="00074044">
        <w:t>RMH Zone</w:t>
      </w:r>
      <w:r w:rsidRPr="009278C7">
        <w:t xml:space="preserve"> as shown on the official zoning map. No building, structure or real property shall be used, and no building or structure shall be hereafter erected, </w:t>
      </w:r>
      <w:proofErr w:type="gramStart"/>
      <w:r w:rsidRPr="009278C7">
        <w:t>structurally</w:t>
      </w:r>
      <w:proofErr w:type="gramEnd"/>
      <w:r w:rsidRPr="009278C7">
        <w:t xml:space="preserve"> or substantially altered, or enlarged except as set forth in this </w:t>
      </w:r>
      <w:r>
        <w:t>C</w:t>
      </w:r>
      <w:r w:rsidRPr="009278C7">
        <w:t xml:space="preserve">hapter. Such requirements shall not be construed to prohibit or limit other applicable provisions of this </w:t>
      </w:r>
      <w:r w:rsidR="00D66A5D">
        <w:t>T</w:t>
      </w:r>
      <w:r w:rsidRPr="009278C7">
        <w:t>itle, this code, or other laws.</w:t>
      </w:r>
    </w:p>
    <w:p w14:paraId="5C8DE2D6" w14:textId="382C02AF" w:rsidR="00454CAC" w:rsidRPr="00E904A7" w:rsidRDefault="00454CAC" w:rsidP="005C37F9">
      <w:pPr>
        <w:pStyle w:val="Heading2"/>
      </w:pPr>
      <w:bookmarkStart w:id="2" w:name="_Toc385876007"/>
      <w:r>
        <w:t>19.</w:t>
      </w:r>
      <w:r w:rsidR="4E87F6FD">
        <w:t>40</w:t>
      </w:r>
      <w:r>
        <w:t>.030 – Schedule of Permitted Uses.</w:t>
      </w:r>
      <w:bookmarkEnd w:id="2"/>
    </w:p>
    <w:p w14:paraId="62539C49" w14:textId="77777777" w:rsidR="00F6324E" w:rsidRPr="00F6324E" w:rsidRDefault="00F6324E" w:rsidP="00716F7A">
      <w:pPr>
        <w:pStyle w:val="ListParagraph"/>
        <w:numPr>
          <w:ilvl w:val="0"/>
          <w:numId w:val="14"/>
        </w:numPr>
        <w:spacing w:after="120"/>
        <w:contextualSpacing w:val="0"/>
        <w:jc w:val="both"/>
      </w:pPr>
      <w:r w:rsidRPr="00716F7A">
        <w:rPr>
          <w:u w:val="single"/>
        </w:rPr>
        <w:t>Schedule of Permitted Uses.</w:t>
      </w:r>
      <w:r w:rsidRPr="00F6324E">
        <w:t xml:space="preserve"> The specific uses listed in the following schedule are permitted in the zones as indicated, subject to the general provisions, special conditions, additional restrictions, and exceptions set forth in this Title.     </w:t>
      </w:r>
    </w:p>
    <w:p w14:paraId="3C9F7AB4" w14:textId="66C89E24" w:rsidR="00F6324E" w:rsidRPr="00F6324E" w:rsidRDefault="00F6324E" w:rsidP="4C20040D">
      <w:pPr>
        <w:pStyle w:val="ListParagraph"/>
        <w:numPr>
          <w:ilvl w:val="0"/>
          <w:numId w:val="14"/>
        </w:numPr>
        <w:spacing w:after="120"/>
        <w:jc w:val="both"/>
      </w:pPr>
      <w:r w:rsidRPr="4C20040D">
        <w:rPr>
          <w:u w:val="single"/>
        </w:rPr>
        <w:t>Procedure for Multiple Uses (Combination of Uses).</w:t>
      </w:r>
      <w:r>
        <w:t xml:space="preserve"> If a development proposal involves a combination of uses other than accessory uses as identified in Table 19.</w:t>
      </w:r>
      <w:r w:rsidR="5A71519B">
        <w:t>40</w:t>
      </w:r>
      <w:r>
        <w:t xml:space="preserve">.030, the more restrictive provisions of this Title shall apply. For example, if a portion of a development is subject to Conditional Use (“C”) approval and the other portion is subject only to Permitted Use (“P) review, the entire development shall be reviewed and approved by the Conditional Use process.     </w:t>
      </w:r>
    </w:p>
    <w:p w14:paraId="4D333198" w14:textId="77777777" w:rsidR="00F6324E" w:rsidRPr="00F6324E" w:rsidRDefault="00F6324E" w:rsidP="00716F7A">
      <w:pPr>
        <w:pStyle w:val="ListParagraph"/>
        <w:numPr>
          <w:ilvl w:val="0"/>
          <w:numId w:val="14"/>
        </w:numPr>
        <w:spacing w:after="120"/>
        <w:contextualSpacing w:val="0"/>
        <w:jc w:val="both"/>
      </w:pPr>
      <w:r w:rsidRPr="00716F7A">
        <w:rPr>
          <w:u w:val="single"/>
        </w:rPr>
        <w:t>Abbreviations.</w:t>
      </w:r>
      <w:r w:rsidRPr="00F6324E">
        <w:t xml:space="preserve"> The abbreviations used in the schedule mean:     </w:t>
      </w:r>
    </w:p>
    <w:p w14:paraId="400264C4" w14:textId="77777777" w:rsidR="00F6324E" w:rsidRPr="00F6324E" w:rsidRDefault="00F6324E" w:rsidP="00716F7A">
      <w:pPr>
        <w:pStyle w:val="ListParagraph"/>
        <w:numPr>
          <w:ilvl w:val="1"/>
          <w:numId w:val="14"/>
        </w:numPr>
        <w:spacing w:after="120"/>
        <w:contextualSpacing w:val="0"/>
        <w:jc w:val="both"/>
      </w:pPr>
      <w:r w:rsidRPr="00484783">
        <w:rPr>
          <w:u w:val="single"/>
        </w:rPr>
        <w:lastRenderedPageBreak/>
        <w:t>P = Permitted Use</w:t>
      </w:r>
      <w:r w:rsidRPr="00F6324E">
        <w:t xml:space="preserve">. This use is allowed in the zone but may be subject to additional restrictions and approval processes as provided in this Title.    </w:t>
      </w:r>
    </w:p>
    <w:p w14:paraId="36E09729" w14:textId="77777777" w:rsidR="00F6324E" w:rsidRPr="00F6324E" w:rsidRDefault="00F6324E" w:rsidP="00716F7A">
      <w:pPr>
        <w:pStyle w:val="ListParagraph"/>
        <w:numPr>
          <w:ilvl w:val="1"/>
          <w:numId w:val="14"/>
        </w:numPr>
        <w:spacing w:after="120"/>
        <w:contextualSpacing w:val="0"/>
        <w:jc w:val="both"/>
      </w:pPr>
      <w:r w:rsidRPr="00484783">
        <w:rPr>
          <w:u w:val="single"/>
        </w:rPr>
        <w:t>C = Conditional Use</w:t>
      </w:r>
      <w:r w:rsidRPr="00F6324E">
        <w:t xml:space="preserve">. This use is conditional because of the unique characteristics or potential impacts on the municipality, surrounding neighbors, or adjacent uses, incompatibility in some areas of the zone, or compatibility only if special provisions or conditions are required to mitigate the detrimental impacts of the use. The Planning Commission is the land use authority for uses with this designation.    </w:t>
      </w:r>
    </w:p>
    <w:p w14:paraId="4888A84E" w14:textId="701D6419" w:rsidR="002D7F00" w:rsidRDefault="00F6324E" w:rsidP="4C20040D">
      <w:pPr>
        <w:pStyle w:val="ListParagraph"/>
        <w:numPr>
          <w:ilvl w:val="1"/>
          <w:numId w:val="14"/>
        </w:numPr>
        <w:spacing w:after="120"/>
        <w:jc w:val="both"/>
      </w:pPr>
      <w:r w:rsidRPr="4C20040D">
        <w:rPr>
          <w:u w:val="single"/>
        </w:rPr>
        <w:t>X = Prohibited Use</w:t>
      </w:r>
      <w:r>
        <w:t>. This use is prohibited in this zone. Any use not specifically identified in Table 19.</w:t>
      </w:r>
      <w:r w:rsidR="02CF093E">
        <w:t>40</w:t>
      </w:r>
      <w:r>
        <w:t>.030 is prohibited in this zone.</w:t>
      </w:r>
    </w:p>
    <w:tbl>
      <w:tblPr>
        <w:tblStyle w:val="TableGrid"/>
        <w:tblW w:w="0" w:type="auto"/>
        <w:jc w:val="center"/>
        <w:tblLook w:val="04A0" w:firstRow="1" w:lastRow="0" w:firstColumn="1" w:lastColumn="0" w:noHBand="0" w:noVBand="1"/>
      </w:tblPr>
      <w:tblGrid>
        <w:gridCol w:w="4405"/>
        <w:gridCol w:w="2250"/>
      </w:tblGrid>
      <w:tr w:rsidR="00484783" w14:paraId="39305BD1" w14:textId="77777777" w:rsidTr="4C20040D">
        <w:trPr>
          <w:jc w:val="center"/>
        </w:trPr>
        <w:tc>
          <w:tcPr>
            <w:tcW w:w="6655" w:type="dxa"/>
            <w:gridSpan w:val="2"/>
          </w:tcPr>
          <w:p w14:paraId="6BB92794" w14:textId="1F707FD6" w:rsidR="00484783" w:rsidRPr="00A06D5B" w:rsidRDefault="40C9D286" w:rsidP="003315D6">
            <w:pPr>
              <w:pStyle w:val="ListParagraph"/>
              <w:ind w:left="0"/>
              <w:jc w:val="center"/>
              <w:rPr>
                <w:b/>
                <w:bCs/>
              </w:rPr>
            </w:pPr>
            <w:r w:rsidRPr="4C20040D">
              <w:rPr>
                <w:b/>
                <w:bCs/>
              </w:rPr>
              <w:t>Table 19.</w:t>
            </w:r>
            <w:r w:rsidR="73E9B45B" w:rsidRPr="4C20040D">
              <w:rPr>
                <w:b/>
                <w:bCs/>
              </w:rPr>
              <w:t>40</w:t>
            </w:r>
            <w:r w:rsidRPr="4C20040D">
              <w:rPr>
                <w:b/>
                <w:bCs/>
              </w:rPr>
              <w:t>.030 – Uses Allowed in the RMH Zone.</w:t>
            </w:r>
          </w:p>
        </w:tc>
      </w:tr>
      <w:tr w:rsidR="005C68F0" w14:paraId="39CF522A" w14:textId="0F90CF81" w:rsidTr="4C20040D">
        <w:trPr>
          <w:jc w:val="center"/>
        </w:trPr>
        <w:tc>
          <w:tcPr>
            <w:tcW w:w="4405" w:type="dxa"/>
          </w:tcPr>
          <w:p w14:paraId="78DE7B99" w14:textId="77777777" w:rsidR="005C68F0" w:rsidRPr="00A06D5B" w:rsidRDefault="005C68F0" w:rsidP="003315D6">
            <w:pPr>
              <w:pStyle w:val="ListParagraph"/>
              <w:ind w:left="0"/>
              <w:rPr>
                <w:b/>
                <w:bCs/>
              </w:rPr>
            </w:pPr>
            <w:r w:rsidRPr="00A06D5B">
              <w:rPr>
                <w:b/>
                <w:bCs/>
              </w:rPr>
              <w:t>Use Categories</w:t>
            </w:r>
          </w:p>
        </w:tc>
        <w:tc>
          <w:tcPr>
            <w:tcW w:w="2250" w:type="dxa"/>
          </w:tcPr>
          <w:p w14:paraId="0A38A2EF" w14:textId="74EF3D8A" w:rsidR="005C68F0" w:rsidRPr="00A06D5B" w:rsidRDefault="00484783" w:rsidP="003315D6">
            <w:pPr>
              <w:pStyle w:val="ListParagraph"/>
              <w:ind w:left="0"/>
              <w:jc w:val="center"/>
              <w:rPr>
                <w:b/>
                <w:bCs/>
              </w:rPr>
            </w:pPr>
            <w:r>
              <w:rPr>
                <w:b/>
                <w:bCs/>
              </w:rPr>
              <w:t>RMH</w:t>
            </w:r>
          </w:p>
        </w:tc>
      </w:tr>
      <w:tr w:rsidR="005C68F0" w14:paraId="38127A42" w14:textId="421B2477" w:rsidTr="4C20040D">
        <w:trPr>
          <w:trHeight w:val="377"/>
          <w:jc w:val="center"/>
        </w:trPr>
        <w:tc>
          <w:tcPr>
            <w:tcW w:w="4405" w:type="dxa"/>
            <w:shd w:val="clear" w:color="auto" w:fill="E7E6E6" w:themeFill="background2"/>
          </w:tcPr>
          <w:p w14:paraId="618FD698" w14:textId="77777777" w:rsidR="005C68F0" w:rsidRPr="009B3439" w:rsidRDefault="005C68F0" w:rsidP="003315D6">
            <w:pPr>
              <w:pStyle w:val="ListParagraph"/>
              <w:ind w:left="0"/>
              <w:rPr>
                <w:u w:val="single"/>
              </w:rPr>
            </w:pPr>
            <w:r w:rsidRPr="11E7D109">
              <w:rPr>
                <w:u w:val="single"/>
              </w:rPr>
              <w:t>AGRICULTURAL:</w:t>
            </w:r>
          </w:p>
        </w:tc>
        <w:tc>
          <w:tcPr>
            <w:tcW w:w="2250" w:type="dxa"/>
            <w:shd w:val="clear" w:color="auto" w:fill="E7E6E6" w:themeFill="background2"/>
            <w:vAlign w:val="center"/>
          </w:tcPr>
          <w:p w14:paraId="66286E0B" w14:textId="77777777" w:rsidR="005C68F0" w:rsidRDefault="005C68F0" w:rsidP="003315D6">
            <w:pPr>
              <w:pStyle w:val="ListParagraph"/>
              <w:ind w:left="0"/>
              <w:jc w:val="center"/>
            </w:pPr>
          </w:p>
        </w:tc>
      </w:tr>
      <w:tr w:rsidR="005C68F0" w14:paraId="449134BE" w14:textId="3854003E" w:rsidTr="4C20040D">
        <w:trPr>
          <w:jc w:val="center"/>
        </w:trPr>
        <w:tc>
          <w:tcPr>
            <w:tcW w:w="4405" w:type="dxa"/>
            <w:shd w:val="clear" w:color="auto" w:fill="auto"/>
          </w:tcPr>
          <w:p w14:paraId="75F4E21D" w14:textId="6856A6A6" w:rsidR="005C68F0" w:rsidRDefault="005C68F0" w:rsidP="005C68F0">
            <w:pPr>
              <w:pStyle w:val="ListParagraph"/>
              <w:ind w:left="0"/>
            </w:pPr>
            <w:r>
              <w:t>Agriculture</w:t>
            </w:r>
          </w:p>
        </w:tc>
        <w:tc>
          <w:tcPr>
            <w:tcW w:w="2250" w:type="dxa"/>
            <w:shd w:val="clear" w:color="auto" w:fill="auto"/>
          </w:tcPr>
          <w:p w14:paraId="4E936686" w14:textId="7DDCAD96" w:rsidR="005C68F0" w:rsidRDefault="00404E21" w:rsidP="003315D6">
            <w:pPr>
              <w:pStyle w:val="ListParagraph"/>
              <w:ind w:left="0"/>
              <w:jc w:val="center"/>
            </w:pPr>
            <w:r>
              <w:t>P</w:t>
            </w:r>
          </w:p>
        </w:tc>
      </w:tr>
      <w:tr w:rsidR="005C68F0" w14:paraId="5CD261EB" w14:textId="062F8B2B" w:rsidTr="4C20040D">
        <w:trPr>
          <w:jc w:val="center"/>
        </w:trPr>
        <w:tc>
          <w:tcPr>
            <w:tcW w:w="4405" w:type="dxa"/>
            <w:shd w:val="clear" w:color="auto" w:fill="E7E6E6" w:themeFill="background2"/>
          </w:tcPr>
          <w:p w14:paraId="38520E66" w14:textId="77777777" w:rsidR="005C68F0" w:rsidRPr="009B3439" w:rsidRDefault="005C68F0" w:rsidP="003315D6">
            <w:pPr>
              <w:pStyle w:val="ListParagraph"/>
              <w:ind w:left="0"/>
              <w:rPr>
                <w:u w:val="single"/>
              </w:rPr>
            </w:pPr>
            <w:r w:rsidRPr="11E7D109">
              <w:rPr>
                <w:u w:val="single"/>
              </w:rPr>
              <w:t>RESIDENTIAL USES:</w:t>
            </w:r>
          </w:p>
        </w:tc>
        <w:tc>
          <w:tcPr>
            <w:tcW w:w="2250" w:type="dxa"/>
            <w:shd w:val="clear" w:color="auto" w:fill="E7E6E6" w:themeFill="background2"/>
            <w:vAlign w:val="center"/>
          </w:tcPr>
          <w:p w14:paraId="3EFF2244" w14:textId="77777777" w:rsidR="005C68F0" w:rsidRDefault="005C68F0" w:rsidP="003315D6">
            <w:pPr>
              <w:pStyle w:val="ListParagraph"/>
              <w:ind w:left="0"/>
              <w:jc w:val="center"/>
            </w:pPr>
          </w:p>
        </w:tc>
      </w:tr>
      <w:tr w:rsidR="003901DB" w14:paraId="3C1CA904" w14:textId="77777777" w:rsidTr="4C20040D">
        <w:trPr>
          <w:jc w:val="center"/>
        </w:trPr>
        <w:tc>
          <w:tcPr>
            <w:tcW w:w="4405" w:type="dxa"/>
            <w:shd w:val="clear" w:color="auto" w:fill="auto"/>
          </w:tcPr>
          <w:p w14:paraId="7991CCE2" w14:textId="60CEF866" w:rsidR="003901DB" w:rsidRPr="008405D8" w:rsidRDefault="000E48DE" w:rsidP="003315D6">
            <w:pPr>
              <w:pStyle w:val="ListParagraph"/>
              <w:ind w:left="0"/>
              <w:rPr>
                <w:vertAlign w:val="superscript"/>
              </w:rPr>
            </w:pPr>
            <w:r w:rsidRPr="007C0182">
              <w:t>Mobile Home Park</w:t>
            </w:r>
            <w:r w:rsidR="007C0182" w:rsidRPr="007C0182">
              <w:t xml:space="preserve"> </w:t>
            </w:r>
            <w:r w:rsidR="008405D8">
              <w:t>or Mobile Home Subdivision</w:t>
            </w:r>
          </w:p>
        </w:tc>
        <w:tc>
          <w:tcPr>
            <w:tcW w:w="2250" w:type="dxa"/>
            <w:shd w:val="clear" w:color="auto" w:fill="auto"/>
            <w:vAlign w:val="center"/>
          </w:tcPr>
          <w:p w14:paraId="696E00AC" w14:textId="1918C548" w:rsidR="003901DB" w:rsidRDefault="00F64D66" w:rsidP="003315D6">
            <w:pPr>
              <w:pStyle w:val="ListParagraph"/>
              <w:ind w:left="0"/>
              <w:jc w:val="center"/>
            </w:pPr>
            <w:r>
              <w:t>C</w:t>
            </w:r>
          </w:p>
        </w:tc>
      </w:tr>
      <w:tr w:rsidR="005C68F0" w14:paraId="73F7D337" w14:textId="347649E1" w:rsidTr="4C20040D">
        <w:trPr>
          <w:jc w:val="center"/>
        </w:trPr>
        <w:tc>
          <w:tcPr>
            <w:tcW w:w="4405" w:type="dxa"/>
            <w:shd w:val="clear" w:color="auto" w:fill="E7E6E6" w:themeFill="background2"/>
          </w:tcPr>
          <w:p w14:paraId="0E035EB3" w14:textId="77777777" w:rsidR="005C68F0" w:rsidRPr="009B3439" w:rsidRDefault="005C68F0" w:rsidP="003315D6">
            <w:pPr>
              <w:pStyle w:val="ListParagraph"/>
              <w:ind w:left="0"/>
              <w:rPr>
                <w:u w:val="single"/>
              </w:rPr>
            </w:pPr>
            <w:r w:rsidRPr="11E7D109">
              <w:rPr>
                <w:u w:val="single"/>
              </w:rPr>
              <w:t>RETAIL AND SERVICES:</w:t>
            </w:r>
          </w:p>
        </w:tc>
        <w:tc>
          <w:tcPr>
            <w:tcW w:w="2250" w:type="dxa"/>
            <w:shd w:val="clear" w:color="auto" w:fill="E7E6E6" w:themeFill="background2"/>
            <w:vAlign w:val="center"/>
          </w:tcPr>
          <w:p w14:paraId="3254A2D7" w14:textId="77777777" w:rsidR="005C68F0" w:rsidRDefault="005C68F0" w:rsidP="003315D6">
            <w:pPr>
              <w:pStyle w:val="ListParagraph"/>
              <w:ind w:left="0"/>
              <w:jc w:val="center"/>
            </w:pPr>
          </w:p>
        </w:tc>
      </w:tr>
      <w:tr w:rsidR="005C68F0" w14:paraId="5A70846A" w14:textId="2C83B4EA" w:rsidTr="4C20040D">
        <w:trPr>
          <w:jc w:val="center"/>
        </w:trPr>
        <w:tc>
          <w:tcPr>
            <w:tcW w:w="4405" w:type="dxa"/>
          </w:tcPr>
          <w:p w14:paraId="056EDF44" w14:textId="2589FB56" w:rsidR="005C68F0" w:rsidRDefault="005C68F0" w:rsidP="003315D6">
            <w:pPr>
              <w:pStyle w:val="ListParagraph"/>
              <w:ind w:left="0"/>
            </w:pPr>
            <w:r>
              <w:t>Child Care</w:t>
            </w:r>
            <w:r w:rsidR="00244A2B">
              <w:t>, Home</w:t>
            </w:r>
          </w:p>
        </w:tc>
        <w:tc>
          <w:tcPr>
            <w:tcW w:w="2250" w:type="dxa"/>
            <w:vAlign w:val="center"/>
          </w:tcPr>
          <w:p w14:paraId="0977F7F7" w14:textId="68362D7D" w:rsidR="005C68F0" w:rsidRDefault="00484783" w:rsidP="003315D6">
            <w:pPr>
              <w:pStyle w:val="ListParagraph"/>
              <w:ind w:left="0"/>
              <w:jc w:val="center"/>
            </w:pPr>
            <w:r>
              <w:t>P</w:t>
            </w:r>
          </w:p>
        </w:tc>
      </w:tr>
      <w:tr w:rsidR="0063236B" w14:paraId="1BF20D08" w14:textId="77777777" w:rsidTr="4C20040D">
        <w:trPr>
          <w:jc w:val="center"/>
        </w:trPr>
        <w:tc>
          <w:tcPr>
            <w:tcW w:w="4405" w:type="dxa"/>
          </w:tcPr>
          <w:p w14:paraId="38D20ACE" w14:textId="52C7427D" w:rsidR="0063236B" w:rsidRDefault="0063236B" w:rsidP="003315D6">
            <w:pPr>
              <w:pStyle w:val="ListParagraph"/>
              <w:ind w:left="0"/>
            </w:pPr>
            <w:r>
              <w:t>Home Preschool</w:t>
            </w:r>
          </w:p>
        </w:tc>
        <w:tc>
          <w:tcPr>
            <w:tcW w:w="2250" w:type="dxa"/>
            <w:vAlign w:val="center"/>
          </w:tcPr>
          <w:p w14:paraId="6CF55CB2" w14:textId="0B2D9664" w:rsidR="0063236B" w:rsidRDefault="00484783" w:rsidP="003315D6">
            <w:pPr>
              <w:pStyle w:val="ListParagraph"/>
              <w:ind w:left="0"/>
              <w:jc w:val="center"/>
            </w:pPr>
            <w:r>
              <w:t>P</w:t>
            </w:r>
          </w:p>
        </w:tc>
      </w:tr>
      <w:tr w:rsidR="005C68F0" w14:paraId="32B7FFE9" w14:textId="1E0D41B2" w:rsidTr="4C20040D">
        <w:trPr>
          <w:jc w:val="center"/>
        </w:trPr>
        <w:tc>
          <w:tcPr>
            <w:tcW w:w="4405" w:type="dxa"/>
            <w:shd w:val="clear" w:color="auto" w:fill="E7E6E6" w:themeFill="background2"/>
          </w:tcPr>
          <w:p w14:paraId="2994AD80" w14:textId="77777777" w:rsidR="005C68F0" w:rsidRDefault="005C68F0" w:rsidP="003315D6">
            <w:pPr>
              <w:pStyle w:val="ListParagraph"/>
              <w:ind w:left="0"/>
              <w:rPr>
                <w:u w:val="single"/>
              </w:rPr>
            </w:pPr>
            <w:r w:rsidRPr="11E7D109">
              <w:rPr>
                <w:u w:val="single"/>
              </w:rPr>
              <w:t>FOOD AND DRINK:</w:t>
            </w:r>
          </w:p>
        </w:tc>
        <w:tc>
          <w:tcPr>
            <w:tcW w:w="2250" w:type="dxa"/>
            <w:shd w:val="clear" w:color="auto" w:fill="E7E6E6" w:themeFill="background2"/>
            <w:vAlign w:val="center"/>
          </w:tcPr>
          <w:p w14:paraId="47D0DCEB" w14:textId="77777777" w:rsidR="005C68F0" w:rsidRDefault="005C68F0" w:rsidP="003315D6">
            <w:pPr>
              <w:pStyle w:val="ListParagraph"/>
              <w:jc w:val="center"/>
            </w:pPr>
          </w:p>
        </w:tc>
      </w:tr>
      <w:tr w:rsidR="00F34262" w14:paraId="3EB9B3FF" w14:textId="77777777" w:rsidTr="4C20040D">
        <w:trPr>
          <w:jc w:val="center"/>
        </w:trPr>
        <w:tc>
          <w:tcPr>
            <w:tcW w:w="6655" w:type="dxa"/>
            <w:gridSpan w:val="2"/>
            <w:shd w:val="clear" w:color="auto" w:fill="auto"/>
          </w:tcPr>
          <w:p w14:paraId="23FD1274" w14:textId="6920BFA4" w:rsidR="00F34262" w:rsidRDefault="00F34262" w:rsidP="002817FF">
            <w:pPr>
              <w:jc w:val="center"/>
            </w:pPr>
            <w:r>
              <w:t xml:space="preserve">No </w:t>
            </w:r>
            <w:r w:rsidR="00A45FD0">
              <w:t>Food and Drink Uses are Allowed in the RMH Zone.</w:t>
            </w:r>
          </w:p>
        </w:tc>
      </w:tr>
      <w:tr w:rsidR="005C68F0" w14:paraId="017FA815" w14:textId="50ECCFA6" w:rsidTr="4C20040D">
        <w:trPr>
          <w:jc w:val="center"/>
        </w:trPr>
        <w:tc>
          <w:tcPr>
            <w:tcW w:w="4405" w:type="dxa"/>
            <w:shd w:val="clear" w:color="auto" w:fill="E7E6E6" w:themeFill="background2"/>
          </w:tcPr>
          <w:p w14:paraId="4FC90B11" w14:textId="77777777" w:rsidR="005C68F0" w:rsidRDefault="005C68F0" w:rsidP="003315D6">
            <w:pPr>
              <w:pStyle w:val="ListParagraph"/>
              <w:ind w:left="0"/>
              <w:rPr>
                <w:u w:val="single"/>
              </w:rPr>
            </w:pPr>
            <w:r w:rsidRPr="11E7D109">
              <w:rPr>
                <w:u w:val="single"/>
              </w:rPr>
              <w:t>RECREATIONAL:</w:t>
            </w:r>
          </w:p>
        </w:tc>
        <w:tc>
          <w:tcPr>
            <w:tcW w:w="2250" w:type="dxa"/>
            <w:shd w:val="clear" w:color="auto" w:fill="E7E6E6" w:themeFill="background2"/>
            <w:vAlign w:val="center"/>
          </w:tcPr>
          <w:p w14:paraId="6EBA70A0" w14:textId="77777777" w:rsidR="005C68F0" w:rsidRDefault="005C68F0" w:rsidP="003315D6">
            <w:pPr>
              <w:pStyle w:val="ListParagraph"/>
              <w:jc w:val="center"/>
            </w:pPr>
          </w:p>
        </w:tc>
      </w:tr>
      <w:tr w:rsidR="00A45FD0" w14:paraId="0F8E2FC9" w14:textId="3B0D7F4A" w:rsidTr="4C20040D">
        <w:trPr>
          <w:trHeight w:val="242"/>
          <w:jc w:val="center"/>
        </w:trPr>
        <w:tc>
          <w:tcPr>
            <w:tcW w:w="6655" w:type="dxa"/>
            <w:gridSpan w:val="2"/>
          </w:tcPr>
          <w:p w14:paraId="4497D333" w14:textId="47BCF4E7" w:rsidR="00A45FD0" w:rsidRDefault="00A45FD0" w:rsidP="003315D6">
            <w:pPr>
              <w:pStyle w:val="ListParagraph"/>
              <w:ind w:left="0"/>
              <w:jc w:val="center"/>
            </w:pPr>
            <w:r>
              <w:t xml:space="preserve">No </w:t>
            </w:r>
            <w:r w:rsidR="002817FF">
              <w:t>Recreational</w:t>
            </w:r>
            <w:r>
              <w:t xml:space="preserve"> Uses are Allowed in the RMH Zone.</w:t>
            </w:r>
          </w:p>
        </w:tc>
      </w:tr>
      <w:tr w:rsidR="005C68F0" w14:paraId="3D6B24CE" w14:textId="2A8DFD94" w:rsidTr="4C20040D">
        <w:trPr>
          <w:jc w:val="center"/>
        </w:trPr>
        <w:tc>
          <w:tcPr>
            <w:tcW w:w="4405" w:type="dxa"/>
            <w:shd w:val="clear" w:color="auto" w:fill="E7E6E6" w:themeFill="background2"/>
          </w:tcPr>
          <w:p w14:paraId="66A18604" w14:textId="77777777" w:rsidR="005C68F0" w:rsidRDefault="005C68F0" w:rsidP="003315D6">
            <w:pPr>
              <w:pStyle w:val="ListParagraph"/>
              <w:ind w:left="0"/>
              <w:rPr>
                <w:u w:val="single"/>
              </w:rPr>
            </w:pPr>
            <w:r w:rsidRPr="11E7D109">
              <w:rPr>
                <w:u w:val="single"/>
              </w:rPr>
              <w:t>LODGING:</w:t>
            </w:r>
          </w:p>
        </w:tc>
        <w:tc>
          <w:tcPr>
            <w:tcW w:w="2250" w:type="dxa"/>
            <w:shd w:val="clear" w:color="auto" w:fill="E7E6E6" w:themeFill="background2"/>
            <w:vAlign w:val="center"/>
          </w:tcPr>
          <w:p w14:paraId="5D9F2569" w14:textId="77777777" w:rsidR="005C68F0" w:rsidRDefault="005C68F0" w:rsidP="003315D6">
            <w:pPr>
              <w:pStyle w:val="ListParagraph"/>
              <w:jc w:val="center"/>
            </w:pPr>
          </w:p>
        </w:tc>
      </w:tr>
      <w:tr w:rsidR="00A45FD0" w14:paraId="2F97CCB6" w14:textId="77777777" w:rsidTr="4C20040D">
        <w:trPr>
          <w:jc w:val="center"/>
        </w:trPr>
        <w:tc>
          <w:tcPr>
            <w:tcW w:w="6655" w:type="dxa"/>
            <w:gridSpan w:val="2"/>
            <w:shd w:val="clear" w:color="auto" w:fill="auto"/>
          </w:tcPr>
          <w:p w14:paraId="502ED46A" w14:textId="23755E14" w:rsidR="00A45FD0" w:rsidRDefault="002817FF" w:rsidP="002817FF">
            <w:pPr>
              <w:jc w:val="center"/>
            </w:pPr>
            <w:r>
              <w:t>No Lodging Uses are Allowed in the RMH Zone.</w:t>
            </w:r>
          </w:p>
        </w:tc>
      </w:tr>
      <w:tr w:rsidR="005C68F0" w14:paraId="6C223454" w14:textId="0652640B" w:rsidTr="4C20040D">
        <w:trPr>
          <w:jc w:val="center"/>
        </w:trPr>
        <w:tc>
          <w:tcPr>
            <w:tcW w:w="4405" w:type="dxa"/>
            <w:shd w:val="clear" w:color="auto" w:fill="E7E6E6" w:themeFill="background2"/>
          </w:tcPr>
          <w:p w14:paraId="20133B4B" w14:textId="77777777" w:rsidR="005C68F0" w:rsidRPr="009B3439" w:rsidRDefault="005C68F0" w:rsidP="003315D6">
            <w:pPr>
              <w:pStyle w:val="ListParagraph"/>
              <w:ind w:left="0"/>
              <w:rPr>
                <w:u w:val="single"/>
              </w:rPr>
            </w:pPr>
            <w:r w:rsidRPr="11E7D109">
              <w:rPr>
                <w:u w:val="single"/>
              </w:rPr>
              <w:t>INDUSTRIAL:</w:t>
            </w:r>
          </w:p>
        </w:tc>
        <w:tc>
          <w:tcPr>
            <w:tcW w:w="2250" w:type="dxa"/>
            <w:shd w:val="clear" w:color="auto" w:fill="E7E6E6" w:themeFill="background2"/>
            <w:vAlign w:val="center"/>
          </w:tcPr>
          <w:p w14:paraId="1CD68111" w14:textId="77777777" w:rsidR="005C68F0" w:rsidRDefault="005C68F0" w:rsidP="003315D6">
            <w:pPr>
              <w:pStyle w:val="ListParagraph"/>
              <w:ind w:left="0"/>
              <w:jc w:val="center"/>
            </w:pPr>
          </w:p>
        </w:tc>
      </w:tr>
      <w:tr w:rsidR="002817FF" w14:paraId="371DF285" w14:textId="77777777" w:rsidTr="4C20040D">
        <w:trPr>
          <w:jc w:val="center"/>
        </w:trPr>
        <w:tc>
          <w:tcPr>
            <w:tcW w:w="6655" w:type="dxa"/>
            <w:gridSpan w:val="2"/>
            <w:shd w:val="clear" w:color="auto" w:fill="auto"/>
          </w:tcPr>
          <w:p w14:paraId="43A1F417" w14:textId="0F3B0A72" w:rsidR="002817FF" w:rsidRDefault="002817FF" w:rsidP="003315D6">
            <w:pPr>
              <w:pStyle w:val="ListParagraph"/>
              <w:ind w:left="0"/>
              <w:jc w:val="center"/>
            </w:pPr>
            <w:r>
              <w:t>No Industrial Uses are Allowed in the RMH Zone.</w:t>
            </w:r>
          </w:p>
        </w:tc>
      </w:tr>
      <w:tr w:rsidR="005C68F0" w14:paraId="1D1802C1" w14:textId="08C89207" w:rsidTr="4C20040D">
        <w:trPr>
          <w:jc w:val="center"/>
        </w:trPr>
        <w:tc>
          <w:tcPr>
            <w:tcW w:w="4405" w:type="dxa"/>
            <w:shd w:val="clear" w:color="auto" w:fill="E7E6E6" w:themeFill="background2"/>
          </w:tcPr>
          <w:p w14:paraId="773E5B78" w14:textId="77777777" w:rsidR="005C68F0" w:rsidRPr="005B3A48" w:rsidRDefault="005C68F0" w:rsidP="003315D6">
            <w:pPr>
              <w:pStyle w:val="ListParagraph"/>
              <w:ind w:left="0"/>
              <w:rPr>
                <w:u w:val="single"/>
              </w:rPr>
            </w:pPr>
            <w:r w:rsidRPr="11E7D109">
              <w:rPr>
                <w:u w:val="single"/>
              </w:rPr>
              <w:t>INSTITUTIONAL USES:</w:t>
            </w:r>
          </w:p>
        </w:tc>
        <w:tc>
          <w:tcPr>
            <w:tcW w:w="2250" w:type="dxa"/>
            <w:shd w:val="clear" w:color="auto" w:fill="E7E6E6" w:themeFill="background2"/>
            <w:vAlign w:val="center"/>
          </w:tcPr>
          <w:p w14:paraId="2E480C99" w14:textId="77777777" w:rsidR="005C68F0" w:rsidRDefault="005C68F0" w:rsidP="003315D6">
            <w:pPr>
              <w:pStyle w:val="ListParagraph"/>
              <w:ind w:left="0"/>
              <w:jc w:val="center"/>
            </w:pPr>
          </w:p>
        </w:tc>
      </w:tr>
      <w:tr w:rsidR="005C68F0" w14:paraId="483B8122" w14:textId="6CC5D3A5" w:rsidTr="4C20040D">
        <w:trPr>
          <w:jc w:val="center"/>
        </w:trPr>
        <w:tc>
          <w:tcPr>
            <w:tcW w:w="4405" w:type="dxa"/>
          </w:tcPr>
          <w:p w14:paraId="5B26E6CA" w14:textId="77777777" w:rsidR="005C68F0" w:rsidRPr="00C96483" w:rsidRDefault="005C68F0" w:rsidP="003315D6">
            <w:pPr>
              <w:pStyle w:val="ListParagraph"/>
              <w:ind w:left="0"/>
            </w:pPr>
            <w:r>
              <w:t>Community Garden</w:t>
            </w:r>
          </w:p>
        </w:tc>
        <w:tc>
          <w:tcPr>
            <w:tcW w:w="2250" w:type="dxa"/>
            <w:vAlign w:val="center"/>
          </w:tcPr>
          <w:p w14:paraId="7E70CB7D" w14:textId="77777777" w:rsidR="005C68F0" w:rsidRDefault="005C68F0" w:rsidP="003315D6">
            <w:pPr>
              <w:pStyle w:val="ListParagraph"/>
              <w:ind w:left="0"/>
              <w:jc w:val="center"/>
            </w:pPr>
            <w:r>
              <w:t>P</w:t>
            </w:r>
          </w:p>
        </w:tc>
      </w:tr>
      <w:tr w:rsidR="005C68F0" w14:paraId="1E045E17" w14:textId="44A31C15" w:rsidTr="4C20040D">
        <w:trPr>
          <w:jc w:val="center"/>
        </w:trPr>
        <w:tc>
          <w:tcPr>
            <w:tcW w:w="4405" w:type="dxa"/>
          </w:tcPr>
          <w:p w14:paraId="2DD5BF9B" w14:textId="77777777" w:rsidR="005C68F0" w:rsidRDefault="005C68F0" w:rsidP="003315D6">
            <w:pPr>
              <w:pStyle w:val="ListParagraph"/>
              <w:ind w:left="0"/>
            </w:pPr>
            <w:proofErr w:type="spellStart"/>
            <w:r>
              <w:t>Micromobility</w:t>
            </w:r>
            <w:proofErr w:type="spellEnd"/>
            <w:r>
              <w:t xml:space="preserve"> Support Infrastructure</w:t>
            </w:r>
          </w:p>
        </w:tc>
        <w:tc>
          <w:tcPr>
            <w:tcW w:w="2250" w:type="dxa"/>
            <w:vAlign w:val="center"/>
          </w:tcPr>
          <w:p w14:paraId="7C24775E" w14:textId="77777777" w:rsidR="005C68F0" w:rsidRDefault="005C68F0" w:rsidP="003315D6">
            <w:pPr>
              <w:pStyle w:val="ListParagraph"/>
              <w:ind w:left="0"/>
              <w:jc w:val="center"/>
            </w:pPr>
            <w:r>
              <w:t>P</w:t>
            </w:r>
          </w:p>
        </w:tc>
      </w:tr>
      <w:tr w:rsidR="005C68F0" w14:paraId="2FF2CEB8" w14:textId="1639237E" w:rsidTr="4C20040D">
        <w:trPr>
          <w:jc w:val="center"/>
        </w:trPr>
        <w:tc>
          <w:tcPr>
            <w:tcW w:w="4405" w:type="dxa"/>
          </w:tcPr>
          <w:p w14:paraId="289A6575" w14:textId="77777777" w:rsidR="005C68F0" w:rsidRDefault="005C68F0" w:rsidP="003315D6">
            <w:pPr>
              <w:pStyle w:val="ListParagraph"/>
              <w:ind w:left="0"/>
            </w:pPr>
            <w:r>
              <w:t>Public Parks</w:t>
            </w:r>
          </w:p>
        </w:tc>
        <w:tc>
          <w:tcPr>
            <w:tcW w:w="2250" w:type="dxa"/>
            <w:vAlign w:val="center"/>
          </w:tcPr>
          <w:p w14:paraId="46330FD2" w14:textId="77777777" w:rsidR="005C68F0" w:rsidRDefault="005C68F0" w:rsidP="003315D6">
            <w:pPr>
              <w:pStyle w:val="ListParagraph"/>
              <w:ind w:left="0"/>
              <w:jc w:val="center"/>
            </w:pPr>
            <w:r>
              <w:t>P</w:t>
            </w:r>
          </w:p>
        </w:tc>
      </w:tr>
      <w:tr w:rsidR="005C68F0" w14:paraId="42414CAC" w14:textId="1B2F8C9B" w:rsidTr="4C20040D">
        <w:trPr>
          <w:jc w:val="center"/>
        </w:trPr>
        <w:tc>
          <w:tcPr>
            <w:tcW w:w="4405" w:type="dxa"/>
            <w:shd w:val="clear" w:color="auto" w:fill="E7E6E6" w:themeFill="background2"/>
          </w:tcPr>
          <w:p w14:paraId="3498F929" w14:textId="77777777" w:rsidR="005C68F0" w:rsidRDefault="005C68F0" w:rsidP="003315D6">
            <w:pPr>
              <w:pStyle w:val="ListParagraph"/>
              <w:ind w:left="0"/>
              <w:rPr>
                <w:u w:val="single"/>
              </w:rPr>
            </w:pPr>
            <w:r w:rsidRPr="11E7D109">
              <w:rPr>
                <w:u w:val="single"/>
              </w:rPr>
              <w:t>SPECIALTY:</w:t>
            </w:r>
            <w:r>
              <w:t xml:space="preserve"> </w:t>
            </w:r>
          </w:p>
        </w:tc>
        <w:tc>
          <w:tcPr>
            <w:tcW w:w="2250" w:type="dxa"/>
            <w:shd w:val="clear" w:color="auto" w:fill="E7E6E6" w:themeFill="background2"/>
            <w:vAlign w:val="center"/>
          </w:tcPr>
          <w:p w14:paraId="6B9B5CBA" w14:textId="77777777" w:rsidR="005C68F0" w:rsidRDefault="005C68F0" w:rsidP="003315D6">
            <w:pPr>
              <w:pStyle w:val="ListParagraph"/>
              <w:jc w:val="center"/>
              <w:rPr>
                <w:u w:val="single"/>
              </w:rPr>
            </w:pPr>
          </w:p>
        </w:tc>
      </w:tr>
      <w:tr w:rsidR="00401CC9" w14:paraId="76B292CA" w14:textId="5A42CF45" w:rsidTr="4C20040D">
        <w:trPr>
          <w:jc w:val="center"/>
        </w:trPr>
        <w:tc>
          <w:tcPr>
            <w:tcW w:w="4405" w:type="dxa"/>
          </w:tcPr>
          <w:p w14:paraId="02E95AB6" w14:textId="3387F514" w:rsidR="00401CC9" w:rsidRDefault="00401CC9" w:rsidP="00401CC9">
            <w:pPr>
              <w:pStyle w:val="ListParagraph"/>
              <w:ind w:left="0"/>
            </w:pPr>
            <w:r>
              <w:t>Planned Unit Development</w:t>
            </w:r>
          </w:p>
        </w:tc>
        <w:tc>
          <w:tcPr>
            <w:tcW w:w="2250" w:type="dxa"/>
          </w:tcPr>
          <w:p w14:paraId="22140FE5" w14:textId="6EEF29E8" w:rsidR="00401CC9" w:rsidRDefault="00401CC9" w:rsidP="003315D6">
            <w:pPr>
              <w:pStyle w:val="ListParagraph"/>
              <w:ind w:left="0"/>
              <w:jc w:val="center"/>
            </w:pPr>
            <w:r>
              <w:t>C</w:t>
            </w:r>
          </w:p>
        </w:tc>
      </w:tr>
      <w:tr w:rsidR="005C68F0" w14:paraId="65019357" w14:textId="2D098ED2" w:rsidTr="4C20040D">
        <w:trPr>
          <w:jc w:val="center"/>
        </w:trPr>
        <w:tc>
          <w:tcPr>
            <w:tcW w:w="4405" w:type="dxa"/>
            <w:shd w:val="clear" w:color="auto" w:fill="E7E6E6" w:themeFill="background2"/>
          </w:tcPr>
          <w:p w14:paraId="3BB63DFA" w14:textId="77777777" w:rsidR="005C68F0" w:rsidRDefault="005C68F0" w:rsidP="003315D6">
            <w:pPr>
              <w:pStyle w:val="ListParagraph"/>
              <w:ind w:left="0"/>
              <w:rPr>
                <w:u w:val="single"/>
              </w:rPr>
            </w:pPr>
            <w:r w:rsidRPr="11E7D109">
              <w:rPr>
                <w:u w:val="single"/>
              </w:rPr>
              <w:t>ACCESSORY USES:</w:t>
            </w:r>
          </w:p>
        </w:tc>
        <w:tc>
          <w:tcPr>
            <w:tcW w:w="2250" w:type="dxa"/>
            <w:shd w:val="clear" w:color="auto" w:fill="E7E6E6" w:themeFill="background2"/>
            <w:vAlign w:val="center"/>
          </w:tcPr>
          <w:p w14:paraId="59747D8E" w14:textId="77777777" w:rsidR="005C68F0" w:rsidRDefault="005C68F0" w:rsidP="003315D6">
            <w:pPr>
              <w:pStyle w:val="ListParagraph"/>
              <w:jc w:val="center"/>
              <w:rPr>
                <w:u w:val="single"/>
              </w:rPr>
            </w:pPr>
          </w:p>
        </w:tc>
      </w:tr>
      <w:tr w:rsidR="00EA3B89" w14:paraId="1560894A" w14:textId="77777777" w:rsidTr="4C20040D">
        <w:trPr>
          <w:jc w:val="center"/>
        </w:trPr>
        <w:tc>
          <w:tcPr>
            <w:tcW w:w="4405" w:type="dxa"/>
          </w:tcPr>
          <w:p w14:paraId="66CB0E4A" w14:textId="37DF06FE" w:rsidR="00EA3B89" w:rsidRDefault="00EA3B89" w:rsidP="003315D6">
            <w:pPr>
              <w:pStyle w:val="ListParagraph"/>
              <w:ind w:left="0"/>
            </w:pPr>
            <w:r>
              <w:t>Home Occupation</w:t>
            </w:r>
          </w:p>
        </w:tc>
        <w:tc>
          <w:tcPr>
            <w:tcW w:w="2250" w:type="dxa"/>
            <w:vAlign w:val="center"/>
          </w:tcPr>
          <w:p w14:paraId="16F0224C" w14:textId="528E537D" w:rsidR="00EA3B89" w:rsidRDefault="00484783" w:rsidP="003315D6">
            <w:pPr>
              <w:jc w:val="center"/>
            </w:pPr>
            <w:r>
              <w:t>P</w:t>
            </w:r>
          </w:p>
        </w:tc>
      </w:tr>
      <w:tr w:rsidR="005C68F0" w14:paraId="0C0446CC" w14:textId="77777777" w:rsidTr="4C20040D">
        <w:trPr>
          <w:jc w:val="center"/>
        </w:trPr>
        <w:tc>
          <w:tcPr>
            <w:tcW w:w="4405" w:type="dxa"/>
          </w:tcPr>
          <w:p w14:paraId="06091FDB" w14:textId="1562AF2C" w:rsidR="005C68F0" w:rsidRDefault="005C68F0" w:rsidP="003315D6">
            <w:pPr>
              <w:pStyle w:val="ListParagraph"/>
              <w:ind w:left="0"/>
            </w:pPr>
            <w:r>
              <w:t>Recreational Areas and Facilities</w:t>
            </w:r>
          </w:p>
        </w:tc>
        <w:tc>
          <w:tcPr>
            <w:tcW w:w="2250" w:type="dxa"/>
            <w:vAlign w:val="center"/>
          </w:tcPr>
          <w:p w14:paraId="2717BD2C" w14:textId="65A914D5" w:rsidR="005C68F0" w:rsidRDefault="005C68F0" w:rsidP="003315D6">
            <w:pPr>
              <w:jc w:val="center"/>
            </w:pPr>
            <w:r>
              <w:t>P</w:t>
            </w:r>
          </w:p>
        </w:tc>
      </w:tr>
      <w:tr w:rsidR="006F0AD7" w14:paraId="6A6C6AC3" w14:textId="77777777" w:rsidTr="4C20040D">
        <w:trPr>
          <w:jc w:val="center"/>
        </w:trPr>
        <w:tc>
          <w:tcPr>
            <w:tcW w:w="4405" w:type="dxa"/>
          </w:tcPr>
          <w:p w14:paraId="21D5461E" w14:textId="3C251DCF" w:rsidR="006F0AD7" w:rsidRDefault="006F0AD7" w:rsidP="006F0AD7">
            <w:pPr>
              <w:pStyle w:val="ListParagraph"/>
              <w:ind w:left="0"/>
            </w:pPr>
            <w:r>
              <w:t>Solar Energy System, Accessory</w:t>
            </w:r>
          </w:p>
        </w:tc>
        <w:tc>
          <w:tcPr>
            <w:tcW w:w="2250" w:type="dxa"/>
            <w:vAlign w:val="center"/>
          </w:tcPr>
          <w:p w14:paraId="0DEFBF8C" w14:textId="768022C2" w:rsidR="006F0AD7" w:rsidRDefault="00484783" w:rsidP="006F0AD7">
            <w:pPr>
              <w:jc w:val="center"/>
            </w:pPr>
            <w:r>
              <w:t>P</w:t>
            </w:r>
          </w:p>
        </w:tc>
      </w:tr>
      <w:tr w:rsidR="005C68F0" w14:paraId="13C7522C" w14:textId="77777777" w:rsidTr="4C20040D">
        <w:trPr>
          <w:jc w:val="center"/>
        </w:trPr>
        <w:tc>
          <w:tcPr>
            <w:tcW w:w="4405" w:type="dxa"/>
          </w:tcPr>
          <w:p w14:paraId="729FE0F5" w14:textId="5E768542" w:rsidR="005C68F0" w:rsidRDefault="73564A38" w:rsidP="003315D6">
            <w:pPr>
              <w:pStyle w:val="ListParagraph"/>
              <w:ind w:left="0"/>
            </w:pPr>
            <w:r>
              <w:t xml:space="preserve">Temporary Uses, subject to </w:t>
            </w:r>
            <w:r w:rsidR="3AF83BD7">
              <w:t xml:space="preserve">Chapter </w:t>
            </w:r>
            <w:r>
              <w:t>19.</w:t>
            </w:r>
            <w:r w:rsidR="0481B53D">
              <w:t>44</w:t>
            </w:r>
            <w:r>
              <w:t>.</w:t>
            </w:r>
          </w:p>
        </w:tc>
        <w:tc>
          <w:tcPr>
            <w:tcW w:w="2250" w:type="dxa"/>
            <w:vAlign w:val="center"/>
          </w:tcPr>
          <w:p w14:paraId="7A85F93B" w14:textId="7285DE77" w:rsidR="005C68F0" w:rsidRDefault="005C68F0" w:rsidP="003315D6">
            <w:pPr>
              <w:jc w:val="center"/>
            </w:pPr>
            <w:r>
              <w:t>P</w:t>
            </w:r>
          </w:p>
        </w:tc>
      </w:tr>
      <w:tr w:rsidR="00EA3B89" w14:paraId="07B88131" w14:textId="77777777" w:rsidTr="4C20040D">
        <w:trPr>
          <w:jc w:val="center"/>
        </w:trPr>
        <w:tc>
          <w:tcPr>
            <w:tcW w:w="4405" w:type="dxa"/>
          </w:tcPr>
          <w:p w14:paraId="22B44C8C" w14:textId="1EC4E1A5" w:rsidR="00EA3B89" w:rsidRDefault="00EA3B89" w:rsidP="00EA3B89">
            <w:pPr>
              <w:pStyle w:val="ListParagraph"/>
              <w:ind w:left="0"/>
            </w:pPr>
            <w:r>
              <w:t>Wind Energy System, Accessory</w:t>
            </w:r>
          </w:p>
        </w:tc>
        <w:tc>
          <w:tcPr>
            <w:tcW w:w="2250" w:type="dxa"/>
            <w:vAlign w:val="center"/>
          </w:tcPr>
          <w:p w14:paraId="79E956EB" w14:textId="36D6634E" w:rsidR="00EA3B89" w:rsidRDefault="00484783" w:rsidP="00EA3B89">
            <w:pPr>
              <w:jc w:val="center"/>
            </w:pPr>
            <w:r>
              <w:t>P</w:t>
            </w:r>
          </w:p>
        </w:tc>
      </w:tr>
    </w:tbl>
    <w:p w14:paraId="26C6DC82" w14:textId="77777777" w:rsidR="008405D8" w:rsidRDefault="008405D8" w:rsidP="008405D8">
      <w:pPr>
        <w:pStyle w:val="ListParagraph"/>
      </w:pPr>
    </w:p>
    <w:p w14:paraId="6E771A46" w14:textId="6A6BFEBE" w:rsidR="00454CAC" w:rsidRDefault="00454CAC" w:rsidP="005C37F9">
      <w:pPr>
        <w:pStyle w:val="Heading2"/>
      </w:pPr>
      <w:bookmarkStart w:id="3" w:name="_Toc514227118"/>
      <w:r>
        <w:t>19.</w:t>
      </w:r>
      <w:r w:rsidR="7412EEE6">
        <w:t>40</w:t>
      </w:r>
      <w:r>
        <w:t>.040 – Development Standards</w:t>
      </w:r>
      <w:r w:rsidR="00C024E4">
        <w:t xml:space="preserve"> and Required Yards and Setbacks</w:t>
      </w:r>
      <w:r>
        <w:t xml:space="preserve">. </w:t>
      </w:r>
      <w:bookmarkEnd w:id="3"/>
    </w:p>
    <w:p w14:paraId="68A1388B" w14:textId="3EFA743D" w:rsidR="00A80600" w:rsidRDefault="00D81B47" w:rsidP="008B5B32">
      <w:pPr>
        <w:pStyle w:val="ListParagraph"/>
        <w:numPr>
          <w:ilvl w:val="0"/>
          <w:numId w:val="11"/>
        </w:numPr>
        <w:contextualSpacing w:val="0"/>
        <w:jc w:val="both"/>
      </w:pPr>
      <w:r w:rsidRPr="00EF0092">
        <w:rPr>
          <w:u w:val="single"/>
        </w:rPr>
        <w:lastRenderedPageBreak/>
        <w:t>Lot Area</w:t>
      </w:r>
      <w:r>
        <w:t xml:space="preserve">: The minimum lot area for a mobile home park or mobile home subdivision shall be five (5) acres. </w:t>
      </w:r>
      <w:r w:rsidR="00673B61">
        <w:t>There is no minimum area required per lot, provided that the required yards for each mobile home can be created and maintained.</w:t>
      </w:r>
    </w:p>
    <w:p w14:paraId="49687620" w14:textId="77777777" w:rsidR="00E35869" w:rsidRDefault="00E35869">
      <w:pPr>
        <w:rPr>
          <w:u w:val="single"/>
        </w:rPr>
      </w:pPr>
      <w:r>
        <w:rPr>
          <w:u w:val="single"/>
        </w:rPr>
        <w:br w:type="page"/>
      </w:r>
    </w:p>
    <w:p w14:paraId="691A3859" w14:textId="505AE0A2" w:rsidR="00EF0092" w:rsidRDefault="00244A2B" w:rsidP="008B5B32">
      <w:pPr>
        <w:pStyle w:val="ListParagraph"/>
        <w:numPr>
          <w:ilvl w:val="0"/>
          <w:numId w:val="11"/>
        </w:numPr>
        <w:contextualSpacing w:val="0"/>
        <w:jc w:val="both"/>
      </w:pPr>
      <w:r>
        <w:rPr>
          <w:u w:val="single"/>
        </w:rPr>
        <w:lastRenderedPageBreak/>
        <w:t>Yards and Setbacks</w:t>
      </w:r>
      <w:r w:rsidRPr="00244A2B">
        <w:t>:</w:t>
      </w:r>
      <w:r>
        <w:t xml:space="preserve"> </w:t>
      </w:r>
    </w:p>
    <w:p w14:paraId="6BADACB5" w14:textId="585BCE5E" w:rsidR="007C37B4" w:rsidRDefault="007C37B4" w:rsidP="008B5B32">
      <w:pPr>
        <w:pStyle w:val="ListParagraph"/>
        <w:numPr>
          <w:ilvl w:val="1"/>
          <w:numId w:val="11"/>
        </w:numPr>
        <w:contextualSpacing w:val="0"/>
        <w:jc w:val="both"/>
      </w:pPr>
      <w:r w:rsidRPr="00651858">
        <w:rPr>
          <w:u w:val="single"/>
        </w:rPr>
        <w:t>Front Yard</w:t>
      </w:r>
      <w:r w:rsidRPr="007C37B4">
        <w:t>:</w:t>
      </w:r>
      <w:r>
        <w:t xml:space="preserve"> </w:t>
      </w:r>
      <w:r w:rsidR="00542904">
        <w:t xml:space="preserve">The minimum front yard setback </w:t>
      </w:r>
      <w:r w:rsidR="00FA26C8">
        <w:t xml:space="preserve">shall </w:t>
      </w:r>
      <w:r w:rsidR="00B47D95">
        <w:t xml:space="preserve">be </w:t>
      </w:r>
      <w:r w:rsidR="00FA26C8">
        <w:t xml:space="preserve">seven feet and six inches (7’6”). </w:t>
      </w:r>
    </w:p>
    <w:p w14:paraId="2BEF912B" w14:textId="7C89E6A6" w:rsidR="00246FF8" w:rsidRDefault="00B47D95" w:rsidP="008B5B32">
      <w:pPr>
        <w:pStyle w:val="ListParagraph"/>
        <w:numPr>
          <w:ilvl w:val="1"/>
          <w:numId w:val="11"/>
        </w:numPr>
        <w:contextualSpacing w:val="0"/>
        <w:jc w:val="both"/>
      </w:pPr>
      <w:r w:rsidRPr="00651858">
        <w:rPr>
          <w:u w:val="single"/>
        </w:rPr>
        <w:t>Side Yard</w:t>
      </w:r>
      <w:r w:rsidRPr="00B47D95">
        <w:t>:</w:t>
      </w:r>
      <w:r>
        <w:t xml:space="preserve"> The minimum side yard</w:t>
      </w:r>
      <w:r w:rsidR="00A646D7">
        <w:t xml:space="preserve"> for mobile homes shall be seven feet and six inches (7’6”). </w:t>
      </w:r>
      <w:r w:rsidR="00353A6E" w:rsidRPr="00353A6E">
        <w:t xml:space="preserve">Awnings, patio covers, etc., </w:t>
      </w:r>
      <w:r w:rsidR="00071437">
        <w:t>may</w:t>
      </w:r>
      <w:r w:rsidR="00353A6E" w:rsidRPr="00353A6E">
        <w:t xml:space="preserve"> not be closer than three feet </w:t>
      </w:r>
      <w:r w:rsidR="003F0DFE">
        <w:t xml:space="preserve">(3’) </w:t>
      </w:r>
      <w:r w:rsidR="00353A6E" w:rsidRPr="00353A6E">
        <w:t>from any side property lines. One accessory storage building, not exceeding one hundred twenty cubic feet</w:t>
      </w:r>
      <w:r w:rsidR="003F0DFE">
        <w:t xml:space="preserve"> (120 ft</w:t>
      </w:r>
      <w:r w:rsidR="00246FF8">
        <w:rPr>
          <w:vertAlign w:val="superscript"/>
        </w:rPr>
        <w:t>3</w:t>
      </w:r>
      <w:r w:rsidR="00246FF8">
        <w:t xml:space="preserve">), </w:t>
      </w:r>
      <w:r w:rsidR="00353A6E" w:rsidRPr="00353A6E">
        <w:t xml:space="preserve">is allowed in one side yard and may be three feet </w:t>
      </w:r>
      <w:r w:rsidR="00246FF8">
        <w:t xml:space="preserve">(3’) </w:t>
      </w:r>
      <w:r w:rsidR="00353A6E" w:rsidRPr="00353A6E">
        <w:t xml:space="preserve">from the property line. </w:t>
      </w:r>
    </w:p>
    <w:p w14:paraId="50BC5D3F" w14:textId="2EB87D56" w:rsidR="00B47D95" w:rsidRDefault="00246FF8" w:rsidP="008B5B32">
      <w:pPr>
        <w:pStyle w:val="ListParagraph"/>
        <w:numPr>
          <w:ilvl w:val="2"/>
          <w:numId w:val="11"/>
        </w:numPr>
        <w:contextualSpacing w:val="0"/>
        <w:jc w:val="both"/>
      </w:pPr>
      <w:r w:rsidRPr="00651858">
        <w:rPr>
          <w:u w:val="single"/>
        </w:rPr>
        <w:t>Exception for Corner Lots</w:t>
      </w:r>
      <w:r>
        <w:rPr>
          <w:i/>
          <w:iCs/>
        </w:rPr>
        <w:t xml:space="preserve">: </w:t>
      </w:r>
      <w:r w:rsidR="00353A6E" w:rsidRPr="00353A6E">
        <w:t>On corner lots, there shall be a minimum seven feet</w:t>
      </w:r>
      <w:r>
        <w:t xml:space="preserve"> </w:t>
      </w:r>
      <w:r w:rsidR="00A353A6">
        <w:t>and</w:t>
      </w:r>
      <w:r w:rsidR="00353A6E" w:rsidRPr="00353A6E">
        <w:t xml:space="preserve"> six inches </w:t>
      </w:r>
      <w:r w:rsidR="00A353A6">
        <w:t xml:space="preserve">(7’6”) </w:t>
      </w:r>
      <w:r w:rsidR="00353A6E" w:rsidRPr="00353A6E">
        <w:t xml:space="preserve">of unobstructed yard space on the </w:t>
      </w:r>
      <w:r w:rsidR="006C5B60">
        <w:t>private</w:t>
      </w:r>
      <w:r w:rsidR="00C853E8">
        <w:t xml:space="preserve"> </w:t>
      </w:r>
      <w:r w:rsidR="00353A6E" w:rsidRPr="00353A6E">
        <w:t>street side of the lot. No parking, awnings, patios, storage sheds or fences</w:t>
      </w:r>
      <w:r w:rsidR="00A353A6">
        <w:t xml:space="preserve"> may occupy that unobstructed yard space.</w:t>
      </w:r>
    </w:p>
    <w:p w14:paraId="2BC354DB" w14:textId="6DFE95E2" w:rsidR="00C024E4" w:rsidRDefault="00C024E4" w:rsidP="00C024E4">
      <w:pPr>
        <w:pStyle w:val="ListParagraph"/>
        <w:numPr>
          <w:ilvl w:val="1"/>
          <w:numId w:val="11"/>
        </w:numPr>
        <w:contextualSpacing w:val="0"/>
        <w:jc w:val="both"/>
      </w:pPr>
      <w:r w:rsidRPr="00651858">
        <w:rPr>
          <w:u w:val="single"/>
        </w:rPr>
        <w:t>Rear Yard</w:t>
      </w:r>
      <w:r w:rsidR="00244C46">
        <w:rPr>
          <w:i/>
          <w:iCs/>
        </w:rPr>
        <w:t xml:space="preserve">: </w:t>
      </w:r>
      <w:r w:rsidR="00244C46" w:rsidRPr="00244C46">
        <w:t xml:space="preserve">The minimum rear yard </w:t>
      </w:r>
      <w:r w:rsidR="00651858">
        <w:t>is</w:t>
      </w:r>
      <w:r w:rsidR="00244C46" w:rsidRPr="00244C46">
        <w:t xml:space="preserve"> ten feet (10’).</w:t>
      </w:r>
    </w:p>
    <w:p w14:paraId="086B0A6D" w14:textId="550F6A70" w:rsidR="00B16C5C" w:rsidRDefault="00B16C5C" w:rsidP="00C024E4">
      <w:pPr>
        <w:pStyle w:val="ListParagraph"/>
        <w:numPr>
          <w:ilvl w:val="1"/>
          <w:numId w:val="11"/>
        </w:numPr>
        <w:contextualSpacing w:val="0"/>
        <w:jc w:val="both"/>
      </w:pPr>
      <w:r w:rsidRPr="00651858">
        <w:rPr>
          <w:u w:val="single"/>
        </w:rPr>
        <w:t>Exceptions to Yard Requirements</w:t>
      </w:r>
      <w:r>
        <w:rPr>
          <w:i/>
          <w:iCs/>
        </w:rPr>
        <w:t>:</w:t>
      </w:r>
      <w:r>
        <w:t xml:space="preserve"> </w:t>
      </w:r>
      <w:r w:rsidR="00AA670D">
        <w:t xml:space="preserve">Any yard adjoining a public street must be a minimum of twenty-five feet (25’). </w:t>
      </w:r>
    </w:p>
    <w:p w14:paraId="1B42DA68" w14:textId="336621C7" w:rsidR="00321616" w:rsidRDefault="00321616" w:rsidP="00321616">
      <w:pPr>
        <w:pStyle w:val="ListParagraph"/>
        <w:numPr>
          <w:ilvl w:val="0"/>
          <w:numId w:val="11"/>
        </w:numPr>
        <w:contextualSpacing w:val="0"/>
        <w:jc w:val="both"/>
      </w:pPr>
      <w:r w:rsidRPr="00141F78">
        <w:rPr>
          <w:u w:val="single"/>
        </w:rPr>
        <w:t>Other Development Standards</w:t>
      </w:r>
      <w:r>
        <w:t>:</w:t>
      </w:r>
    </w:p>
    <w:p w14:paraId="6B2F6EA8" w14:textId="68D722F5" w:rsidR="005B0D83" w:rsidRDefault="00141F78" w:rsidP="00321616">
      <w:pPr>
        <w:pStyle w:val="ListParagraph"/>
        <w:numPr>
          <w:ilvl w:val="1"/>
          <w:numId w:val="11"/>
        </w:numPr>
        <w:contextualSpacing w:val="0"/>
        <w:jc w:val="both"/>
      </w:pPr>
      <w:r w:rsidRPr="0064624D">
        <w:rPr>
          <w:u w:val="single"/>
        </w:rPr>
        <w:t>Coverage Restrictions</w:t>
      </w:r>
      <w:r>
        <w:t xml:space="preserve">: </w:t>
      </w:r>
      <w:r w:rsidRPr="00141F78">
        <w:t xml:space="preserve">In the RMH zone, the front yard, or any space within three feet </w:t>
      </w:r>
      <w:r w:rsidR="00D91231">
        <w:t xml:space="preserve">(3’) </w:t>
      </w:r>
      <w:r w:rsidRPr="00141F78">
        <w:t xml:space="preserve">of the side and rear property lines, </w:t>
      </w:r>
      <w:r w:rsidR="00071437">
        <w:t>may</w:t>
      </w:r>
      <w:r w:rsidRPr="00141F78">
        <w:t xml:space="preserve"> not be occupied, and shall be open and unobstructed to the sky. Lot coverage </w:t>
      </w:r>
      <w:r w:rsidR="00071437">
        <w:t>may</w:t>
      </w:r>
      <w:r w:rsidRPr="00141F78">
        <w:t xml:space="preserve"> not exceed seventy-five percent </w:t>
      </w:r>
      <w:r w:rsidR="00D91231">
        <w:t xml:space="preserve">(75%) </w:t>
      </w:r>
      <w:r w:rsidRPr="00141F78">
        <w:t xml:space="preserve">of the lot. </w:t>
      </w:r>
    </w:p>
    <w:p w14:paraId="2CE42ED7" w14:textId="1C9A6C0A" w:rsidR="00321616" w:rsidRDefault="00141F78" w:rsidP="005B0D83">
      <w:pPr>
        <w:pStyle w:val="ListParagraph"/>
        <w:numPr>
          <w:ilvl w:val="2"/>
          <w:numId w:val="11"/>
        </w:numPr>
        <w:contextualSpacing w:val="0"/>
        <w:jc w:val="both"/>
      </w:pPr>
      <w:r w:rsidRPr="00141F78">
        <w:t>"Occupied" means covered by a mobile home, garage, carport, cabana, awning, storage building, or structure of any kind.</w:t>
      </w:r>
    </w:p>
    <w:p w14:paraId="5F57FA83" w14:textId="2AD06B0A" w:rsidR="005B0D83" w:rsidRDefault="005B0D83" w:rsidP="005B0D83">
      <w:pPr>
        <w:pStyle w:val="ListParagraph"/>
        <w:numPr>
          <w:ilvl w:val="1"/>
          <w:numId w:val="11"/>
        </w:numPr>
        <w:contextualSpacing w:val="0"/>
        <w:jc w:val="both"/>
      </w:pPr>
      <w:r w:rsidRPr="0064624D">
        <w:rPr>
          <w:u w:val="single"/>
        </w:rPr>
        <w:t>Building Height</w:t>
      </w:r>
      <w:r>
        <w:t xml:space="preserve">: </w:t>
      </w:r>
      <w:r w:rsidR="00B00EE2" w:rsidRPr="00B00EE2">
        <w:t xml:space="preserve">In the RMH zone, no mobile home shall contain more than one story, or exceed twelve feet </w:t>
      </w:r>
      <w:r w:rsidR="00B00EE2">
        <w:t xml:space="preserve">(12’) </w:t>
      </w:r>
      <w:r w:rsidR="00B00EE2" w:rsidRPr="00B00EE2">
        <w:t>in height. No accessory building shall contain more than one story or exceed twelve feet</w:t>
      </w:r>
      <w:r w:rsidR="00B00EE2">
        <w:t xml:space="preserve"> (12’)</w:t>
      </w:r>
      <w:r w:rsidR="00B00EE2" w:rsidRPr="00B00EE2">
        <w:t xml:space="preserve"> in height. Other main buildings (clubhouses, recreation buildings, etc.) </w:t>
      </w:r>
      <w:r w:rsidR="00071437">
        <w:t>may</w:t>
      </w:r>
      <w:r w:rsidR="00B00EE2" w:rsidRPr="00B00EE2">
        <w:t xml:space="preserve"> not exceed twenty-five feet </w:t>
      </w:r>
      <w:r w:rsidR="00B00EE2">
        <w:t xml:space="preserve">(25’) </w:t>
      </w:r>
      <w:r w:rsidR="00B00EE2" w:rsidRPr="00B00EE2">
        <w:t>in height.</w:t>
      </w:r>
    </w:p>
    <w:p w14:paraId="5DF58F1D" w14:textId="77BEB7D4" w:rsidR="00454CAC" w:rsidRPr="00E904A7" w:rsidRDefault="00454CAC" w:rsidP="005C37F9">
      <w:pPr>
        <w:pStyle w:val="Heading2"/>
      </w:pPr>
      <w:bookmarkStart w:id="4" w:name="_Toc1299364443"/>
      <w:r>
        <w:t>19.</w:t>
      </w:r>
      <w:r w:rsidR="32825998">
        <w:t>40</w:t>
      </w:r>
      <w:r>
        <w:t xml:space="preserve">.050 – </w:t>
      </w:r>
      <w:r w:rsidR="003669F6">
        <w:t>Mobile Home Parks and Subdivisions, Standards and Review</w:t>
      </w:r>
      <w:r>
        <w:t>.</w:t>
      </w:r>
      <w:bookmarkEnd w:id="4"/>
    </w:p>
    <w:p w14:paraId="1FFFF7EA" w14:textId="1C359E88" w:rsidR="00A840E5" w:rsidRDefault="007E6D2A" w:rsidP="00AB5384">
      <w:pPr>
        <w:pStyle w:val="ListParagraph"/>
        <w:numPr>
          <w:ilvl w:val="0"/>
          <w:numId w:val="12"/>
        </w:numPr>
        <w:contextualSpacing w:val="0"/>
        <w:jc w:val="both"/>
      </w:pPr>
      <w:r w:rsidRPr="007E6D2A">
        <w:rPr>
          <w:u w:val="single"/>
        </w:rPr>
        <w:t>Review and Approval</w:t>
      </w:r>
      <w:r>
        <w:t xml:space="preserve">: </w:t>
      </w:r>
      <w:r w:rsidR="00290C14" w:rsidRPr="00290C14">
        <w:t xml:space="preserve">A mobile home subdivision shall follow the review and approval process, as outlined in </w:t>
      </w:r>
      <w:r w:rsidR="003C3410">
        <w:t>Magna</w:t>
      </w:r>
      <w:r w:rsidR="00290C14">
        <w:t>’</w:t>
      </w:r>
      <w:r w:rsidR="003C3410">
        <w:t>s</w:t>
      </w:r>
      <w:r w:rsidR="00290C14" w:rsidRPr="00290C14">
        <w:t xml:space="preserve"> </w:t>
      </w:r>
      <w:r w:rsidR="00290C14">
        <w:t>S</w:t>
      </w:r>
      <w:r w:rsidR="00290C14" w:rsidRPr="00290C14">
        <w:t xml:space="preserve">ubdivision </w:t>
      </w:r>
      <w:r w:rsidR="00290C14">
        <w:t>O</w:t>
      </w:r>
      <w:r w:rsidR="00290C14" w:rsidRPr="00290C14">
        <w:t>rdinance. Public streets shall meet the standard</w:t>
      </w:r>
      <w:r w:rsidR="00F64D66">
        <w:t>s</w:t>
      </w:r>
      <w:r w:rsidR="00290C14" w:rsidRPr="00290C14">
        <w:t xml:space="preserve"> outlined in the </w:t>
      </w:r>
      <w:r w:rsidR="00F64D66">
        <w:t>S</w:t>
      </w:r>
      <w:r w:rsidR="00290C14" w:rsidRPr="00290C14">
        <w:t xml:space="preserve">ubdivision </w:t>
      </w:r>
      <w:r w:rsidR="00F64D66">
        <w:t>O</w:t>
      </w:r>
      <w:r w:rsidR="00290C14" w:rsidRPr="00290C14">
        <w:t>rdinance. Private street standards shall be determined by conditional use review and approval.</w:t>
      </w:r>
    </w:p>
    <w:p w14:paraId="52EE324C" w14:textId="6900BD56" w:rsidR="005516DC" w:rsidRDefault="005516DC" w:rsidP="00AB5384">
      <w:pPr>
        <w:pStyle w:val="ListParagraph"/>
        <w:numPr>
          <w:ilvl w:val="0"/>
          <w:numId w:val="12"/>
        </w:numPr>
        <w:contextualSpacing w:val="0"/>
        <w:jc w:val="both"/>
      </w:pPr>
      <w:r>
        <w:rPr>
          <w:u w:val="single"/>
        </w:rPr>
        <w:t>Mobile Home Park and Subdivision Maintenance</w:t>
      </w:r>
      <w:r w:rsidRPr="005516DC">
        <w:t>:</w:t>
      </w:r>
      <w:r>
        <w:t xml:space="preserve"> </w:t>
      </w:r>
      <w:r w:rsidR="00AB5384" w:rsidRPr="00AB5384">
        <w:t>Maintenance of all areas and improvements owned in common by the lot owners, such as clubhouses, common landscaped areas, recreation facilities, playgrounds, roads, sewer and water utilities, and electrical systems, shall be the responsibility of an owner's association created with articles of association and bylaws approved by the attorney.</w:t>
      </w:r>
    </w:p>
    <w:p w14:paraId="5C2AF243" w14:textId="77777777" w:rsidR="00E35869" w:rsidRDefault="00E35869">
      <w:pPr>
        <w:rPr>
          <w:b/>
          <w:bCs/>
        </w:rPr>
      </w:pPr>
      <w:r>
        <w:br w:type="page"/>
      </w:r>
    </w:p>
    <w:p w14:paraId="294E3E42" w14:textId="4F847D0D" w:rsidR="00454CAC" w:rsidRPr="00E904A7" w:rsidRDefault="00454CAC" w:rsidP="005C37F9">
      <w:pPr>
        <w:pStyle w:val="Heading2"/>
      </w:pPr>
      <w:bookmarkStart w:id="5" w:name="_Toc1399109555"/>
      <w:r>
        <w:lastRenderedPageBreak/>
        <w:t>19.</w:t>
      </w:r>
      <w:r w:rsidR="1DA87AC7">
        <w:t>40</w:t>
      </w:r>
      <w:r>
        <w:t xml:space="preserve">.060 – </w:t>
      </w:r>
      <w:r w:rsidR="00CA56E3">
        <w:t>General Information</w:t>
      </w:r>
      <w:r>
        <w:t>.</w:t>
      </w:r>
      <w:bookmarkEnd w:id="5"/>
    </w:p>
    <w:p w14:paraId="515F9B14" w14:textId="4808144C" w:rsidR="0027578F" w:rsidRDefault="0027578F" w:rsidP="0027578F">
      <w:pPr>
        <w:pStyle w:val="paragraph"/>
        <w:spacing w:before="0" w:beforeAutospacing="0" w:after="160" w:afterAutospacing="0"/>
        <w:jc w:val="both"/>
        <w:textAlignment w:val="baseline"/>
        <w:rPr>
          <w:rFonts w:ascii="Calibri" w:hAnsi="Calibri" w:cs="Calibri"/>
          <w:sz w:val="22"/>
          <w:szCs w:val="22"/>
        </w:rPr>
      </w:pPr>
      <w:r>
        <w:rPr>
          <w:rStyle w:val="normaltextrun"/>
          <w:rFonts w:ascii="Calibri" w:hAnsi="Calibri" w:cs="Calibri"/>
          <w:sz w:val="22"/>
          <w:szCs w:val="22"/>
        </w:rPr>
        <w:t>It is the responsibility of the applicant to comply with all other standards of Title 19 and all other municipal ordinances</w:t>
      </w:r>
      <w:r w:rsidR="005C37F9">
        <w:rPr>
          <w:rStyle w:val="normaltextrun"/>
          <w:rFonts w:ascii="Calibri" w:hAnsi="Calibri" w:cs="Calibri"/>
          <w:sz w:val="22"/>
          <w:szCs w:val="22"/>
        </w:rPr>
        <w:t>, including</w:t>
      </w:r>
      <w:r>
        <w:rPr>
          <w:rStyle w:val="normaltextrun"/>
          <w:rFonts w:ascii="Calibri" w:hAnsi="Calibri" w:cs="Calibri"/>
          <w:sz w:val="22"/>
          <w:szCs w:val="22"/>
        </w:rPr>
        <w:t>:  </w:t>
      </w:r>
      <w:r>
        <w:rPr>
          <w:rStyle w:val="eop"/>
          <w:rFonts w:ascii="Calibri" w:hAnsi="Calibri" w:cs="Calibri"/>
          <w:sz w:val="22"/>
          <w:szCs w:val="22"/>
        </w:rPr>
        <w:t> </w:t>
      </w:r>
    </w:p>
    <w:p w14:paraId="5BCD21BC" w14:textId="77777777" w:rsidR="0027578F" w:rsidRDefault="0027578F" w:rsidP="0027578F">
      <w:pPr>
        <w:pStyle w:val="paragraph"/>
        <w:numPr>
          <w:ilvl w:val="0"/>
          <w:numId w:val="8"/>
        </w:numPr>
        <w:spacing w:before="0" w:beforeAutospacing="0" w:after="160" w:afterAutospacing="0"/>
        <w:jc w:val="both"/>
        <w:textAlignment w:val="baseline"/>
        <w:rPr>
          <w:rFonts w:ascii="Calibri" w:hAnsi="Calibri" w:cs="Calibri"/>
          <w:sz w:val="22"/>
          <w:szCs w:val="22"/>
        </w:rPr>
      </w:pPr>
      <w:r>
        <w:rPr>
          <w:rStyle w:val="normaltextrun"/>
          <w:rFonts w:ascii="Calibri" w:hAnsi="Calibri" w:cs="Calibri"/>
          <w:sz w:val="22"/>
          <w:szCs w:val="22"/>
        </w:rPr>
        <w:t>19.XX: Specific Use Standards</w:t>
      </w:r>
      <w:r>
        <w:rPr>
          <w:rStyle w:val="eop"/>
          <w:rFonts w:ascii="Calibri" w:hAnsi="Calibri" w:cs="Calibri"/>
          <w:sz w:val="22"/>
          <w:szCs w:val="22"/>
        </w:rPr>
        <w:t> </w:t>
      </w:r>
    </w:p>
    <w:p w14:paraId="67941079" w14:textId="77777777" w:rsidR="0027578F" w:rsidRDefault="0027578F" w:rsidP="0027578F">
      <w:pPr>
        <w:pStyle w:val="paragraph"/>
        <w:numPr>
          <w:ilvl w:val="0"/>
          <w:numId w:val="8"/>
        </w:numPr>
        <w:spacing w:before="0" w:beforeAutospacing="0" w:after="160" w:afterAutospacing="0"/>
        <w:jc w:val="both"/>
        <w:textAlignment w:val="baseline"/>
        <w:rPr>
          <w:rFonts w:ascii="Calibri" w:hAnsi="Calibri" w:cs="Calibri"/>
          <w:sz w:val="22"/>
          <w:szCs w:val="22"/>
        </w:rPr>
      </w:pPr>
      <w:r>
        <w:rPr>
          <w:rStyle w:val="normaltextrun"/>
          <w:rFonts w:ascii="Calibri" w:hAnsi="Calibri" w:cs="Calibri"/>
          <w:sz w:val="22"/>
          <w:szCs w:val="22"/>
        </w:rPr>
        <w:t>19.XX: Site Development Standards  </w:t>
      </w:r>
      <w:r>
        <w:rPr>
          <w:rStyle w:val="eop"/>
          <w:rFonts w:ascii="Calibri" w:hAnsi="Calibri" w:cs="Calibri"/>
          <w:sz w:val="22"/>
          <w:szCs w:val="22"/>
        </w:rPr>
        <w:t> </w:t>
      </w:r>
    </w:p>
    <w:p w14:paraId="3648D05E" w14:textId="77777777" w:rsidR="0027578F" w:rsidRDefault="0027578F" w:rsidP="0027578F">
      <w:pPr>
        <w:pStyle w:val="paragraph"/>
        <w:numPr>
          <w:ilvl w:val="0"/>
          <w:numId w:val="8"/>
        </w:numPr>
        <w:spacing w:before="0" w:beforeAutospacing="0" w:after="160" w:afterAutospacing="0"/>
        <w:jc w:val="both"/>
        <w:textAlignment w:val="baseline"/>
        <w:rPr>
          <w:rFonts w:ascii="Calibri" w:hAnsi="Calibri" w:cs="Calibri"/>
          <w:sz w:val="22"/>
          <w:szCs w:val="22"/>
        </w:rPr>
      </w:pPr>
      <w:r>
        <w:rPr>
          <w:rStyle w:val="normaltextrun"/>
          <w:rFonts w:ascii="Calibri" w:hAnsi="Calibri" w:cs="Calibri"/>
          <w:sz w:val="22"/>
          <w:szCs w:val="22"/>
        </w:rPr>
        <w:t>19.XX: Off Street Parking Requirements  </w:t>
      </w:r>
      <w:r>
        <w:rPr>
          <w:rStyle w:val="eop"/>
          <w:rFonts w:ascii="Calibri" w:hAnsi="Calibri" w:cs="Calibri"/>
          <w:sz w:val="22"/>
          <w:szCs w:val="22"/>
        </w:rPr>
        <w:t> </w:t>
      </w:r>
    </w:p>
    <w:p w14:paraId="226E7AE5" w14:textId="77777777" w:rsidR="0027578F" w:rsidRDefault="0027578F" w:rsidP="0027578F">
      <w:pPr>
        <w:pStyle w:val="paragraph"/>
        <w:numPr>
          <w:ilvl w:val="0"/>
          <w:numId w:val="8"/>
        </w:numPr>
        <w:spacing w:before="0" w:beforeAutospacing="0" w:after="160" w:afterAutospacing="0"/>
        <w:jc w:val="both"/>
        <w:textAlignment w:val="baseline"/>
        <w:rPr>
          <w:rFonts w:ascii="Calibri" w:hAnsi="Calibri" w:cs="Calibri"/>
          <w:sz w:val="22"/>
          <w:szCs w:val="22"/>
        </w:rPr>
      </w:pPr>
      <w:r>
        <w:rPr>
          <w:rStyle w:val="normaltextrun"/>
          <w:rFonts w:ascii="Calibri" w:hAnsi="Calibri" w:cs="Calibri"/>
          <w:sz w:val="22"/>
          <w:szCs w:val="22"/>
        </w:rPr>
        <w:t>19.XX: Signs</w:t>
      </w:r>
      <w:r>
        <w:rPr>
          <w:rStyle w:val="eop"/>
          <w:rFonts w:ascii="Calibri" w:hAnsi="Calibri" w:cs="Calibri"/>
          <w:sz w:val="22"/>
          <w:szCs w:val="22"/>
        </w:rPr>
        <w:t> </w:t>
      </w:r>
    </w:p>
    <w:p w14:paraId="01D1F4E0" w14:textId="31FB6E3C" w:rsidR="00454CAC" w:rsidRDefault="00454CAC" w:rsidP="4A348088"/>
    <w:sectPr w:rsidR="00454C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ADDA" w14:textId="77777777" w:rsidR="004239A3" w:rsidRDefault="004239A3" w:rsidP="00500233">
      <w:pPr>
        <w:spacing w:after="0" w:line="240" w:lineRule="auto"/>
      </w:pPr>
      <w:r>
        <w:separator/>
      </w:r>
    </w:p>
  </w:endnote>
  <w:endnote w:type="continuationSeparator" w:id="0">
    <w:p w14:paraId="61B27C73" w14:textId="77777777" w:rsidR="004239A3" w:rsidRDefault="004239A3" w:rsidP="00500233">
      <w:pPr>
        <w:spacing w:after="0" w:line="240" w:lineRule="auto"/>
      </w:pPr>
      <w:r>
        <w:continuationSeparator/>
      </w:r>
    </w:p>
  </w:endnote>
  <w:endnote w:type="continuationNotice" w:id="1">
    <w:p w14:paraId="6E0737BA" w14:textId="77777777" w:rsidR="004239A3" w:rsidRDefault="00423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748757"/>
      <w:docPartObj>
        <w:docPartGallery w:val="Page Numbers (Bottom of Page)"/>
        <w:docPartUnique/>
      </w:docPartObj>
    </w:sdtPr>
    <w:sdtEndPr/>
    <w:sdtContent>
      <w:sdt>
        <w:sdtPr>
          <w:id w:val="1728636285"/>
          <w:docPartObj>
            <w:docPartGallery w:val="Page Numbers (Top of Page)"/>
            <w:docPartUnique/>
          </w:docPartObj>
        </w:sdtPr>
        <w:sdtEndPr/>
        <w:sdtContent>
          <w:p w14:paraId="515D705D" w14:textId="2BA5F7EF" w:rsidR="00500233" w:rsidRDefault="005002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712629" w14:textId="77777777" w:rsidR="00500233" w:rsidRDefault="0050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14BC" w14:textId="77777777" w:rsidR="004239A3" w:rsidRDefault="004239A3" w:rsidP="00500233">
      <w:pPr>
        <w:spacing w:after="0" w:line="240" w:lineRule="auto"/>
      </w:pPr>
      <w:r>
        <w:separator/>
      </w:r>
    </w:p>
  </w:footnote>
  <w:footnote w:type="continuationSeparator" w:id="0">
    <w:p w14:paraId="17E97E58" w14:textId="77777777" w:rsidR="004239A3" w:rsidRDefault="004239A3" w:rsidP="00500233">
      <w:pPr>
        <w:spacing w:after="0" w:line="240" w:lineRule="auto"/>
      </w:pPr>
      <w:r>
        <w:continuationSeparator/>
      </w:r>
    </w:p>
  </w:footnote>
  <w:footnote w:type="continuationNotice" w:id="1">
    <w:p w14:paraId="778295B6" w14:textId="77777777" w:rsidR="004239A3" w:rsidRDefault="004239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E1E"/>
    <w:multiLevelType w:val="multilevel"/>
    <w:tmpl w:val="0F3602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414B9D"/>
    <w:multiLevelType w:val="hybridMultilevel"/>
    <w:tmpl w:val="3CF02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F71F9"/>
    <w:multiLevelType w:val="multilevel"/>
    <w:tmpl w:val="0F3602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1D5EEE"/>
    <w:multiLevelType w:val="hybridMultilevel"/>
    <w:tmpl w:val="56C66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82C8E"/>
    <w:multiLevelType w:val="multilevel"/>
    <w:tmpl w:val="E216EF2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F77A38"/>
    <w:multiLevelType w:val="hybridMultilevel"/>
    <w:tmpl w:val="1EBC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83299"/>
    <w:multiLevelType w:val="hybridMultilevel"/>
    <w:tmpl w:val="84FAD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82384"/>
    <w:multiLevelType w:val="multilevel"/>
    <w:tmpl w:val="528AE7A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F9A0575"/>
    <w:multiLevelType w:val="multilevel"/>
    <w:tmpl w:val="0F3602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6E2C2E"/>
    <w:multiLevelType w:val="hybridMultilevel"/>
    <w:tmpl w:val="3CF02A6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D70FE4"/>
    <w:multiLevelType w:val="hybridMultilevel"/>
    <w:tmpl w:val="9648E8C8"/>
    <w:lvl w:ilvl="0" w:tplc="F68AB8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E5261"/>
    <w:multiLevelType w:val="multilevel"/>
    <w:tmpl w:val="0F3602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583639"/>
    <w:multiLevelType w:val="multilevel"/>
    <w:tmpl w:val="E118136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62D5D8C"/>
    <w:multiLevelType w:val="multilevel"/>
    <w:tmpl w:val="1D2A15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808474397">
    <w:abstractNumId w:val="3"/>
  </w:num>
  <w:num w:numId="2" w16cid:durableId="1507018991">
    <w:abstractNumId w:val="8"/>
  </w:num>
  <w:num w:numId="3" w16cid:durableId="990595683">
    <w:abstractNumId w:val="10"/>
  </w:num>
  <w:num w:numId="4" w16cid:durableId="693961628">
    <w:abstractNumId w:val="13"/>
  </w:num>
  <w:num w:numId="5" w16cid:durableId="929658765">
    <w:abstractNumId w:val="4"/>
  </w:num>
  <w:num w:numId="6" w16cid:durableId="503014613">
    <w:abstractNumId w:val="7"/>
  </w:num>
  <w:num w:numId="7" w16cid:durableId="334112623">
    <w:abstractNumId w:val="12"/>
  </w:num>
  <w:num w:numId="8" w16cid:durableId="20017480">
    <w:abstractNumId w:val="6"/>
  </w:num>
  <w:num w:numId="9" w16cid:durableId="1050033122">
    <w:abstractNumId w:val="1"/>
  </w:num>
  <w:num w:numId="10" w16cid:durableId="307366203">
    <w:abstractNumId w:val="9"/>
  </w:num>
  <w:num w:numId="11" w16cid:durableId="1023479260">
    <w:abstractNumId w:val="11"/>
  </w:num>
  <w:num w:numId="12" w16cid:durableId="423576653">
    <w:abstractNumId w:val="0"/>
  </w:num>
  <w:num w:numId="13" w16cid:durableId="675619996">
    <w:abstractNumId w:val="5"/>
  </w:num>
  <w:num w:numId="14" w16cid:durableId="566234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E4BDF4"/>
    <w:rsid w:val="000074A9"/>
    <w:rsid w:val="00047DBE"/>
    <w:rsid w:val="0006287A"/>
    <w:rsid w:val="00071437"/>
    <w:rsid w:val="00074044"/>
    <w:rsid w:val="00086366"/>
    <w:rsid w:val="000A509C"/>
    <w:rsid w:val="000A702A"/>
    <w:rsid w:val="000E48DE"/>
    <w:rsid w:val="000F08C3"/>
    <w:rsid w:val="00110127"/>
    <w:rsid w:val="00141F78"/>
    <w:rsid w:val="00142117"/>
    <w:rsid w:val="001C07BD"/>
    <w:rsid w:val="00205B5D"/>
    <w:rsid w:val="0020689D"/>
    <w:rsid w:val="00222021"/>
    <w:rsid w:val="00231747"/>
    <w:rsid w:val="00243C08"/>
    <w:rsid w:val="00244A2B"/>
    <w:rsid w:val="00244C46"/>
    <w:rsid w:val="00246FF8"/>
    <w:rsid w:val="0025330D"/>
    <w:rsid w:val="0027578F"/>
    <w:rsid w:val="002817FF"/>
    <w:rsid w:val="00282779"/>
    <w:rsid w:val="00290C14"/>
    <w:rsid w:val="00296FD8"/>
    <w:rsid w:val="002B3F5E"/>
    <w:rsid w:val="002D7F00"/>
    <w:rsid w:val="002F1D87"/>
    <w:rsid w:val="00302FD3"/>
    <w:rsid w:val="00321616"/>
    <w:rsid w:val="00333108"/>
    <w:rsid w:val="0034776C"/>
    <w:rsid w:val="00353A6E"/>
    <w:rsid w:val="003651E7"/>
    <w:rsid w:val="003669F6"/>
    <w:rsid w:val="003717CA"/>
    <w:rsid w:val="003901DB"/>
    <w:rsid w:val="003C3410"/>
    <w:rsid w:val="003E1143"/>
    <w:rsid w:val="003F0DFE"/>
    <w:rsid w:val="00401CC9"/>
    <w:rsid w:val="00404E21"/>
    <w:rsid w:val="004239A3"/>
    <w:rsid w:val="00424929"/>
    <w:rsid w:val="00453E9D"/>
    <w:rsid w:val="00454CAC"/>
    <w:rsid w:val="004746D5"/>
    <w:rsid w:val="00484783"/>
    <w:rsid w:val="004D6ED5"/>
    <w:rsid w:val="004F37E0"/>
    <w:rsid w:val="00500233"/>
    <w:rsid w:val="0050626B"/>
    <w:rsid w:val="00523CB0"/>
    <w:rsid w:val="00542904"/>
    <w:rsid w:val="00543999"/>
    <w:rsid w:val="005516DC"/>
    <w:rsid w:val="00555F2E"/>
    <w:rsid w:val="00556ACC"/>
    <w:rsid w:val="0056609A"/>
    <w:rsid w:val="005674BD"/>
    <w:rsid w:val="00582548"/>
    <w:rsid w:val="005B0D83"/>
    <w:rsid w:val="005C37F9"/>
    <w:rsid w:val="005C68F0"/>
    <w:rsid w:val="00600E5B"/>
    <w:rsid w:val="00604F77"/>
    <w:rsid w:val="00614E6F"/>
    <w:rsid w:val="006159E0"/>
    <w:rsid w:val="006240F6"/>
    <w:rsid w:val="0063236B"/>
    <w:rsid w:val="006340EF"/>
    <w:rsid w:val="006352CD"/>
    <w:rsid w:val="00636DA3"/>
    <w:rsid w:val="006452D6"/>
    <w:rsid w:val="0064624D"/>
    <w:rsid w:val="00651858"/>
    <w:rsid w:val="00657423"/>
    <w:rsid w:val="00673B61"/>
    <w:rsid w:val="006A2350"/>
    <w:rsid w:val="006C39B7"/>
    <w:rsid w:val="006C5B60"/>
    <w:rsid w:val="006E0A34"/>
    <w:rsid w:val="006E2A70"/>
    <w:rsid w:val="006F0AD7"/>
    <w:rsid w:val="007103CF"/>
    <w:rsid w:val="00716F7A"/>
    <w:rsid w:val="00726F7B"/>
    <w:rsid w:val="00733E9C"/>
    <w:rsid w:val="0075645E"/>
    <w:rsid w:val="00775613"/>
    <w:rsid w:val="00790DEA"/>
    <w:rsid w:val="007B60AA"/>
    <w:rsid w:val="007C0182"/>
    <w:rsid w:val="007C37B4"/>
    <w:rsid w:val="007E6D2A"/>
    <w:rsid w:val="007F0AA7"/>
    <w:rsid w:val="007F1DF7"/>
    <w:rsid w:val="00806F66"/>
    <w:rsid w:val="0082495B"/>
    <w:rsid w:val="008405D8"/>
    <w:rsid w:val="008700E1"/>
    <w:rsid w:val="00873D62"/>
    <w:rsid w:val="0089319C"/>
    <w:rsid w:val="008A2FB5"/>
    <w:rsid w:val="008B5B32"/>
    <w:rsid w:val="008B73D2"/>
    <w:rsid w:val="008C3182"/>
    <w:rsid w:val="00906906"/>
    <w:rsid w:val="009278C7"/>
    <w:rsid w:val="009279F3"/>
    <w:rsid w:val="00932D13"/>
    <w:rsid w:val="0095665B"/>
    <w:rsid w:val="009A0377"/>
    <w:rsid w:val="009B7098"/>
    <w:rsid w:val="00A34C68"/>
    <w:rsid w:val="00A353A6"/>
    <w:rsid w:val="00A45FD0"/>
    <w:rsid w:val="00A57FC5"/>
    <w:rsid w:val="00A646D7"/>
    <w:rsid w:val="00A80600"/>
    <w:rsid w:val="00A840E5"/>
    <w:rsid w:val="00AA670D"/>
    <w:rsid w:val="00AA71CA"/>
    <w:rsid w:val="00AB5384"/>
    <w:rsid w:val="00AC0950"/>
    <w:rsid w:val="00AC1780"/>
    <w:rsid w:val="00AE214F"/>
    <w:rsid w:val="00AE2E24"/>
    <w:rsid w:val="00B00EE2"/>
    <w:rsid w:val="00B16C5C"/>
    <w:rsid w:val="00B26001"/>
    <w:rsid w:val="00B47D95"/>
    <w:rsid w:val="00B533C2"/>
    <w:rsid w:val="00BA3AF2"/>
    <w:rsid w:val="00BC0998"/>
    <w:rsid w:val="00BE070B"/>
    <w:rsid w:val="00BE3CC9"/>
    <w:rsid w:val="00BE4B32"/>
    <w:rsid w:val="00BF392E"/>
    <w:rsid w:val="00BF4A30"/>
    <w:rsid w:val="00C024E4"/>
    <w:rsid w:val="00C04951"/>
    <w:rsid w:val="00C31C5A"/>
    <w:rsid w:val="00C853E8"/>
    <w:rsid w:val="00C87B4E"/>
    <w:rsid w:val="00CA56E3"/>
    <w:rsid w:val="00CC27BB"/>
    <w:rsid w:val="00D05668"/>
    <w:rsid w:val="00D147C1"/>
    <w:rsid w:val="00D54638"/>
    <w:rsid w:val="00D66A5D"/>
    <w:rsid w:val="00D66E75"/>
    <w:rsid w:val="00D8155A"/>
    <w:rsid w:val="00D81B47"/>
    <w:rsid w:val="00D81E4B"/>
    <w:rsid w:val="00D91231"/>
    <w:rsid w:val="00DC449B"/>
    <w:rsid w:val="00DC4938"/>
    <w:rsid w:val="00DD3A5D"/>
    <w:rsid w:val="00E35869"/>
    <w:rsid w:val="00E460CE"/>
    <w:rsid w:val="00E904A7"/>
    <w:rsid w:val="00EA3B89"/>
    <w:rsid w:val="00EA7570"/>
    <w:rsid w:val="00EB43A6"/>
    <w:rsid w:val="00EB5376"/>
    <w:rsid w:val="00EE3F11"/>
    <w:rsid w:val="00EF0092"/>
    <w:rsid w:val="00EF4A21"/>
    <w:rsid w:val="00F06F14"/>
    <w:rsid w:val="00F34262"/>
    <w:rsid w:val="00F6324E"/>
    <w:rsid w:val="00F64D66"/>
    <w:rsid w:val="00F71D3A"/>
    <w:rsid w:val="00FA26C8"/>
    <w:rsid w:val="00FB4E05"/>
    <w:rsid w:val="00FC19EE"/>
    <w:rsid w:val="00FE350A"/>
    <w:rsid w:val="00FF42ED"/>
    <w:rsid w:val="0101874D"/>
    <w:rsid w:val="015861D0"/>
    <w:rsid w:val="029D57AE"/>
    <w:rsid w:val="02CF093E"/>
    <w:rsid w:val="02E87132"/>
    <w:rsid w:val="03553F2D"/>
    <w:rsid w:val="0481B53D"/>
    <w:rsid w:val="062BD2F3"/>
    <w:rsid w:val="0B586487"/>
    <w:rsid w:val="0E900549"/>
    <w:rsid w:val="1DA87AC7"/>
    <w:rsid w:val="1E3BCDCB"/>
    <w:rsid w:val="26435690"/>
    <w:rsid w:val="27586481"/>
    <w:rsid w:val="27E4BDF4"/>
    <w:rsid w:val="32825998"/>
    <w:rsid w:val="3A30B461"/>
    <w:rsid w:val="3AF83BD7"/>
    <w:rsid w:val="3B307BDA"/>
    <w:rsid w:val="3C0B0F33"/>
    <w:rsid w:val="40C9D286"/>
    <w:rsid w:val="445BB2BA"/>
    <w:rsid w:val="460B11EA"/>
    <w:rsid w:val="4A348088"/>
    <w:rsid w:val="4C20040D"/>
    <w:rsid w:val="4E87F6FD"/>
    <w:rsid w:val="4FC1CE41"/>
    <w:rsid w:val="5198B6F1"/>
    <w:rsid w:val="51CF3EB6"/>
    <w:rsid w:val="577B1B33"/>
    <w:rsid w:val="584EB677"/>
    <w:rsid w:val="5A71519B"/>
    <w:rsid w:val="5FB6DD23"/>
    <w:rsid w:val="6F9E801E"/>
    <w:rsid w:val="73564A38"/>
    <w:rsid w:val="73E9B45B"/>
    <w:rsid w:val="7412EEE6"/>
    <w:rsid w:val="757272FD"/>
    <w:rsid w:val="7C6FEFD2"/>
    <w:rsid w:val="7D1C8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3B81"/>
  <w15:chartTrackingRefBased/>
  <w15:docId w15:val="{6171871F-25F4-4E54-B8FB-A809AA32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E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37F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C7"/>
    <w:pPr>
      <w:ind w:left="720"/>
      <w:contextualSpacing/>
    </w:pPr>
  </w:style>
  <w:style w:type="character" w:customStyle="1" w:styleId="normaltextrun">
    <w:name w:val="normaltextrun"/>
    <w:basedOn w:val="DefaultParagraphFont"/>
    <w:rsid w:val="002D7F00"/>
  </w:style>
  <w:style w:type="character" w:customStyle="1" w:styleId="eop">
    <w:name w:val="eop"/>
    <w:basedOn w:val="DefaultParagraphFont"/>
    <w:rsid w:val="002D7F00"/>
  </w:style>
  <w:style w:type="table" w:styleId="TableGrid">
    <w:name w:val="Table Grid"/>
    <w:basedOn w:val="TableNormal"/>
    <w:uiPriority w:val="39"/>
    <w:rsid w:val="004F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7578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21616"/>
    <w:rPr>
      <w:sz w:val="16"/>
      <w:szCs w:val="16"/>
    </w:rPr>
  </w:style>
  <w:style w:type="paragraph" w:styleId="CommentText">
    <w:name w:val="annotation text"/>
    <w:basedOn w:val="Normal"/>
    <w:link w:val="CommentTextChar"/>
    <w:uiPriority w:val="99"/>
    <w:unhideWhenUsed/>
    <w:rsid w:val="00321616"/>
    <w:pPr>
      <w:spacing w:line="240" w:lineRule="auto"/>
    </w:pPr>
    <w:rPr>
      <w:sz w:val="20"/>
      <w:szCs w:val="20"/>
    </w:rPr>
  </w:style>
  <w:style w:type="character" w:customStyle="1" w:styleId="CommentTextChar">
    <w:name w:val="Comment Text Char"/>
    <w:basedOn w:val="DefaultParagraphFont"/>
    <w:link w:val="CommentText"/>
    <w:uiPriority w:val="99"/>
    <w:rsid w:val="00321616"/>
    <w:rPr>
      <w:sz w:val="20"/>
      <w:szCs w:val="20"/>
    </w:rPr>
  </w:style>
  <w:style w:type="paragraph" w:styleId="CommentSubject">
    <w:name w:val="annotation subject"/>
    <w:basedOn w:val="CommentText"/>
    <w:next w:val="CommentText"/>
    <w:link w:val="CommentSubjectChar"/>
    <w:uiPriority w:val="99"/>
    <w:semiHidden/>
    <w:unhideWhenUsed/>
    <w:rsid w:val="00321616"/>
    <w:rPr>
      <w:b/>
      <w:bCs/>
    </w:rPr>
  </w:style>
  <w:style w:type="character" w:customStyle="1" w:styleId="CommentSubjectChar">
    <w:name w:val="Comment Subject Char"/>
    <w:basedOn w:val="CommentTextChar"/>
    <w:link w:val="CommentSubject"/>
    <w:uiPriority w:val="99"/>
    <w:semiHidden/>
    <w:rsid w:val="00321616"/>
    <w:rPr>
      <w:b/>
      <w:bCs/>
      <w:sz w:val="20"/>
      <w:szCs w:val="20"/>
    </w:rPr>
  </w:style>
  <w:style w:type="character" w:styleId="Mention">
    <w:name w:val="Mention"/>
    <w:basedOn w:val="DefaultParagraphFont"/>
    <w:uiPriority w:val="99"/>
    <w:unhideWhenUsed/>
    <w:rsid w:val="00321616"/>
    <w:rPr>
      <w:color w:val="2B579A"/>
      <w:shd w:val="clear" w:color="auto" w:fill="E1DFDD"/>
    </w:rPr>
  </w:style>
  <w:style w:type="paragraph" w:styleId="Header">
    <w:name w:val="header"/>
    <w:basedOn w:val="Normal"/>
    <w:link w:val="HeaderChar"/>
    <w:uiPriority w:val="99"/>
    <w:unhideWhenUsed/>
    <w:rsid w:val="0050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233"/>
  </w:style>
  <w:style w:type="paragraph" w:styleId="Footer">
    <w:name w:val="footer"/>
    <w:basedOn w:val="Normal"/>
    <w:link w:val="FooterChar"/>
    <w:uiPriority w:val="99"/>
    <w:unhideWhenUsed/>
    <w:rsid w:val="0050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233"/>
  </w:style>
  <w:style w:type="character" w:customStyle="1" w:styleId="Heading2Char">
    <w:name w:val="Heading 2 Char"/>
    <w:basedOn w:val="DefaultParagraphFont"/>
    <w:link w:val="Heading2"/>
    <w:uiPriority w:val="9"/>
    <w:rsid w:val="005C37F9"/>
    <w:rPr>
      <w:b/>
      <w:bCs/>
    </w:rPr>
  </w:style>
  <w:style w:type="character" w:customStyle="1" w:styleId="Heading1Char">
    <w:name w:val="Heading 1 Char"/>
    <w:basedOn w:val="DefaultParagraphFont"/>
    <w:link w:val="Heading1"/>
    <w:uiPriority w:val="9"/>
    <w:rsid w:val="00453E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3E9D"/>
    <w:pPr>
      <w:outlineLvl w:val="9"/>
    </w:pPr>
  </w:style>
  <w:style w:type="paragraph" w:styleId="TOC2">
    <w:name w:val="toc 2"/>
    <w:basedOn w:val="Normal"/>
    <w:next w:val="Normal"/>
    <w:autoRedefine/>
    <w:uiPriority w:val="39"/>
    <w:unhideWhenUsed/>
    <w:rsid w:val="00453E9D"/>
    <w:pPr>
      <w:spacing w:after="100"/>
      <w:ind w:left="220"/>
    </w:pPr>
  </w:style>
  <w:style w:type="character" w:styleId="Hyperlink">
    <w:name w:val="Hyperlink"/>
    <w:basedOn w:val="DefaultParagraphFont"/>
    <w:uiPriority w:val="99"/>
    <w:unhideWhenUsed/>
    <w:rsid w:val="00453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58695">
      <w:bodyDiv w:val="1"/>
      <w:marLeft w:val="0"/>
      <w:marRight w:val="0"/>
      <w:marTop w:val="0"/>
      <w:marBottom w:val="0"/>
      <w:divBdr>
        <w:top w:val="none" w:sz="0" w:space="0" w:color="auto"/>
        <w:left w:val="none" w:sz="0" w:space="0" w:color="auto"/>
        <w:bottom w:val="none" w:sz="0" w:space="0" w:color="auto"/>
        <w:right w:val="none" w:sz="0" w:space="0" w:color="auto"/>
      </w:divBdr>
      <w:divsChild>
        <w:div w:id="1954168243">
          <w:marLeft w:val="0"/>
          <w:marRight w:val="0"/>
          <w:marTop w:val="0"/>
          <w:marBottom w:val="0"/>
          <w:divBdr>
            <w:top w:val="none" w:sz="0" w:space="0" w:color="auto"/>
            <w:left w:val="none" w:sz="0" w:space="0" w:color="auto"/>
            <w:bottom w:val="none" w:sz="0" w:space="0" w:color="auto"/>
            <w:right w:val="none" w:sz="0" w:space="0" w:color="auto"/>
          </w:divBdr>
        </w:div>
        <w:div w:id="1772048945">
          <w:marLeft w:val="0"/>
          <w:marRight w:val="0"/>
          <w:marTop w:val="0"/>
          <w:marBottom w:val="0"/>
          <w:divBdr>
            <w:top w:val="none" w:sz="0" w:space="0" w:color="auto"/>
            <w:left w:val="none" w:sz="0" w:space="0" w:color="auto"/>
            <w:bottom w:val="none" w:sz="0" w:space="0" w:color="auto"/>
            <w:right w:val="none" w:sz="0" w:space="0" w:color="auto"/>
          </w:divBdr>
        </w:div>
        <w:div w:id="1546022028">
          <w:marLeft w:val="0"/>
          <w:marRight w:val="0"/>
          <w:marTop w:val="0"/>
          <w:marBottom w:val="0"/>
          <w:divBdr>
            <w:top w:val="none" w:sz="0" w:space="0" w:color="auto"/>
            <w:left w:val="none" w:sz="0" w:space="0" w:color="auto"/>
            <w:bottom w:val="none" w:sz="0" w:space="0" w:color="auto"/>
            <w:right w:val="none" w:sz="0" w:space="0" w:color="auto"/>
          </w:divBdr>
        </w:div>
        <w:div w:id="2139911394">
          <w:marLeft w:val="0"/>
          <w:marRight w:val="0"/>
          <w:marTop w:val="0"/>
          <w:marBottom w:val="0"/>
          <w:divBdr>
            <w:top w:val="none" w:sz="0" w:space="0" w:color="auto"/>
            <w:left w:val="none" w:sz="0" w:space="0" w:color="auto"/>
            <w:bottom w:val="none" w:sz="0" w:space="0" w:color="auto"/>
            <w:right w:val="none" w:sz="0" w:space="0" w:color="auto"/>
          </w:divBdr>
        </w:div>
      </w:divsChild>
    </w:div>
    <w:div w:id="1321034161">
      <w:bodyDiv w:val="1"/>
      <w:marLeft w:val="0"/>
      <w:marRight w:val="0"/>
      <w:marTop w:val="0"/>
      <w:marBottom w:val="0"/>
      <w:divBdr>
        <w:top w:val="none" w:sz="0" w:space="0" w:color="auto"/>
        <w:left w:val="none" w:sz="0" w:space="0" w:color="auto"/>
        <w:bottom w:val="none" w:sz="0" w:space="0" w:color="auto"/>
        <w:right w:val="none" w:sz="0" w:space="0" w:color="auto"/>
      </w:divBdr>
    </w:div>
    <w:div w:id="1758820209">
      <w:bodyDiv w:val="1"/>
      <w:marLeft w:val="0"/>
      <w:marRight w:val="0"/>
      <w:marTop w:val="0"/>
      <w:marBottom w:val="0"/>
      <w:divBdr>
        <w:top w:val="none" w:sz="0" w:space="0" w:color="auto"/>
        <w:left w:val="none" w:sz="0" w:space="0" w:color="auto"/>
        <w:bottom w:val="none" w:sz="0" w:space="0" w:color="auto"/>
        <w:right w:val="none" w:sz="0" w:space="0" w:color="auto"/>
      </w:divBdr>
      <w:divsChild>
        <w:div w:id="236014986">
          <w:marLeft w:val="0"/>
          <w:marRight w:val="0"/>
          <w:marTop w:val="0"/>
          <w:marBottom w:val="0"/>
          <w:divBdr>
            <w:top w:val="none" w:sz="0" w:space="0" w:color="auto"/>
            <w:left w:val="none" w:sz="0" w:space="0" w:color="auto"/>
            <w:bottom w:val="none" w:sz="0" w:space="0" w:color="auto"/>
            <w:right w:val="none" w:sz="0" w:space="0" w:color="auto"/>
          </w:divBdr>
        </w:div>
        <w:div w:id="1500272677">
          <w:marLeft w:val="0"/>
          <w:marRight w:val="0"/>
          <w:marTop w:val="0"/>
          <w:marBottom w:val="0"/>
          <w:divBdr>
            <w:top w:val="none" w:sz="0" w:space="0" w:color="auto"/>
            <w:left w:val="none" w:sz="0" w:space="0" w:color="auto"/>
            <w:bottom w:val="none" w:sz="0" w:space="0" w:color="auto"/>
            <w:right w:val="none" w:sz="0" w:space="0" w:color="auto"/>
          </w:divBdr>
        </w:div>
        <w:div w:id="513232487">
          <w:marLeft w:val="0"/>
          <w:marRight w:val="0"/>
          <w:marTop w:val="0"/>
          <w:marBottom w:val="0"/>
          <w:divBdr>
            <w:top w:val="none" w:sz="0" w:space="0" w:color="auto"/>
            <w:left w:val="none" w:sz="0" w:space="0" w:color="auto"/>
            <w:bottom w:val="none" w:sz="0" w:space="0" w:color="auto"/>
            <w:right w:val="none" w:sz="0" w:space="0" w:color="auto"/>
          </w:divBdr>
        </w:div>
        <w:div w:id="2000113290">
          <w:marLeft w:val="0"/>
          <w:marRight w:val="0"/>
          <w:marTop w:val="0"/>
          <w:marBottom w:val="0"/>
          <w:divBdr>
            <w:top w:val="none" w:sz="0" w:space="0" w:color="auto"/>
            <w:left w:val="none" w:sz="0" w:space="0" w:color="auto"/>
            <w:bottom w:val="none" w:sz="0" w:space="0" w:color="auto"/>
            <w:right w:val="none" w:sz="0" w:space="0" w:color="auto"/>
          </w:divBdr>
        </w:div>
        <w:div w:id="1433166408">
          <w:marLeft w:val="0"/>
          <w:marRight w:val="0"/>
          <w:marTop w:val="0"/>
          <w:marBottom w:val="0"/>
          <w:divBdr>
            <w:top w:val="none" w:sz="0" w:space="0" w:color="auto"/>
            <w:left w:val="none" w:sz="0" w:space="0" w:color="auto"/>
            <w:bottom w:val="none" w:sz="0" w:space="0" w:color="auto"/>
            <w:right w:val="none" w:sz="0" w:space="0" w:color="auto"/>
          </w:divBdr>
        </w:div>
        <w:div w:id="150551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6a8699-c102-457f-8b72-028c235df67f" xsi:nil="true"/>
    <lcf76f155ced4ddcb4097134ff3c332f xmlns="c155c5d3-811a-4384-901d-ec8fd4e82d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F9F2625872245964BAA07EA795AC4" ma:contentTypeVersion="12" ma:contentTypeDescription="Create a new document." ma:contentTypeScope="" ma:versionID="e281e1c1c9d9bb07962084a26fc1cbd0">
  <xsd:schema xmlns:xsd="http://www.w3.org/2001/XMLSchema" xmlns:xs="http://www.w3.org/2001/XMLSchema" xmlns:p="http://schemas.microsoft.com/office/2006/metadata/properties" xmlns:ns2="c155c5d3-811a-4384-901d-ec8fd4e82da0" xmlns:ns3="8e6a8699-c102-457f-8b72-028c235df67f" targetNamespace="http://schemas.microsoft.com/office/2006/metadata/properties" ma:root="true" ma:fieldsID="62f51ca34b254ca1414190f8762acc46" ns2:_="" ns3:_="">
    <xsd:import namespace="c155c5d3-811a-4384-901d-ec8fd4e82da0"/>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c5d3-811a-4384-901d-ec8fd4e8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4f3bacb-d61b-460b-bb04-1ff40fb9f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4ea1e3-9834-4e08-9135-1b7de05a48ca}" ma:internalName="TaxCatchAll" ma:showField="CatchAllData" ma:web="8e6a8699-c102-457f-8b72-028c235d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FB76-201C-423E-85E8-AD31A6943711}">
  <ds:schemaRefs>
    <ds:schemaRef ds:uri="http://schemas.microsoft.com/office/2006/metadata/properties"/>
    <ds:schemaRef ds:uri="http://schemas.microsoft.com/office/infopath/2007/PartnerControls"/>
    <ds:schemaRef ds:uri="8e6a8699-c102-457f-8b72-028c235df67f"/>
    <ds:schemaRef ds:uri="c155c5d3-811a-4384-901d-ec8fd4e82da0"/>
  </ds:schemaRefs>
</ds:datastoreItem>
</file>

<file path=customXml/itemProps2.xml><?xml version="1.0" encoding="utf-8"?>
<ds:datastoreItem xmlns:ds="http://schemas.openxmlformats.org/officeDocument/2006/customXml" ds:itemID="{0291B32B-5CED-4F6A-B537-B3BC9B3A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5c5d3-811a-4384-901d-ec8fd4e82da0"/>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1DD1E-7A48-449B-B5A1-A84AB0DA3303}">
  <ds:schemaRefs>
    <ds:schemaRef ds:uri="http://schemas.microsoft.com/sharepoint/v3/contenttype/forms"/>
  </ds:schemaRefs>
</ds:datastoreItem>
</file>

<file path=customXml/itemProps4.xml><?xml version="1.0" encoding="utf-8"?>
<ds:datastoreItem xmlns:ds="http://schemas.openxmlformats.org/officeDocument/2006/customXml" ds:itemID="{5B1D8AC2-090E-4A72-B05C-5924B36D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Mauldin</dc:creator>
  <cp:keywords/>
  <dc:description/>
  <cp:lastModifiedBy>Rori Andreason</cp:lastModifiedBy>
  <cp:revision>2</cp:revision>
  <dcterms:created xsi:type="dcterms:W3CDTF">2022-11-27T23:54:00Z</dcterms:created>
  <dcterms:modified xsi:type="dcterms:W3CDTF">2022-11-27T23:54:00Z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0x0101001C0F9F2625872245964BAA07EA795AC4</vt:lpwstr>
  </property>
  <property fmtid="{D5CDD505-2E9C-101B-9397-08002B2CF9AE}" pid="3" name="MediaServiceImageTags">
    <vt:lpwstr/>
  </property>
</Properties>
</file>