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97B3" w14:textId="77777777" w:rsidR="00561DD9" w:rsidRDefault="00561DD9" w:rsidP="00561DD9">
      <w:pPr>
        <w:jc w:val="center"/>
        <w:rPr>
          <w:b/>
          <w:bCs/>
          <w:u w:val="single"/>
        </w:rPr>
      </w:pPr>
      <w:r>
        <w:rPr>
          <w:b/>
          <w:bCs/>
          <w:u w:val="single"/>
        </w:rPr>
        <w:t>Manufacturing Zoning Districts – Staff Summary</w:t>
      </w:r>
    </w:p>
    <w:p w14:paraId="502C9F3E" w14:textId="77777777" w:rsidR="00561DD9" w:rsidRDefault="00561DD9" w:rsidP="00561DD9">
      <w:pPr>
        <w:rPr>
          <w:b/>
          <w:bCs/>
        </w:rPr>
      </w:pPr>
      <w:r>
        <w:rPr>
          <w:b/>
          <w:bCs/>
        </w:rPr>
        <w:t>Purposes:</w:t>
      </w:r>
    </w:p>
    <w:p w14:paraId="5AE5F8F8" w14:textId="77777777" w:rsidR="00561DD9" w:rsidRDefault="00561DD9" w:rsidP="00561DD9">
      <w:pPr>
        <w:pStyle w:val="ListParagraph"/>
        <w:numPr>
          <w:ilvl w:val="0"/>
          <w:numId w:val="17"/>
        </w:numPr>
        <w:spacing w:line="256" w:lineRule="auto"/>
        <w:rPr>
          <w:rFonts w:eastAsiaTheme="minorEastAsia"/>
        </w:rPr>
      </w:pPr>
      <w:r>
        <w:t>Further distinguish between the M-1 and M-2 Zones.</w:t>
      </w:r>
    </w:p>
    <w:p w14:paraId="438D2E11" w14:textId="77777777" w:rsidR="00561DD9" w:rsidRDefault="00561DD9" w:rsidP="00561DD9">
      <w:pPr>
        <w:pStyle w:val="ListParagraph"/>
        <w:numPr>
          <w:ilvl w:val="0"/>
          <w:numId w:val="17"/>
        </w:numPr>
        <w:spacing w:line="256" w:lineRule="auto"/>
      </w:pPr>
      <w:r>
        <w:t>Tailor the M-1 Zone to support flex industrial uses.</w:t>
      </w:r>
    </w:p>
    <w:p w14:paraId="1A2D1234" w14:textId="77777777" w:rsidR="00561DD9" w:rsidRDefault="00561DD9" w:rsidP="00561DD9">
      <w:pPr>
        <w:pStyle w:val="ListParagraph"/>
        <w:numPr>
          <w:ilvl w:val="0"/>
          <w:numId w:val="17"/>
        </w:numPr>
        <w:spacing w:line="256" w:lineRule="auto"/>
      </w:pPr>
      <w:r>
        <w:t>Increase development standards associated with the M-1 and M-2 Districts to ensure compatible, high-quality development.</w:t>
      </w:r>
    </w:p>
    <w:p w14:paraId="4E200811" w14:textId="77777777" w:rsidR="00561DD9" w:rsidRDefault="00561DD9" w:rsidP="00561DD9">
      <w:pPr>
        <w:rPr>
          <w:b/>
          <w:bCs/>
        </w:rPr>
      </w:pPr>
      <w:r>
        <w:rPr>
          <w:b/>
          <w:bCs/>
        </w:rPr>
        <w:t>Applicability:</w:t>
      </w:r>
    </w:p>
    <w:p w14:paraId="3DE25057" w14:textId="77777777" w:rsidR="00561DD9" w:rsidRDefault="00561DD9" w:rsidP="00561DD9">
      <w:r>
        <w:t>The M-1 Zone is intended to be applied within the fabric of communities, where industrial flex spaces (at a smaller scale) are desired. The M-2 Zone is meant for the outskirts of developed areas, where more intensive industrial uses (such as resource extraction and processing) are desired and feasible.</w:t>
      </w:r>
    </w:p>
    <w:p w14:paraId="2E30DD1E" w14:textId="77777777" w:rsidR="00561DD9" w:rsidRDefault="00561DD9" w:rsidP="00561DD9">
      <w:pPr>
        <w:rPr>
          <w:b/>
          <w:bCs/>
        </w:rPr>
      </w:pPr>
      <w:r>
        <w:rPr>
          <w:b/>
          <w:bCs/>
        </w:rPr>
        <w:t>Resources Utilized:</w:t>
      </w:r>
    </w:p>
    <w:p w14:paraId="239F94A1" w14:textId="77777777" w:rsidR="00561DD9" w:rsidRDefault="00561DD9" w:rsidP="00561DD9">
      <w:pPr>
        <w:pStyle w:val="ListParagraph"/>
        <w:numPr>
          <w:ilvl w:val="0"/>
          <w:numId w:val="18"/>
        </w:numPr>
        <w:spacing w:line="256" w:lineRule="auto"/>
        <w:rPr>
          <w:rFonts w:eastAsiaTheme="minorEastAsia"/>
        </w:rPr>
      </w:pPr>
      <w:r>
        <w:t>Portland Zoning Ordinance</w:t>
      </w:r>
    </w:p>
    <w:p w14:paraId="3C1597F7" w14:textId="77777777" w:rsidR="00561DD9" w:rsidRDefault="00561DD9" w:rsidP="00561DD9">
      <w:pPr>
        <w:pStyle w:val="ListParagraph"/>
        <w:numPr>
          <w:ilvl w:val="0"/>
          <w:numId w:val="18"/>
        </w:numPr>
        <w:spacing w:line="256" w:lineRule="auto"/>
        <w:rPr>
          <w:rFonts w:eastAsiaTheme="minorEastAsia"/>
        </w:rPr>
      </w:pPr>
      <w:r>
        <w:t>Vineyard Zoning Ordinance</w:t>
      </w:r>
    </w:p>
    <w:p w14:paraId="2373B068" w14:textId="77777777" w:rsidR="00561DD9" w:rsidRDefault="00561DD9" w:rsidP="00561DD9">
      <w:pPr>
        <w:pStyle w:val="ListParagraph"/>
        <w:numPr>
          <w:ilvl w:val="0"/>
          <w:numId w:val="18"/>
        </w:numPr>
        <w:spacing w:line="256" w:lineRule="auto"/>
        <w:rPr>
          <w:rFonts w:eastAsiaTheme="minorEastAsia"/>
        </w:rPr>
      </w:pPr>
      <w:r>
        <w:t>South Jordan Zoning Ordinance</w:t>
      </w:r>
    </w:p>
    <w:p w14:paraId="284338CF" w14:textId="77777777" w:rsidR="00561DD9" w:rsidRDefault="00561DD9" w:rsidP="00561DD9">
      <w:pPr>
        <w:pStyle w:val="ListParagraph"/>
        <w:numPr>
          <w:ilvl w:val="0"/>
          <w:numId w:val="18"/>
        </w:numPr>
        <w:spacing w:line="256" w:lineRule="auto"/>
      </w:pPr>
      <w:r>
        <w:t>Salt Lake City Zoning Ordinance</w:t>
      </w:r>
    </w:p>
    <w:p w14:paraId="35E72B6D" w14:textId="77777777" w:rsidR="00561DD9" w:rsidRDefault="00561DD9" w:rsidP="00561DD9">
      <w:pPr>
        <w:pStyle w:val="ListParagraph"/>
        <w:numPr>
          <w:ilvl w:val="0"/>
          <w:numId w:val="18"/>
        </w:numPr>
        <w:spacing w:line="256" w:lineRule="auto"/>
        <w:rPr>
          <w:rFonts w:eastAsiaTheme="minorEastAsia"/>
        </w:rPr>
      </w:pPr>
      <w:r>
        <w:t>Conversations with Kearns PC and Council regarding Warehouse District</w:t>
      </w:r>
    </w:p>
    <w:p w14:paraId="0079C05B" w14:textId="77777777" w:rsidR="00561DD9" w:rsidRDefault="00561DD9" w:rsidP="00561DD9">
      <w:pPr>
        <w:rPr>
          <w:b/>
          <w:bCs/>
        </w:rPr>
      </w:pPr>
      <w:r>
        <w:rPr>
          <w:b/>
          <w:bCs/>
        </w:rPr>
        <w:t>Changes to Note:</w:t>
      </w:r>
    </w:p>
    <w:p w14:paraId="59D508AC" w14:textId="77777777" w:rsidR="00561DD9" w:rsidRDefault="00561DD9" w:rsidP="00561DD9">
      <w:pPr>
        <w:pStyle w:val="ListParagraph"/>
        <w:numPr>
          <w:ilvl w:val="0"/>
          <w:numId w:val="19"/>
        </w:numPr>
        <w:spacing w:line="256" w:lineRule="auto"/>
        <w:rPr>
          <w:rFonts w:eastAsiaTheme="minorEastAsia"/>
        </w:rPr>
      </w:pPr>
      <w:r>
        <w:t>The M-1 Zone is renamed from ‘Manufacturing - Light’ to ‘Manufacturing - Flex’ as a way to repurpose this zone for modern needs.</w:t>
      </w:r>
    </w:p>
    <w:p w14:paraId="5CBA8F5E" w14:textId="74F5ACE4" w:rsidR="00561DD9" w:rsidRDefault="00561DD9" w:rsidP="46BB4CE8">
      <w:pPr>
        <w:pStyle w:val="ListParagraph"/>
        <w:numPr>
          <w:ilvl w:val="0"/>
          <w:numId w:val="19"/>
        </w:numPr>
        <w:spacing w:line="256" w:lineRule="auto"/>
        <w:rPr>
          <w:rFonts w:eastAsiaTheme="minorEastAsia"/>
        </w:rPr>
      </w:pPr>
      <w:r>
        <w:t>The use table furthers distinctions between the M-1 and M-2 Zones. The M-2 Zone allows for heavier industrial uses. The M-1 Zone incorporates more amenities for employees and focuses on uses that could be integrated into the fabric of an existing community.</w:t>
      </w:r>
    </w:p>
    <w:p w14:paraId="7C1AE921" w14:textId="77777777" w:rsidR="00561DD9" w:rsidRDefault="00561DD9" w:rsidP="00561DD9">
      <w:pPr>
        <w:pStyle w:val="ListParagraph"/>
        <w:numPr>
          <w:ilvl w:val="0"/>
          <w:numId w:val="19"/>
        </w:numPr>
        <w:spacing w:line="256" w:lineRule="auto"/>
        <w:rPr>
          <w:rFonts w:eastAsiaTheme="minorEastAsia"/>
        </w:rPr>
      </w:pPr>
      <w:r>
        <w:t>Development standards are added, including height limitations: 60 feet for the M-1 and 80 feet for the M-2. Such requirements were previously lacking from the Manufacturing Zones.</w:t>
      </w:r>
    </w:p>
    <w:p w14:paraId="2F6E8AFB" w14:textId="77777777" w:rsidR="00561DD9" w:rsidRDefault="00561DD9" w:rsidP="00561DD9">
      <w:pPr>
        <w:pStyle w:val="ListParagraph"/>
        <w:numPr>
          <w:ilvl w:val="0"/>
          <w:numId w:val="19"/>
        </w:numPr>
        <w:spacing w:line="256" w:lineRule="auto"/>
        <w:rPr>
          <w:rFonts w:eastAsiaTheme="minorEastAsia"/>
        </w:rPr>
      </w:pPr>
      <w:r>
        <w:t>Parking and Loading Standards are added to provide more specificity than what previously existed in the ordinance. This helps ensure development is adaptable to changing uses over time.</w:t>
      </w:r>
    </w:p>
    <w:p w14:paraId="3ED6798E" w14:textId="77777777" w:rsidR="00561DD9" w:rsidRDefault="00561DD9" w:rsidP="00561DD9">
      <w:pPr>
        <w:pStyle w:val="ListParagraph"/>
        <w:numPr>
          <w:ilvl w:val="0"/>
          <w:numId w:val="19"/>
        </w:numPr>
        <w:spacing w:line="256" w:lineRule="auto"/>
        <w:rPr>
          <w:rFonts w:eastAsiaTheme="minorEastAsia"/>
        </w:rPr>
      </w:pPr>
      <w:r>
        <w:t>New Landscaping and Screening standards are added to ensure views are protected and transitions between industrial zones and other uses are as seamless as possible.</w:t>
      </w:r>
    </w:p>
    <w:p w14:paraId="142880BE" w14:textId="2A2C9A11" w:rsidR="00561DD9" w:rsidRDefault="00561DD9" w:rsidP="002A223A">
      <w:pPr>
        <w:spacing w:after="0"/>
        <w:jc w:val="center"/>
        <w:rPr>
          <w:b/>
          <w:bCs/>
        </w:rPr>
      </w:pPr>
    </w:p>
    <w:p w14:paraId="0C1F59E4" w14:textId="29C83FE5" w:rsidR="00561DD9" w:rsidRDefault="00561DD9" w:rsidP="002A223A">
      <w:pPr>
        <w:spacing w:after="0"/>
        <w:jc w:val="center"/>
        <w:rPr>
          <w:b/>
          <w:bCs/>
        </w:rPr>
      </w:pPr>
    </w:p>
    <w:p w14:paraId="0247F349" w14:textId="1D4CE8C0" w:rsidR="00561DD9" w:rsidRDefault="00561DD9" w:rsidP="002A223A">
      <w:pPr>
        <w:spacing w:after="0"/>
        <w:jc w:val="center"/>
        <w:rPr>
          <w:b/>
          <w:bCs/>
        </w:rPr>
      </w:pPr>
    </w:p>
    <w:p w14:paraId="2A89CE31" w14:textId="03B80060" w:rsidR="00561DD9" w:rsidRDefault="00561DD9" w:rsidP="002A223A">
      <w:pPr>
        <w:spacing w:after="0"/>
        <w:jc w:val="center"/>
        <w:rPr>
          <w:b/>
          <w:bCs/>
        </w:rPr>
      </w:pPr>
    </w:p>
    <w:p w14:paraId="44F31CCB" w14:textId="3DA4813F" w:rsidR="00561DD9" w:rsidRDefault="00561DD9" w:rsidP="002A223A">
      <w:pPr>
        <w:spacing w:after="0"/>
        <w:jc w:val="center"/>
        <w:rPr>
          <w:b/>
          <w:bCs/>
        </w:rPr>
      </w:pPr>
    </w:p>
    <w:p w14:paraId="6AFF1E22" w14:textId="5833ECCB" w:rsidR="00561DD9" w:rsidRDefault="00561DD9" w:rsidP="002A223A">
      <w:pPr>
        <w:spacing w:after="0"/>
        <w:jc w:val="center"/>
        <w:rPr>
          <w:b/>
          <w:bCs/>
        </w:rPr>
      </w:pPr>
    </w:p>
    <w:p w14:paraId="5B101E0E" w14:textId="145DF806" w:rsidR="00561DD9" w:rsidRDefault="00561DD9" w:rsidP="002A223A">
      <w:pPr>
        <w:spacing w:after="0"/>
        <w:jc w:val="center"/>
        <w:rPr>
          <w:b/>
          <w:bCs/>
        </w:rPr>
      </w:pPr>
    </w:p>
    <w:p w14:paraId="7400B819" w14:textId="5AA38094" w:rsidR="00561DD9" w:rsidRDefault="00561DD9" w:rsidP="002A223A">
      <w:pPr>
        <w:spacing w:after="0"/>
        <w:jc w:val="center"/>
        <w:rPr>
          <w:b/>
          <w:bCs/>
        </w:rPr>
      </w:pPr>
    </w:p>
    <w:p w14:paraId="4D88A460" w14:textId="0E16E553" w:rsidR="00561DD9" w:rsidRDefault="00561DD9" w:rsidP="002A223A">
      <w:pPr>
        <w:spacing w:after="0"/>
        <w:jc w:val="center"/>
        <w:rPr>
          <w:b/>
          <w:bCs/>
        </w:rPr>
      </w:pPr>
    </w:p>
    <w:p w14:paraId="1F684A97" w14:textId="77777777" w:rsidR="00561DD9" w:rsidRDefault="00561DD9" w:rsidP="002A223A">
      <w:pPr>
        <w:spacing w:after="0"/>
        <w:jc w:val="center"/>
        <w:rPr>
          <w:b/>
          <w:bCs/>
        </w:rPr>
      </w:pPr>
    </w:p>
    <w:p w14:paraId="5C3D96F3" w14:textId="77777777" w:rsidR="004A72EF" w:rsidRPr="004A72EF" w:rsidRDefault="004A72EF" w:rsidP="004A72EF">
      <w:pPr>
        <w:spacing w:after="0"/>
        <w:jc w:val="center"/>
        <w:rPr>
          <w:b/>
          <w:bCs/>
          <w:sz w:val="28"/>
          <w:szCs w:val="28"/>
        </w:rPr>
      </w:pPr>
      <w:r w:rsidRPr="004A72EF">
        <w:rPr>
          <w:b/>
          <w:bCs/>
          <w:sz w:val="28"/>
          <w:szCs w:val="28"/>
        </w:rPr>
        <w:lastRenderedPageBreak/>
        <w:t>Chapter 19.</w:t>
      </w:r>
      <w:r w:rsidRPr="004A72EF">
        <w:rPr>
          <w:b/>
          <w:bCs/>
          <w:sz w:val="28"/>
          <w:szCs w:val="28"/>
          <w:highlight w:val="yellow"/>
        </w:rPr>
        <w:t>34</w:t>
      </w:r>
      <w:r w:rsidRPr="004A72EF">
        <w:rPr>
          <w:b/>
          <w:bCs/>
          <w:sz w:val="28"/>
          <w:szCs w:val="28"/>
        </w:rPr>
        <w:t>: Manufacturing Zones</w:t>
      </w:r>
    </w:p>
    <w:p w14:paraId="41D4C62A" w14:textId="1D8D07EF" w:rsidR="004A72EF" w:rsidRDefault="004A72EF" w:rsidP="004A72EF">
      <w:pPr>
        <w:spacing w:after="0"/>
        <w:jc w:val="center"/>
        <w:rPr>
          <w:color w:val="FF0000"/>
          <w:sz w:val="24"/>
          <w:szCs w:val="24"/>
        </w:rPr>
      </w:pPr>
      <w:r w:rsidRPr="004A72EF">
        <w:rPr>
          <w:color w:val="FF0000"/>
          <w:sz w:val="24"/>
          <w:szCs w:val="24"/>
        </w:rPr>
        <w:t>DRAFT for Review Purposes Only – August 2nd, 2022</w:t>
      </w:r>
    </w:p>
    <w:sdt>
      <w:sdtPr>
        <w:rPr>
          <w:rFonts w:asciiTheme="minorHAnsi" w:eastAsiaTheme="minorHAnsi" w:hAnsiTheme="minorHAnsi" w:cstheme="minorBidi"/>
          <w:color w:val="auto"/>
          <w:sz w:val="22"/>
          <w:szCs w:val="22"/>
        </w:rPr>
        <w:id w:val="-2125689869"/>
        <w:docPartObj>
          <w:docPartGallery w:val="Table of Contents"/>
          <w:docPartUnique/>
        </w:docPartObj>
      </w:sdtPr>
      <w:sdtEndPr>
        <w:rPr>
          <w:b/>
          <w:bCs/>
          <w:noProof/>
        </w:rPr>
      </w:sdtEndPr>
      <w:sdtContent>
        <w:p w14:paraId="4AA98245" w14:textId="77777777" w:rsidR="00B71CCC" w:rsidRPr="00B71CCC" w:rsidRDefault="00B71CCC" w:rsidP="00B71CCC">
          <w:pPr>
            <w:pStyle w:val="TOCHeading"/>
            <w:spacing w:before="0" w:after="160"/>
            <w:rPr>
              <w:rFonts w:asciiTheme="minorHAnsi" w:hAnsiTheme="minorHAnsi" w:cstheme="minorHAnsi"/>
              <w:b/>
              <w:bCs/>
              <w:color w:val="auto"/>
              <w:sz w:val="22"/>
              <w:szCs w:val="22"/>
            </w:rPr>
          </w:pPr>
          <w:r w:rsidRPr="00B71CCC">
            <w:rPr>
              <w:rFonts w:asciiTheme="minorHAnsi" w:hAnsiTheme="minorHAnsi" w:cstheme="minorHAnsi"/>
              <w:b/>
              <w:bCs/>
              <w:color w:val="auto"/>
              <w:sz w:val="22"/>
              <w:szCs w:val="22"/>
            </w:rPr>
            <w:t>Chapter 19.34 Contents</w:t>
          </w:r>
        </w:p>
        <w:p w14:paraId="63F760A3" w14:textId="77777777" w:rsidR="00B71CCC" w:rsidRDefault="00B71CCC" w:rsidP="00B71CCC">
          <w:pPr>
            <w:pStyle w:val="TOC2"/>
            <w:tabs>
              <w:tab w:val="right" w:leader="dot" w:pos="9350"/>
            </w:tabs>
            <w:rPr>
              <w:noProof/>
            </w:rPr>
          </w:pPr>
          <w:r>
            <w:fldChar w:fldCharType="begin"/>
          </w:r>
          <w:r>
            <w:instrText xml:space="preserve"> TOC \o "1-3" \h \z \u </w:instrText>
          </w:r>
          <w:r>
            <w:fldChar w:fldCharType="separate"/>
          </w:r>
          <w:hyperlink w:anchor="_Toc110334323" w:history="1">
            <w:r w:rsidRPr="00A02BFE">
              <w:rPr>
                <w:rStyle w:val="Hyperlink"/>
                <w:noProof/>
              </w:rPr>
              <w:t>19.</w:t>
            </w:r>
            <w:r w:rsidRPr="00A02BFE">
              <w:rPr>
                <w:rStyle w:val="Hyperlink"/>
                <w:noProof/>
                <w:highlight w:val="yellow"/>
              </w:rPr>
              <w:t>34</w:t>
            </w:r>
            <w:r w:rsidRPr="00A02BFE">
              <w:rPr>
                <w:rStyle w:val="Hyperlink"/>
                <w:noProof/>
              </w:rPr>
              <w:t>.010 – Purpose of Provisions.</w:t>
            </w:r>
            <w:r>
              <w:rPr>
                <w:noProof/>
                <w:webHidden/>
              </w:rPr>
              <w:tab/>
            </w:r>
            <w:r>
              <w:rPr>
                <w:noProof/>
                <w:webHidden/>
              </w:rPr>
              <w:fldChar w:fldCharType="begin"/>
            </w:r>
            <w:r>
              <w:rPr>
                <w:noProof/>
                <w:webHidden/>
              </w:rPr>
              <w:instrText xml:space="preserve"> PAGEREF _Toc110334323 \h </w:instrText>
            </w:r>
            <w:r>
              <w:rPr>
                <w:noProof/>
                <w:webHidden/>
              </w:rPr>
            </w:r>
            <w:r>
              <w:rPr>
                <w:noProof/>
                <w:webHidden/>
              </w:rPr>
              <w:fldChar w:fldCharType="separate"/>
            </w:r>
            <w:r>
              <w:rPr>
                <w:noProof/>
                <w:webHidden/>
              </w:rPr>
              <w:t>2</w:t>
            </w:r>
            <w:r>
              <w:rPr>
                <w:noProof/>
                <w:webHidden/>
              </w:rPr>
              <w:fldChar w:fldCharType="end"/>
            </w:r>
          </w:hyperlink>
        </w:p>
        <w:p w14:paraId="244349AC" w14:textId="77777777" w:rsidR="00B71CCC" w:rsidRDefault="0090242C" w:rsidP="00B71CCC">
          <w:pPr>
            <w:pStyle w:val="TOC2"/>
            <w:tabs>
              <w:tab w:val="right" w:leader="dot" w:pos="9350"/>
            </w:tabs>
            <w:rPr>
              <w:noProof/>
            </w:rPr>
          </w:pPr>
          <w:hyperlink w:anchor="_Toc110334324"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.020 – Establishment of Manufacturing Zones.</w:t>
            </w:r>
            <w:r w:rsidR="00B71CCC">
              <w:rPr>
                <w:noProof/>
                <w:webHidden/>
              </w:rPr>
              <w:tab/>
            </w:r>
            <w:r w:rsidR="00B71CCC">
              <w:rPr>
                <w:noProof/>
                <w:webHidden/>
              </w:rPr>
              <w:fldChar w:fldCharType="begin"/>
            </w:r>
            <w:r w:rsidR="00B71CCC">
              <w:rPr>
                <w:noProof/>
                <w:webHidden/>
              </w:rPr>
              <w:instrText xml:space="preserve"> PAGEREF _Toc110334324 \h </w:instrText>
            </w:r>
            <w:r w:rsidR="00B71CCC">
              <w:rPr>
                <w:noProof/>
                <w:webHidden/>
              </w:rPr>
            </w:r>
            <w:r w:rsidR="00B71CCC">
              <w:rPr>
                <w:noProof/>
                <w:webHidden/>
              </w:rPr>
              <w:fldChar w:fldCharType="separate"/>
            </w:r>
            <w:r w:rsidR="00B71CCC">
              <w:rPr>
                <w:noProof/>
                <w:webHidden/>
              </w:rPr>
              <w:t>2</w:t>
            </w:r>
            <w:r w:rsidR="00B71CCC">
              <w:rPr>
                <w:noProof/>
                <w:webHidden/>
              </w:rPr>
              <w:fldChar w:fldCharType="end"/>
            </w:r>
          </w:hyperlink>
        </w:p>
        <w:p w14:paraId="446E1A02" w14:textId="77777777" w:rsidR="00B71CCC" w:rsidRDefault="0090242C" w:rsidP="00B71CCC">
          <w:pPr>
            <w:pStyle w:val="TOC2"/>
            <w:tabs>
              <w:tab w:val="right" w:leader="dot" w:pos="9350"/>
            </w:tabs>
            <w:rPr>
              <w:noProof/>
            </w:rPr>
          </w:pPr>
          <w:hyperlink w:anchor="_Toc110334325"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.030 – Schedule of Permitted Uses.</w:t>
            </w:r>
            <w:r w:rsidR="00B71CCC">
              <w:rPr>
                <w:noProof/>
                <w:webHidden/>
              </w:rPr>
              <w:tab/>
            </w:r>
            <w:r w:rsidR="00B71CCC">
              <w:rPr>
                <w:noProof/>
                <w:webHidden/>
              </w:rPr>
              <w:fldChar w:fldCharType="begin"/>
            </w:r>
            <w:r w:rsidR="00B71CCC">
              <w:rPr>
                <w:noProof/>
                <w:webHidden/>
              </w:rPr>
              <w:instrText xml:space="preserve"> PAGEREF _Toc110334325 \h </w:instrText>
            </w:r>
            <w:r w:rsidR="00B71CCC">
              <w:rPr>
                <w:noProof/>
                <w:webHidden/>
              </w:rPr>
            </w:r>
            <w:r w:rsidR="00B71CCC">
              <w:rPr>
                <w:noProof/>
                <w:webHidden/>
              </w:rPr>
              <w:fldChar w:fldCharType="separate"/>
            </w:r>
            <w:r w:rsidR="00B71CCC">
              <w:rPr>
                <w:noProof/>
                <w:webHidden/>
              </w:rPr>
              <w:t>3</w:t>
            </w:r>
            <w:r w:rsidR="00B71CCC">
              <w:rPr>
                <w:noProof/>
                <w:webHidden/>
              </w:rPr>
              <w:fldChar w:fldCharType="end"/>
            </w:r>
          </w:hyperlink>
        </w:p>
        <w:p w14:paraId="4EE8A65A" w14:textId="77777777" w:rsidR="00B71CCC" w:rsidRDefault="0090242C" w:rsidP="00B71CCC">
          <w:pPr>
            <w:pStyle w:val="TOC2"/>
            <w:tabs>
              <w:tab w:val="right" w:leader="dot" w:pos="9350"/>
            </w:tabs>
            <w:rPr>
              <w:noProof/>
            </w:rPr>
          </w:pPr>
          <w:hyperlink w:anchor="_Toc110334326"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.040 – Development Standards.</w:t>
            </w:r>
            <w:r w:rsidR="00B71CCC">
              <w:rPr>
                <w:noProof/>
                <w:webHidden/>
              </w:rPr>
              <w:tab/>
            </w:r>
            <w:r w:rsidR="00B71CCC">
              <w:rPr>
                <w:noProof/>
                <w:webHidden/>
              </w:rPr>
              <w:fldChar w:fldCharType="begin"/>
            </w:r>
            <w:r w:rsidR="00B71CCC">
              <w:rPr>
                <w:noProof/>
                <w:webHidden/>
              </w:rPr>
              <w:instrText xml:space="preserve"> PAGEREF _Toc110334326 \h </w:instrText>
            </w:r>
            <w:r w:rsidR="00B71CCC">
              <w:rPr>
                <w:noProof/>
                <w:webHidden/>
              </w:rPr>
            </w:r>
            <w:r w:rsidR="00B71CCC">
              <w:rPr>
                <w:noProof/>
                <w:webHidden/>
              </w:rPr>
              <w:fldChar w:fldCharType="separate"/>
            </w:r>
            <w:r w:rsidR="00B71CCC">
              <w:rPr>
                <w:noProof/>
                <w:webHidden/>
              </w:rPr>
              <w:t>5</w:t>
            </w:r>
            <w:r w:rsidR="00B71CCC">
              <w:rPr>
                <w:noProof/>
                <w:webHidden/>
              </w:rPr>
              <w:fldChar w:fldCharType="end"/>
            </w:r>
          </w:hyperlink>
        </w:p>
        <w:p w14:paraId="4E42AC8D" w14:textId="77777777" w:rsidR="00B71CCC" w:rsidRDefault="0090242C" w:rsidP="00B71CCC">
          <w:pPr>
            <w:pStyle w:val="TOC2"/>
            <w:tabs>
              <w:tab w:val="right" w:leader="dot" w:pos="9350"/>
            </w:tabs>
            <w:rPr>
              <w:noProof/>
            </w:rPr>
          </w:pPr>
          <w:hyperlink w:anchor="_Toc110334327"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.050 – Required Yards and Setbacks.</w:t>
            </w:r>
            <w:r w:rsidR="00B71CCC">
              <w:rPr>
                <w:noProof/>
                <w:webHidden/>
              </w:rPr>
              <w:tab/>
            </w:r>
            <w:r w:rsidR="00B71CCC">
              <w:rPr>
                <w:noProof/>
                <w:webHidden/>
              </w:rPr>
              <w:fldChar w:fldCharType="begin"/>
            </w:r>
            <w:r w:rsidR="00B71CCC">
              <w:rPr>
                <w:noProof/>
                <w:webHidden/>
              </w:rPr>
              <w:instrText xml:space="preserve"> PAGEREF _Toc110334327 \h </w:instrText>
            </w:r>
            <w:r w:rsidR="00B71CCC">
              <w:rPr>
                <w:noProof/>
                <w:webHidden/>
              </w:rPr>
            </w:r>
            <w:r w:rsidR="00B71CCC">
              <w:rPr>
                <w:noProof/>
                <w:webHidden/>
              </w:rPr>
              <w:fldChar w:fldCharType="separate"/>
            </w:r>
            <w:r w:rsidR="00B71CCC">
              <w:rPr>
                <w:noProof/>
                <w:webHidden/>
              </w:rPr>
              <w:t>7</w:t>
            </w:r>
            <w:r w:rsidR="00B71CCC">
              <w:rPr>
                <w:noProof/>
                <w:webHidden/>
              </w:rPr>
              <w:fldChar w:fldCharType="end"/>
            </w:r>
          </w:hyperlink>
        </w:p>
        <w:p w14:paraId="6EE27F9A" w14:textId="77777777" w:rsidR="00B71CCC" w:rsidRDefault="0090242C" w:rsidP="00B71CCC">
          <w:pPr>
            <w:pStyle w:val="TOC2"/>
            <w:tabs>
              <w:tab w:val="right" w:leader="dot" w:pos="9350"/>
            </w:tabs>
            <w:rPr>
              <w:noProof/>
            </w:rPr>
          </w:pPr>
          <w:hyperlink w:anchor="_Toc110334328"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.060 – Height Exceptions.</w:t>
            </w:r>
            <w:r w:rsidR="00B71CCC">
              <w:rPr>
                <w:noProof/>
                <w:webHidden/>
              </w:rPr>
              <w:tab/>
            </w:r>
            <w:r w:rsidR="00B71CCC">
              <w:rPr>
                <w:noProof/>
                <w:webHidden/>
              </w:rPr>
              <w:fldChar w:fldCharType="begin"/>
            </w:r>
            <w:r w:rsidR="00B71CCC">
              <w:rPr>
                <w:noProof/>
                <w:webHidden/>
              </w:rPr>
              <w:instrText xml:space="preserve"> PAGEREF _Toc110334328 \h </w:instrText>
            </w:r>
            <w:r w:rsidR="00B71CCC">
              <w:rPr>
                <w:noProof/>
                <w:webHidden/>
              </w:rPr>
            </w:r>
            <w:r w:rsidR="00B71CCC">
              <w:rPr>
                <w:noProof/>
                <w:webHidden/>
              </w:rPr>
              <w:fldChar w:fldCharType="separate"/>
            </w:r>
            <w:r w:rsidR="00B71CCC">
              <w:rPr>
                <w:noProof/>
                <w:webHidden/>
              </w:rPr>
              <w:t>7</w:t>
            </w:r>
            <w:r w:rsidR="00B71CCC">
              <w:rPr>
                <w:noProof/>
                <w:webHidden/>
              </w:rPr>
              <w:fldChar w:fldCharType="end"/>
            </w:r>
          </w:hyperlink>
        </w:p>
        <w:p w14:paraId="024623BF" w14:textId="77777777" w:rsidR="00B71CCC" w:rsidRDefault="0090242C" w:rsidP="00B71CCC">
          <w:pPr>
            <w:pStyle w:val="TOC2"/>
            <w:tabs>
              <w:tab w:val="right" w:leader="dot" w:pos="9350"/>
            </w:tabs>
            <w:rPr>
              <w:noProof/>
            </w:rPr>
          </w:pPr>
          <w:hyperlink w:anchor="_Toc110334329"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.070 – Parking and Loading Requirements.</w:t>
            </w:r>
            <w:r w:rsidR="00B71CCC">
              <w:rPr>
                <w:noProof/>
                <w:webHidden/>
              </w:rPr>
              <w:tab/>
            </w:r>
            <w:r w:rsidR="00B71CCC">
              <w:rPr>
                <w:noProof/>
                <w:webHidden/>
              </w:rPr>
              <w:fldChar w:fldCharType="begin"/>
            </w:r>
            <w:r w:rsidR="00B71CCC">
              <w:rPr>
                <w:noProof/>
                <w:webHidden/>
              </w:rPr>
              <w:instrText xml:space="preserve"> PAGEREF _Toc110334329 \h </w:instrText>
            </w:r>
            <w:r w:rsidR="00B71CCC">
              <w:rPr>
                <w:noProof/>
                <w:webHidden/>
              </w:rPr>
            </w:r>
            <w:r w:rsidR="00B71CCC">
              <w:rPr>
                <w:noProof/>
                <w:webHidden/>
              </w:rPr>
              <w:fldChar w:fldCharType="separate"/>
            </w:r>
            <w:r w:rsidR="00B71CCC">
              <w:rPr>
                <w:noProof/>
                <w:webHidden/>
              </w:rPr>
              <w:t>7</w:t>
            </w:r>
            <w:r w:rsidR="00B71CCC">
              <w:rPr>
                <w:noProof/>
                <w:webHidden/>
              </w:rPr>
              <w:fldChar w:fldCharType="end"/>
            </w:r>
          </w:hyperlink>
        </w:p>
        <w:p w14:paraId="57D5FFF9" w14:textId="77777777" w:rsidR="00B71CCC" w:rsidRDefault="0090242C" w:rsidP="00B71CCC">
          <w:pPr>
            <w:pStyle w:val="TOC2"/>
            <w:tabs>
              <w:tab w:val="right" w:leader="dot" w:pos="9350"/>
            </w:tabs>
            <w:rPr>
              <w:noProof/>
            </w:rPr>
          </w:pPr>
          <w:hyperlink w:anchor="_Toc110334330"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.080 – Landscaping and Screening Standards.</w:t>
            </w:r>
            <w:r w:rsidR="00B71CCC">
              <w:rPr>
                <w:noProof/>
                <w:webHidden/>
              </w:rPr>
              <w:tab/>
            </w:r>
            <w:r w:rsidR="00B71CCC">
              <w:rPr>
                <w:noProof/>
                <w:webHidden/>
              </w:rPr>
              <w:fldChar w:fldCharType="begin"/>
            </w:r>
            <w:r w:rsidR="00B71CCC">
              <w:rPr>
                <w:noProof/>
                <w:webHidden/>
              </w:rPr>
              <w:instrText xml:space="preserve"> PAGEREF _Toc110334330 \h </w:instrText>
            </w:r>
            <w:r w:rsidR="00B71CCC">
              <w:rPr>
                <w:noProof/>
                <w:webHidden/>
              </w:rPr>
            </w:r>
            <w:r w:rsidR="00B71CCC">
              <w:rPr>
                <w:noProof/>
                <w:webHidden/>
              </w:rPr>
              <w:fldChar w:fldCharType="separate"/>
            </w:r>
            <w:r w:rsidR="00B71CCC">
              <w:rPr>
                <w:noProof/>
                <w:webHidden/>
              </w:rPr>
              <w:t>8</w:t>
            </w:r>
            <w:r w:rsidR="00B71CCC">
              <w:rPr>
                <w:noProof/>
                <w:webHidden/>
              </w:rPr>
              <w:fldChar w:fldCharType="end"/>
            </w:r>
          </w:hyperlink>
        </w:p>
        <w:p w14:paraId="47C9C608" w14:textId="77777777" w:rsidR="00B71CCC" w:rsidRDefault="0090242C" w:rsidP="00B71CCC">
          <w:pPr>
            <w:pStyle w:val="TOC2"/>
            <w:tabs>
              <w:tab w:val="right" w:leader="dot" w:pos="9350"/>
            </w:tabs>
            <w:rPr>
              <w:noProof/>
            </w:rPr>
          </w:pPr>
          <w:hyperlink w:anchor="_Toc110334331" w:history="1">
            <w:r w:rsidR="00B71CCC" w:rsidRPr="00A02BFE">
              <w:rPr>
                <w:rStyle w:val="Hyperlink"/>
                <w:noProof/>
              </w:rPr>
              <w:t>19.</w:t>
            </w:r>
            <w:r w:rsidR="00B71CCC" w:rsidRPr="00A02BFE">
              <w:rPr>
                <w:rStyle w:val="Hyperlink"/>
                <w:noProof/>
                <w:highlight w:val="yellow"/>
              </w:rPr>
              <w:t>34</w:t>
            </w:r>
            <w:r w:rsidR="00B71CCC" w:rsidRPr="00A02BFE">
              <w:rPr>
                <w:rStyle w:val="Hyperlink"/>
                <w:noProof/>
              </w:rPr>
              <w:t>.090 – Additional Standards.</w:t>
            </w:r>
            <w:r w:rsidR="00B71CCC">
              <w:rPr>
                <w:noProof/>
                <w:webHidden/>
              </w:rPr>
              <w:tab/>
            </w:r>
            <w:r w:rsidR="00B71CCC">
              <w:rPr>
                <w:noProof/>
                <w:webHidden/>
              </w:rPr>
              <w:fldChar w:fldCharType="begin"/>
            </w:r>
            <w:r w:rsidR="00B71CCC">
              <w:rPr>
                <w:noProof/>
                <w:webHidden/>
              </w:rPr>
              <w:instrText xml:space="preserve"> PAGEREF _Toc110334331 \h </w:instrText>
            </w:r>
            <w:r w:rsidR="00B71CCC">
              <w:rPr>
                <w:noProof/>
                <w:webHidden/>
              </w:rPr>
            </w:r>
            <w:r w:rsidR="00B71CCC">
              <w:rPr>
                <w:noProof/>
                <w:webHidden/>
              </w:rPr>
              <w:fldChar w:fldCharType="separate"/>
            </w:r>
            <w:r w:rsidR="00B71CCC">
              <w:rPr>
                <w:noProof/>
                <w:webHidden/>
              </w:rPr>
              <w:t>8</w:t>
            </w:r>
            <w:r w:rsidR="00B71CCC">
              <w:rPr>
                <w:noProof/>
                <w:webHidden/>
              </w:rPr>
              <w:fldChar w:fldCharType="end"/>
            </w:r>
          </w:hyperlink>
        </w:p>
        <w:p w14:paraId="22BEF1D5" w14:textId="77777777" w:rsidR="00B71CCC" w:rsidRDefault="00B71CCC" w:rsidP="00B71CCC">
          <w:pPr>
            <w:rPr>
              <w:b/>
              <w:bCs/>
              <w:noProof/>
            </w:rPr>
          </w:pPr>
          <w:r>
            <w:rPr>
              <w:b/>
              <w:bCs/>
              <w:noProof/>
            </w:rPr>
            <w:fldChar w:fldCharType="end"/>
          </w:r>
        </w:p>
      </w:sdtContent>
    </w:sdt>
    <w:p w14:paraId="1AC30397" w14:textId="77777777" w:rsidR="004A72EF" w:rsidRPr="004A72EF" w:rsidRDefault="004A72EF" w:rsidP="004A72EF">
      <w:pPr>
        <w:rPr>
          <w:b/>
          <w:bCs/>
        </w:rPr>
      </w:pPr>
      <w:r w:rsidRPr="004A72EF">
        <w:rPr>
          <w:b/>
          <w:bCs/>
        </w:rPr>
        <w:t>Sections:</w:t>
      </w:r>
    </w:p>
    <w:p w14:paraId="466D7286" w14:textId="77777777" w:rsidR="004A72EF" w:rsidRPr="004A72EF" w:rsidRDefault="004A72EF" w:rsidP="004A72EF">
      <w:pPr>
        <w:outlineLvl w:val="1"/>
        <w:rPr>
          <w:b/>
          <w:bCs/>
        </w:rPr>
      </w:pPr>
      <w:bookmarkStart w:id="0" w:name="_Toc110334323"/>
      <w:r w:rsidRPr="004A72EF">
        <w:rPr>
          <w:b/>
          <w:bCs/>
        </w:rPr>
        <w:t>19.</w:t>
      </w:r>
      <w:r w:rsidRPr="004A72EF">
        <w:rPr>
          <w:b/>
          <w:bCs/>
          <w:highlight w:val="yellow"/>
        </w:rPr>
        <w:t>34</w:t>
      </w:r>
      <w:r w:rsidRPr="004A72EF">
        <w:rPr>
          <w:b/>
          <w:bCs/>
        </w:rPr>
        <w:t>.010 – Purpose of Provisions.</w:t>
      </w:r>
      <w:bookmarkEnd w:id="0"/>
    </w:p>
    <w:p w14:paraId="6FCF6122" w14:textId="77777777" w:rsidR="004A72EF" w:rsidRPr="004A72EF" w:rsidRDefault="004A72EF" w:rsidP="004A72EF">
      <w:pPr>
        <w:jc w:val="both"/>
      </w:pPr>
      <w:r w:rsidRPr="004A72EF">
        <w:t>The purpose of the manufacturing zones is to provide places in the municipality for industrial, warehousing, wholesale, and other uses that contribute to the economic stability of the community and wellbeing of its employees and residents. The zones intend to provide employment opportunities and expand the municipal tax base while also encouraging sustainable development and providing an attractive transition between residential and non-residential uses.</w:t>
      </w:r>
    </w:p>
    <w:p w14:paraId="01CE491F" w14:textId="77777777" w:rsidR="004A72EF" w:rsidRPr="004A72EF" w:rsidRDefault="004A72EF" w:rsidP="004A72EF">
      <w:pPr>
        <w:outlineLvl w:val="1"/>
        <w:rPr>
          <w:b/>
          <w:bCs/>
        </w:rPr>
      </w:pPr>
      <w:bookmarkStart w:id="1" w:name="_Toc110334324"/>
      <w:r w:rsidRPr="004A72EF">
        <w:rPr>
          <w:b/>
          <w:bCs/>
        </w:rPr>
        <w:t>19.</w:t>
      </w:r>
      <w:r w:rsidRPr="004A72EF">
        <w:rPr>
          <w:b/>
          <w:bCs/>
          <w:highlight w:val="yellow"/>
        </w:rPr>
        <w:t>34</w:t>
      </w:r>
      <w:r w:rsidRPr="004A72EF">
        <w:rPr>
          <w:b/>
          <w:bCs/>
        </w:rPr>
        <w:t>.020 – Establishment of Manufacturing Zones.</w:t>
      </w:r>
      <w:bookmarkEnd w:id="1"/>
      <w:r w:rsidRPr="004A72EF">
        <w:rPr>
          <w:b/>
          <w:bCs/>
        </w:rPr>
        <w:t xml:space="preserve"> </w:t>
      </w:r>
    </w:p>
    <w:p w14:paraId="61D7CFCD" w14:textId="77777777" w:rsidR="004A72EF" w:rsidRPr="004A72EF" w:rsidRDefault="004A72EF" w:rsidP="004A72EF">
      <w:pPr>
        <w:jc w:val="both"/>
        <w:rPr>
          <w:rFonts w:ascii="Calibri" w:hAnsi="Calibri" w:cs="Calibri"/>
          <w:color w:val="000000"/>
          <w:shd w:val="clear" w:color="auto" w:fill="FFFFFF"/>
        </w:rPr>
      </w:pPr>
      <w:r w:rsidRPr="004A72EF">
        <w:rPr>
          <w:rFonts w:ascii="Calibri" w:hAnsi="Calibri" w:cs="Calibri"/>
          <w:color w:val="000000"/>
          <w:shd w:val="clear" w:color="auto" w:fill="FFFFFF"/>
        </w:rPr>
        <w:t>To anticipate and respond to the changing needs of our community and implement industrial and employment center concepts included in the adopted General Plan, Kearns establishes the following zones: </w:t>
      </w:r>
    </w:p>
    <w:p w14:paraId="2F4BC564" w14:textId="77777777" w:rsidR="004A72EF" w:rsidRPr="004A72EF" w:rsidRDefault="004A72EF" w:rsidP="004A72EF">
      <w:pPr>
        <w:numPr>
          <w:ilvl w:val="0"/>
          <w:numId w:val="10"/>
        </w:numPr>
        <w:jc w:val="both"/>
      </w:pPr>
      <w:r w:rsidRPr="004A72EF">
        <w:rPr>
          <w:u w:val="single"/>
        </w:rPr>
        <w:t>Manufacturing Zone – Flex (M-1):</w:t>
      </w:r>
      <w:r w:rsidRPr="004A72EF">
        <w:t xml:space="preserve"> The M-1 Zone is intended to provide a flexible mix of industrial uses, including light manufacturing, warehousing, wholesale, and accessory uses that contribute to employee wellbeing and quality development. </w:t>
      </w:r>
    </w:p>
    <w:p w14:paraId="1CCCE56F" w14:textId="77777777" w:rsidR="004A72EF" w:rsidRPr="004A72EF" w:rsidRDefault="004A72EF" w:rsidP="004A72EF">
      <w:pPr>
        <w:numPr>
          <w:ilvl w:val="0"/>
          <w:numId w:val="10"/>
        </w:numPr>
        <w:jc w:val="both"/>
        <w:rPr>
          <w:b/>
          <w:bCs/>
        </w:rPr>
      </w:pPr>
      <w:r w:rsidRPr="004A72EF">
        <w:rPr>
          <w:u w:val="single"/>
        </w:rPr>
        <w:t>Manufacturing Zone – Heavy (M-2)</w:t>
      </w:r>
      <w:r w:rsidRPr="004A72EF">
        <w:t xml:space="preserve">: The M-2 Zone is reserved for areas of the municipality that support more intense industrial uses, such as distribution centers, resource processing, and energy production. Development standards are intended to minimize adverse impacts of these uses and protect the surrounding environment. </w:t>
      </w:r>
      <w:bookmarkStart w:id="2" w:name="_Toc110334325"/>
    </w:p>
    <w:bookmarkEnd w:id="2"/>
    <w:p w14:paraId="4D3C56C1" w14:textId="77777777" w:rsidR="004A72EF" w:rsidRPr="0029064B" w:rsidRDefault="004A72EF" w:rsidP="004A72EF">
      <w:pPr>
        <w:pStyle w:val="Heading2"/>
      </w:pPr>
      <w:r w:rsidRPr="0029064B">
        <w:t>19.</w:t>
      </w:r>
      <w:r w:rsidRPr="00463D94">
        <w:rPr>
          <w:highlight w:val="yellow"/>
        </w:rPr>
        <w:t>34</w:t>
      </w:r>
      <w:r w:rsidRPr="0029064B">
        <w:t>.030 – Schedule of Permitted Uses.</w:t>
      </w:r>
    </w:p>
    <w:p w14:paraId="1ED8FB43" w14:textId="77777777" w:rsidR="004A72EF" w:rsidRPr="001E38B5" w:rsidRDefault="004A72EF" w:rsidP="004A72EF">
      <w:pPr>
        <w:pStyle w:val="paragraph"/>
        <w:numPr>
          <w:ilvl w:val="0"/>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Schedule of Permitted Uses.</w:t>
      </w:r>
      <w:r>
        <w:rPr>
          <w:rStyle w:val="normaltextrun"/>
          <w:rFonts w:ascii="Calibri" w:hAnsi="Calibri" w:cs="Calibri"/>
          <w:sz w:val="22"/>
          <w:szCs w:val="22"/>
        </w:rPr>
        <w:t xml:space="preserve"> The specific uses listed in the following schedule are permitted in the z</w:t>
      </w:r>
      <w:r w:rsidRPr="001E38B5">
        <w:rPr>
          <w:rStyle w:val="normaltextrun"/>
          <w:rFonts w:ascii="Calibri" w:hAnsi="Calibri" w:cs="Calibri"/>
          <w:sz w:val="22"/>
          <w:szCs w:val="22"/>
        </w:rPr>
        <w:t xml:space="preserve">ones as indicated, subject to the general provisions, special conditions, additional restrictions, and exceptions set forth in this Title.   </w:t>
      </w:r>
    </w:p>
    <w:p w14:paraId="052C0851" w14:textId="77777777" w:rsidR="004A72EF" w:rsidRPr="001E38B5" w:rsidRDefault="004A72EF" w:rsidP="004A72EF">
      <w:pPr>
        <w:pStyle w:val="paragraph"/>
        <w:numPr>
          <w:ilvl w:val="0"/>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lastRenderedPageBreak/>
        <w:t>Special Conditions.</w:t>
      </w:r>
      <w:r w:rsidRPr="001E38B5">
        <w:rPr>
          <w:rStyle w:val="normaltextrun"/>
          <w:rFonts w:ascii="Calibri" w:hAnsi="Calibri" w:cs="Calibri"/>
          <w:sz w:val="22"/>
          <w:szCs w:val="22"/>
        </w:rPr>
        <w:t xml:space="preserve"> </w:t>
      </w:r>
      <w:r>
        <w:rPr>
          <w:rStyle w:val="normaltextrun"/>
          <w:rFonts w:ascii="Calibri" w:hAnsi="Calibri" w:cs="Calibri"/>
          <w:sz w:val="22"/>
          <w:szCs w:val="22"/>
        </w:rPr>
        <w:t>Any special conditions related to a specific use are in Chapter 19.</w:t>
      </w:r>
      <w:r w:rsidRPr="003B6E6E">
        <w:rPr>
          <w:rStyle w:val="normaltextrun"/>
          <w:rFonts w:ascii="Calibri" w:hAnsi="Calibri" w:cs="Calibri"/>
          <w:sz w:val="22"/>
          <w:szCs w:val="22"/>
          <w:highlight w:val="yellow"/>
        </w:rPr>
        <w:t>XX</w:t>
      </w:r>
      <w:r>
        <w:rPr>
          <w:rStyle w:val="normaltextrun"/>
          <w:rFonts w:ascii="Calibri" w:hAnsi="Calibri" w:cs="Calibri"/>
          <w:sz w:val="22"/>
          <w:szCs w:val="22"/>
        </w:rPr>
        <w:t xml:space="preserve"> </w:t>
      </w:r>
      <w:r w:rsidRPr="003B6E6E">
        <w:rPr>
          <w:rStyle w:val="normaltextrun"/>
          <w:rFonts w:ascii="Calibri" w:hAnsi="Calibri" w:cs="Calibri"/>
          <w:i/>
          <w:iCs/>
          <w:sz w:val="22"/>
          <w:szCs w:val="22"/>
        </w:rPr>
        <w:t>Specific Use Standards</w:t>
      </w:r>
      <w:r>
        <w:rPr>
          <w:rStyle w:val="normaltextrun"/>
          <w:rFonts w:ascii="Calibri" w:hAnsi="Calibri" w:cs="Calibri"/>
          <w:sz w:val="22"/>
          <w:szCs w:val="22"/>
        </w:rPr>
        <w:t>.</w:t>
      </w:r>
      <w:r w:rsidRPr="001E38B5">
        <w:rPr>
          <w:rStyle w:val="normaltextrun"/>
          <w:rFonts w:ascii="Calibri" w:hAnsi="Calibri" w:cs="Calibri"/>
          <w:sz w:val="22"/>
          <w:szCs w:val="22"/>
        </w:rPr>
        <w:t xml:space="preserve">  </w:t>
      </w:r>
    </w:p>
    <w:p w14:paraId="0547D024" w14:textId="77777777" w:rsidR="004A72EF" w:rsidRPr="001E38B5" w:rsidRDefault="004A72EF" w:rsidP="004A72EF">
      <w:pPr>
        <w:pStyle w:val="paragraph"/>
        <w:numPr>
          <w:ilvl w:val="0"/>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Procedure for Multiple Uses (Combination of Uses).</w:t>
      </w:r>
      <w:r w:rsidRPr="001E38B5">
        <w:rPr>
          <w:rStyle w:val="normaltextrun"/>
          <w:rFonts w:ascii="Calibri" w:hAnsi="Calibri" w:cs="Calibri"/>
          <w:sz w:val="22"/>
          <w:szCs w:val="22"/>
        </w:rPr>
        <w:t xml:space="preserve"> If a development proposal involves a combination of uses other than accessory uses as identified in Table 19.XX.030, the more restrictive provisions of this Title shall apply. For example, if a portion of a development is subject to Conditional Use (“C”) approval and the other portion is subject only to Permitted Use (“P) review, the entire development shall be reviewed and approved by the Conditional Use process.   </w:t>
      </w:r>
    </w:p>
    <w:p w14:paraId="2F0897D9" w14:textId="77777777" w:rsidR="004A72EF" w:rsidRPr="001E38B5" w:rsidRDefault="004A72EF" w:rsidP="004A72EF">
      <w:pPr>
        <w:pStyle w:val="paragraph"/>
        <w:numPr>
          <w:ilvl w:val="0"/>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Abbreviations.</w:t>
      </w:r>
      <w:r w:rsidRPr="001E38B5">
        <w:rPr>
          <w:rStyle w:val="normaltextrun"/>
          <w:rFonts w:ascii="Calibri" w:hAnsi="Calibri" w:cs="Calibri"/>
          <w:sz w:val="22"/>
          <w:szCs w:val="22"/>
        </w:rPr>
        <w:t xml:space="preserve"> The abbreviations used in the schedule mean:   </w:t>
      </w:r>
    </w:p>
    <w:p w14:paraId="77B61E18" w14:textId="77777777" w:rsidR="004A72EF" w:rsidRPr="001E38B5" w:rsidRDefault="004A72EF" w:rsidP="004A72EF">
      <w:pPr>
        <w:pStyle w:val="paragraph"/>
        <w:numPr>
          <w:ilvl w:val="1"/>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P = Permitted Use.</w:t>
      </w:r>
      <w:r w:rsidRPr="001E38B5">
        <w:rPr>
          <w:rStyle w:val="normaltextrun"/>
          <w:rFonts w:ascii="Calibri" w:hAnsi="Calibri" w:cs="Calibri"/>
          <w:sz w:val="22"/>
          <w:szCs w:val="22"/>
        </w:rPr>
        <w:t xml:space="preserve"> This use is allowed in the zone but may be subject to additional restrictions and approval processes as provided in this Title.  </w:t>
      </w:r>
    </w:p>
    <w:p w14:paraId="20AD7CC0" w14:textId="77777777" w:rsidR="004A72EF" w:rsidRPr="001E38B5" w:rsidRDefault="004A72EF" w:rsidP="004A72EF">
      <w:pPr>
        <w:pStyle w:val="paragraph"/>
        <w:numPr>
          <w:ilvl w:val="1"/>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C = Conditional Use.</w:t>
      </w:r>
      <w:r w:rsidRPr="001E38B5">
        <w:rPr>
          <w:rStyle w:val="normaltextrun"/>
          <w:rFonts w:ascii="Calibri" w:hAnsi="Calibri" w:cs="Calibri"/>
          <w:sz w:val="22"/>
          <w:szCs w:val="22"/>
        </w:rPr>
        <w:t xml:space="preserve"> This use is conditional because of the unique characteristics or potential impacts on the municipality, surrounding neighbors, or adjacent uses, incompatibility in some areas of the zone, or compatibility only if special provisions or conditions are required to mitigate the detrimental impacts of the use. The Planning Commission is the land use authority for uses with this designation.  </w:t>
      </w:r>
    </w:p>
    <w:p w14:paraId="3A97994F" w14:textId="169238C1" w:rsidR="004A72EF" w:rsidRPr="001E38B5" w:rsidRDefault="004A72EF" w:rsidP="004A72EF">
      <w:pPr>
        <w:pStyle w:val="paragraph"/>
        <w:numPr>
          <w:ilvl w:val="1"/>
          <w:numId w:val="24"/>
        </w:numPr>
        <w:spacing w:after="120" w:afterAutospacing="0"/>
        <w:jc w:val="both"/>
        <w:textAlignment w:val="baseline"/>
        <w:rPr>
          <w:rStyle w:val="normaltextrun"/>
          <w:rFonts w:ascii="Calibri" w:hAnsi="Calibri" w:cs="Calibri"/>
          <w:sz w:val="22"/>
          <w:szCs w:val="22"/>
        </w:rPr>
      </w:pPr>
      <w:r w:rsidRPr="00A82F47">
        <w:rPr>
          <w:rStyle w:val="normaltextrun"/>
          <w:rFonts w:ascii="Calibri" w:hAnsi="Calibri" w:cs="Calibri"/>
          <w:sz w:val="22"/>
          <w:szCs w:val="22"/>
          <w:u w:val="single"/>
        </w:rPr>
        <w:t>X = Prohibited Use.</w:t>
      </w:r>
      <w:r w:rsidRPr="001E38B5">
        <w:rPr>
          <w:rStyle w:val="normaltextrun"/>
          <w:rFonts w:ascii="Calibri" w:hAnsi="Calibri" w:cs="Calibri"/>
          <w:sz w:val="22"/>
          <w:szCs w:val="22"/>
        </w:rPr>
        <w:t xml:space="preserve"> This use is prohibited in this zone. Any use not specifically identified in Table 19.</w:t>
      </w:r>
      <w:r w:rsidR="009239DB" w:rsidRPr="009239DB">
        <w:rPr>
          <w:rStyle w:val="normaltextrun"/>
          <w:rFonts w:ascii="Calibri" w:hAnsi="Calibri" w:cs="Calibri"/>
          <w:sz w:val="22"/>
          <w:szCs w:val="22"/>
          <w:highlight w:val="yellow"/>
        </w:rPr>
        <w:t>34</w:t>
      </w:r>
      <w:r w:rsidRPr="009239DB">
        <w:rPr>
          <w:rStyle w:val="normaltextrun"/>
          <w:rFonts w:ascii="Calibri" w:hAnsi="Calibri" w:cs="Calibri"/>
          <w:sz w:val="22"/>
          <w:szCs w:val="22"/>
          <w:highlight w:val="yellow"/>
        </w:rPr>
        <w:t>.</w:t>
      </w:r>
      <w:r w:rsidRPr="001E38B5">
        <w:rPr>
          <w:rStyle w:val="normaltextrun"/>
          <w:rFonts w:ascii="Calibri" w:hAnsi="Calibri" w:cs="Calibri"/>
          <w:sz w:val="22"/>
          <w:szCs w:val="22"/>
        </w:rPr>
        <w:t xml:space="preserve">030 is prohibited in this zone.  </w:t>
      </w:r>
    </w:p>
    <w:tbl>
      <w:tblPr>
        <w:tblStyle w:val="TableGrid"/>
        <w:tblW w:w="0" w:type="auto"/>
        <w:tblLook w:val="04A0" w:firstRow="1" w:lastRow="0" w:firstColumn="1" w:lastColumn="0" w:noHBand="0" w:noVBand="1"/>
      </w:tblPr>
      <w:tblGrid>
        <w:gridCol w:w="6745"/>
        <w:gridCol w:w="1350"/>
        <w:gridCol w:w="1255"/>
      </w:tblGrid>
      <w:tr w:rsidR="004A72EF" w14:paraId="0A660448" w14:textId="77777777" w:rsidTr="00755E9B">
        <w:tc>
          <w:tcPr>
            <w:tcW w:w="9350" w:type="dxa"/>
            <w:gridSpan w:val="3"/>
            <w:vAlign w:val="center"/>
          </w:tcPr>
          <w:p w14:paraId="58F00112" w14:textId="010BA3DA" w:rsidR="004A72EF" w:rsidRPr="004A72EF" w:rsidRDefault="004A72EF" w:rsidP="004A72EF">
            <w:pPr>
              <w:pStyle w:val="paragraph"/>
              <w:spacing w:before="0" w:beforeAutospacing="0" w:after="160" w:afterAutospacing="0"/>
              <w:ind w:left="720"/>
              <w:jc w:val="center"/>
              <w:textAlignment w:val="baseline"/>
              <w:rPr>
                <w:rFonts w:asciiTheme="minorHAnsi" w:hAnsiTheme="minorHAnsi" w:cstheme="minorBidi"/>
                <w:b/>
                <w:bCs/>
                <w:sz w:val="20"/>
                <w:szCs w:val="20"/>
              </w:rPr>
            </w:pPr>
            <w:r w:rsidRPr="46BB4CE8">
              <w:rPr>
                <w:rStyle w:val="normaltextrun"/>
                <w:rFonts w:asciiTheme="minorHAnsi" w:hAnsiTheme="minorHAnsi" w:cstheme="minorBidi"/>
                <w:b/>
                <w:bCs/>
                <w:sz w:val="22"/>
                <w:szCs w:val="22"/>
              </w:rPr>
              <w:t>Table 19.34.030: Table of Uses for M-1 and M-2 Zones.</w:t>
            </w:r>
          </w:p>
        </w:tc>
      </w:tr>
      <w:tr w:rsidR="00930B53" w14:paraId="5FE813B2" w14:textId="77777777" w:rsidTr="46BB4CE8">
        <w:tc>
          <w:tcPr>
            <w:tcW w:w="6745" w:type="dxa"/>
            <w:vAlign w:val="center"/>
          </w:tcPr>
          <w:p w14:paraId="368EEE40" w14:textId="0ACFED9E" w:rsidR="00930B53" w:rsidRPr="00930B53" w:rsidRDefault="00930B53" w:rsidP="00930B53">
            <w:pPr>
              <w:pStyle w:val="paragraph"/>
              <w:spacing w:before="0" w:beforeAutospacing="0" w:after="160" w:afterAutospacing="0"/>
              <w:jc w:val="center"/>
              <w:textAlignment w:val="baseline"/>
              <w:rPr>
                <w:rFonts w:ascii="Calibri" w:hAnsi="Calibri" w:cs="Calibri"/>
                <w:b/>
                <w:bCs/>
                <w:sz w:val="22"/>
                <w:szCs w:val="22"/>
              </w:rPr>
            </w:pPr>
            <w:r w:rsidRPr="00930B53">
              <w:rPr>
                <w:rFonts w:ascii="Calibri" w:hAnsi="Calibri" w:cs="Calibri"/>
                <w:b/>
                <w:bCs/>
                <w:sz w:val="22"/>
                <w:szCs w:val="22"/>
              </w:rPr>
              <w:t>Use Categories</w:t>
            </w:r>
          </w:p>
        </w:tc>
        <w:tc>
          <w:tcPr>
            <w:tcW w:w="1350" w:type="dxa"/>
            <w:vAlign w:val="center"/>
          </w:tcPr>
          <w:p w14:paraId="2456E691" w14:textId="2479D6CB" w:rsidR="00930B53" w:rsidRPr="00930B53" w:rsidRDefault="00930B53" w:rsidP="00930B53">
            <w:pPr>
              <w:pStyle w:val="paragraph"/>
              <w:spacing w:before="0" w:beforeAutospacing="0" w:after="160" w:afterAutospacing="0"/>
              <w:jc w:val="center"/>
              <w:textAlignment w:val="baseline"/>
              <w:rPr>
                <w:rFonts w:ascii="Calibri" w:hAnsi="Calibri" w:cs="Calibri"/>
                <w:b/>
                <w:bCs/>
                <w:sz w:val="22"/>
                <w:szCs w:val="22"/>
              </w:rPr>
            </w:pPr>
            <w:r w:rsidRPr="00930B53">
              <w:rPr>
                <w:rFonts w:ascii="Calibri" w:hAnsi="Calibri" w:cs="Calibri"/>
                <w:b/>
                <w:bCs/>
                <w:sz w:val="22"/>
                <w:szCs w:val="22"/>
              </w:rPr>
              <w:t>M-1</w:t>
            </w:r>
          </w:p>
        </w:tc>
        <w:tc>
          <w:tcPr>
            <w:tcW w:w="1255" w:type="dxa"/>
            <w:vAlign w:val="center"/>
          </w:tcPr>
          <w:p w14:paraId="34D80FEF" w14:textId="7CF3E3FA" w:rsidR="00930B53" w:rsidRPr="00930B53" w:rsidRDefault="00930B53" w:rsidP="00930B53">
            <w:pPr>
              <w:pStyle w:val="paragraph"/>
              <w:spacing w:before="0" w:beforeAutospacing="0" w:after="160" w:afterAutospacing="0"/>
              <w:jc w:val="center"/>
              <w:textAlignment w:val="baseline"/>
              <w:rPr>
                <w:rFonts w:ascii="Calibri" w:hAnsi="Calibri" w:cs="Calibri"/>
                <w:b/>
                <w:bCs/>
                <w:sz w:val="22"/>
                <w:szCs w:val="22"/>
              </w:rPr>
            </w:pPr>
            <w:r w:rsidRPr="00930B53">
              <w:rPr>
                <w:rFonts w:ascii="Calibri" w:hAnsi="Calibri" w:cs="Calibri"/>
                <w:b/>
                <w:bCs/>
                <w:sz w:val="22"/>
                <w:szCs w:val="22"/>
              </w:rPr>
              <w:t>M-2</w:t>
            </w:r>
          </w:p>
        </w:tc>
      </w:tr>
      <w:tr w:rsidR="00E403EB" w14:paraId="59740869" w14:textId="77777777" w:rsidTr="46BB4CE8">
        <w:tc>
          <w:tcPr>
            <w:tcW w:w="9350" w:type="dxa"/>
            <w:gridSpan w:val="3"/>
            <w:shd w:val="clear" w:color="auto" w:fill="D9D9D9" w:themeFill="background1" w:themeFillShade="D9"/>
          </w:tcPr>
          <w:p w14:paraId="415AF4F4" w14:textId="0BBC763B" w:rsidR="00E403EB" w:rsidRDefault="00E403EB" w:rsidP="00BC3EA5">
            <w:pPr>
              <w:pStyle w:val="paragraph"/>
              <w:spacing w:before="0" w:beforeAutospacing="0" w:after="160" w:afterAutospacing="0"/>
              <w:jc w:val="both"/>
              <w:textAlignment w:val="baseline"/>
              <w:rPr>
                <w:rFonts w:ascii="Calibri" w:hAnsi="Calibri" w:cs="Calibri"/>
                <w:sz w:val="22"/>
                <w:szCs w:val="22"/>
              </w:rPr>
            </w:pPr>
            <w:r w:rsidRPr="005E4232">
              <w:rPr>
                <w:rFonts w:ascii="Calibri" w:hAnsi="Calibri" w:cs="Calibri"/>
                <w:sz w:val="22"/>
                <w:szCs w:val="22"/>
                <w:u w:val="single"/>
              </w:rPr>
              <w:t>R</w:t>
            </w:r>
            <w:r w:rsidR="005E4232" w:rsidRPr="005E4232">
              <w:rPr>
                <w:rFonts w:ascii="Calibri" w:hAnsi="Calibri" w:cs="Calibri"/>
                <w:sz w:val="22"/>
                <w:szCs w:val="22"/>
                <w:u w:val="single"/>
              </w:rPr>
              <w:t>ESIDENTIAL USES</w:t>
            </w:r>
            <w:r>
              <w:rPr>
                <w:rFonts w:ascii="Calibri" w:hAnsi="Calibri" w:cs="Calibri"/>
                <w:sz w:val="22"/>
                <w:szCs w:val="22"/>
              </w:rPr>
              <w:t>:</w:t>
            </w:r>
          </w:p>
        </w:tc>
      </w:tr>
      <w:tr w:rsidR="00930B53" w14:paraId="55E3793A" w14:textId="77777777" w:rsidTr="46BB4CE8">
        <w:tc>
          <w:tcPr>
            <w:tcW w:w="6745" w:type="dxa"/>
          </w:tcPr>
          <w:p w14:paraId="537380D4" w14:textId="67BCE51F" w:rsidR="00930B53" w:rsidRDefault="00932FA3" w:rsidP="00BC3EA5">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Rail-Transit Mixed Use</w:t>
            </w:r>
          </w:p>
        </w:tc>
        <w:tc>
          <w:tcPr>
            <w:tcW w:w="1350" w:type="dxa"/>
          </w:tcPr>
          <w:p w14:paraId="1122394F" w14:textId="6EFD0834" w:rsidR="00930B53" w:rsidRDefault="006C47B1"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68FD3B94" w14:textId="7C30A441" w:rsidR="00930B53" w:rsidRDefault="006C47B1"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901EE7" w14:paraId="549DF228" w14:textId="77777777" w:rsidTr="46BB4CE8">
        <w:tc>
          <w:tcPr>
            <w:tcW w:w="9350" w:type="dxa"/>
            <w:gridSpan w:val="3"/>
            <w:shd w:val="clear" w:color="auto" w:fill="D9D9D9" w:themeFill="background1" w:themeFillShade="D9"/>
          </w:tcPr>
          <w:p w14:paraId="31779BBA" w14:textId="2EDA5A15" w:rsidR="00901EE7" w:rsidRDefault="005E4232" w:rsidP="00BC3EA5">
            <w:pPr>
              <w:pStyle w:val="paragraph"/>
              <w:spacing w:before="0" w:beforeAutospacing="0" w:after="160" w:afterAutospacing="0"/>
              <w:jc w:val="both"/>
              <w:textAlignment w:val="baseline"/>
              <w:rPr>
                <w:rFonts w:ascii="Calibri" w:hAnsi="Calibri" w:cs="Calibri"/>
                <w:sz w:val="22"/>
                <w:szCs w:val="22"/>
              </w:rPr>
            </w:pPr>
            <w:r w:rsidRPr="005E4232">
              <w:rPr>
                <w:rFonts w:ascii="Calibri" w:hAnsi="Calibri" w:cs="Calibri"/>
                <w:sz w:val="22"/>
                <w:szCs w:val="22"/>
                <w:u w:val="single"/>
              </w:rPr>
              <w:t>RETAIL AND SERVICE</w:t>
            </w:r>
            <w:r w:rsidR="00901EE7">
              <w:rPr>
                <w:rFonts w:ascii="Calibri" w:hAnsi="Calibri" w:cs="Calibri"/>
                <w:sz w:val="22"/>
                <w:szCs w:val="22"/>
              </w:rPr>
              <w:t>:</w:t>
            </w:r>
          </w:p>
        </w:tc>
      </w:tr>
      <w:tr w:rsidR="00930B53" w14:paraId="33C18ED4" w14:textId="77777777" w:rsidTr="46BB4CE8">
        <w:tc>
          <w:tcPr>
            <w:tcW w:w="6745" w:type="dxa"/>
          </w:tcPr>
          <w:p w14:paraId="4A5FBC3A" w14:textId="59D5DAB7" w:rsidR="00930B53" w:rsidRDefault="00637AE7" w:rsidP="00BC3EA5">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Animal Control or Rescue Facility</w:t>
            </w:r>
          </w:p>
        </w:tc>
        <w:tc>
          <w:tcPr>
            <w:tcW w:w="1350" w:type="dxa"/>
          </w:tcPr>
          <w:p w14:paraId="55C4D2CA" w14:textId="4765CB19" w:rsidR="00930B53" w:rsidRDefault="005B6584"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7AD7616D" w14:textId="272D4C9C" w:rsidR="00930B53" w:rsidRDefault="005B6584"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637AE7" w14:paraId="3D1A6AC3" w14:textId="77777777" w:rsidTr="46BB4CE8">
        <w:tc>
          <w:tcPr>
            <w:tcW w:w="6745" w:type="dxa"/>
          </w:tcPr>
          <w:p w14:paraId="60C6B707" w14:textId="27262354" w:rsidR="00637AE7" w:rsidRDefault="0072325C" w:rsidP="00BC3EA5">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 xml:space="preserve">Animal Hospital or Clinic with </w:t>
            </w:r>
            <w:r w:rsidR="001C113A">
              <w:rPr>
                <w:rFonts w:ascii="Calibri" w:hAnsi="Calibri" w:cs="Calibri"/>
                <w:sz w:val="22"/>
                <w:szCs w:val="22"/>
              </w:rPr>
              <w:t xml:space="preserve">or </w:t>
            </w:r>
            <w:r>
              <w:rPr>
                <w:rFonts w:ascii="Calibri" w:hAnsi="Calibri" w:cs="Calibri"/>
                <w:sz w:val="22"/>
                <w:szCs w:val="22"/>
              </w:rPr>
              <w:t>without Outdoor Boarding Facilities</w:t>
            </w:r>
          </w:p>
        </w:tc>
        <w:tc>
          <w:tcPr>
            <w:tcW w:w="1350" w:type="dxa"/>
          </w:tcPr>
          <w:p w14:paraId="42686847" w14:textId="0FE0BDF0" w:rsidR="00637AE7" w:rsidRDefault="005B6584"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3A753260" w14:textId="3BE35BAE" w:rsidR="00637AE7" w:rsidRDefault="005B6584"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72325C" w14:paraId="4DD6A4E8" w14:textId="77777777" w:rsidTr="46BB4CE8">
        <w:tc>
          <w:tcPr>
            <w:tcW w:w="6745" w:type="dxa"/>
          </w:tcPr>
          <w:p w14:paraId="3182C020" w14:textId="37B11F93" w:rsidR="0072325C" w:rsidRDefault="00871537" w:rsidP="00BC3EA5">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Child Care</w:t>
            </w:r>
            <w:r w:rsidR="0001299A">
              <w:rPr>
                <w:rFonts w:ascii="Calibri" w:hAnsi="Calibri" w:cs="Calibri"/>
                <w:sz w:val="22"/>
                <w:szCs w:val="22"/>
              </w:rPr>
              <w:t xml:space="preserve"> Center</w:t>
            </w:r>
          </w:p>
        </w:tc>
        <w:tc>
          <w:tcPr>
            <w:tcW w:w="1350" w:type="dxa"/>
          </w:tcPr>
          <w:p w14:paraId="00116BE9" w14:textId="4B118C3B" w:rsidR="0072325C" w:rsidRDefault="00EA5B46"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37658CC8" w14:textId="7B3D99A2" w:rsidR="0072325C" w:rsidRDefault="00EA5B46"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707D06" w14:paraId="31D6CEB2" w14:textId="77777777" w:rsidTr="46BB4CE8">
        <w:tc>
          <w:tcPr>
            <w:tcW w:w="6745" w:type="dxa"/>
          </w:tcPr>
          <w:p w14:paraId="20E436AC" w14:textId="3EF7E0D5" w:rsidR="00707D06" w:rsidRDefault="002C1A12" w:rsidP="00BC3EA5">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Commercial Plant Nursery</w:t>
            </w:r>
          </w:p>
        </w:tc>
        <w:tc>
          <w:tcPr>
            <w:tcW w:w="1350" w:type="dxa"/>
          </w:tcPr>
          <w:p w14:paraId="6E123913" w14:textId="3FFD64F0" w:rsidR="00707D06" w:rsidRDefault="00EA5B46"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4C2490E0" w14:textId="631166DE" w:rsidR="00707D06" w:rsidRDefault="00EA5B46" w:rsidP="001C339F">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3E992B23" w14:textId="77777777" w:rsidTr="46BB4CE8">
        <w:tc>
          <w:tcPr>
            <w:tcW w:w="6745" w:type="dxa"/>
          </w:tcPr>
          <w:p w14:paraId="1766236B" w14:textId="76149044"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Contractor’s Office</w:t>
            </w:r>
          </w:p>
        </w:tc>
        <w:tc>
          <w:tcPr>
            <w:tcW w:w="1350" w:type="dxa"/>
          </w:tcPr>
          <w:p w14:paraId="44698388" w14:textId="0DEF66E9"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1EE7D312" w14:textId="344BA2D5"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18F9B8B7" w14:textId="77777777" w:rsidTr="46BB4CE8">
        <w:tc>
          <w:tcPr>
            <w:tcW w:w="6745" w:type="dxa"/>
          </w:tcPr>
          <w:p w14:paraId="736FC41F" w14:textId="7A9C23FE"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Vehicle and Equipment Repair – All Types</w:t>
            </w:r>
          </w:p>
        </w:tc>
        <w:tc>
          <w:tcPr>
            <w:tcW w:w="1350" w:type="dxa"/>
          </w:tcPr>
          <w:p w14:paraId="21C3CB4E" w14:textId="531DC873"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6F5B347E" w14:textId="389FC350"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2B412F06" w14:textId="77777777" w:rsidTr="46BB4CE8">
        <w:tc>
          <w:tcPr>
            <w:tcW w:w="6745" w:type="dxa"/>
            <w:shd w:val="clear" w:color="auto" w:fill="D0CECE" w:themeFill="background2" w:themeFillShade="E6"/>
          </w:tcPr>
          <w:p w14:paraId="0F083575" w14:textId="3D2909FF" w:rsidR="00D01927" w:rsidRPr="005E4232"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5E4232">
              <w:rPr>
                <w:rFonts w:ascii="Calibri" w:hAnsi="Calibri" w:cs="Calibri"/>
                <w:sz w:val="22"/>
                <w:szCs w:val="22"/>
                <w:u w:val="single"/>
              </w:rPr>
              <w:t xml:space="preserve">FOOD AND DRINK: </w:t>
            </w:r>
          </w:p>
        </w:tc>
        <w:tc>
          <w:tcPr>
            <w:tcW w:w="1350" w:type="dxa"/>
            <w:shd w:val="clear" w:color="auto" w:fill="D0CECE" w:themeFill="background2" w:themeFillShade="E6"/>
          </w:tcPr>
          <w:p w14:paraId="48F771F7" w14:textId="77777777" w:rsidR="00D01927" w:rsidRDefault="00D01927" w:rsidP="00D01927">
            <w:pPr>
              <w:pStyle w:val="paragraph"/>
              <w:spacing w:before="0" w:beforeAutospacing="0" w:after="160" w:afterAutospacing="0"/>
              <w:jc w:val="center"/>
              <w:textAlignment w:val="baseline"/>
              <w:rPr>
                <w:rFonts w:ascii="Calibri" w:hAnsi="Calibri" w:cs="Calibri"/>
                <w:sz w:val="22"/>
                <w:szCs w:val="22"/>
              </w:rPr>
            </w:pPr>
          </w:p>
        </w:tc>
        <w:tc>
          <w:tcPr>
            <w:tcW w:w="1255" w:type="dxa"/>
            <w:shd w:val="clear" w:color="auto" w:fill="D0CECE" w:themeFill="background2" w:themeFillShade="E6"/>
          </w:tcPr>
          <w:p w14:paraId="57DBEDDD" w14:textId="77777777" w:rsidR="00D01927" w:rsidRDefault="00D01927" w:rsidP="00D01927">
            <w:pPr>
              <w:pStyle w:val="paragraph"/>
              <w:spacing w:before="0" w:beforeAutospacing="0" w:after="160" w:afterAutospacing="0"/>
              <w:jc w:val="center"/>
              <w:textAlignment w:val="baseline"/>
              <w:rPr>
                <w:rFonts w:ascii="Calibri" w:hAnsi="Calibri" w:cs="Calibri"/>
                <w:sz w:val="22"/>
                <w:szCs w:val="22"/>
              </w:rPr>
            </w:pPr>
          </w:p>
        </w:tc>
      </w:tr>
      <w:tr w:rsidR="000352C6" w14:paraId="7AAD7EF5" w14:textId="77777777" w:rsidTr="46BB4CE8">
        <w:tc>
          <w:tcPr>
            <w:tcW w:w="9350" w:type="dxa"/>
            <w:gridSpan w:val="3"/>
          </w:tcPr>
          <w:p w14:paraId="7B3350BE" w14:textId="70317CE4" w:rsidR="000352C6" w:rsidRDefault="000352C6"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See Accessory Uses.</w:t>
            </w:r>
          </w:p>
        </w:tc>
      </w:tr>
      <w:tr w:rsidR="00D01927" w14:paraId="254BE003" w14:textId="77777777" w:rsidTr="46BB4CE8">
        <w:tc>
          <w:tcPr>
            <w:tcW w:w="6745" w:type="dxa"/>
            <w:shd w:val="clear" w:color="auto" w:fill="D0CECE" w:themeFill="background2" w:themeFillShade="E6"/>
          </w:tcPr>
          <w:p w14:paraId="5BF9F2AB" w14:textId="34E097A3" w:rsidR="00D01927" w:rsidRPr="001577DF"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1577DF">
              <w:rPr>
                <w:rFonts w:ascii="Calibri" w:hAnsi="Calibri" w:cs="Calibri"/>
                <w:sz w:val="22"/>
                <w:szCs w:val="22"/>
                <w:u w:val="single"/>
              </w:rPr>
              <w:t>RECREATIONAL:</w:t>
            </w:r>
          </w:p>
        </w:tc>
        <w:tc>
          <w:tcPr>
            <w:tcW w:w="1350" w:type="dxa"/>
            <w:shd w:val="clear" w:color="auto" w:fill="D0CECE" w:themeFill="background2" w:themeFillShade="E6"/>
          </w:tcPr>
          <w:p w14:paraId="1EDF6CE1" w14:textId="77777777" w:rsidR="00D01927" w:rsidRPr="001577DF"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c>
          <w:tcPr>
            <w:tcW w:w="1255" w:type="dxa"/>
            <w:shd w:val="clear" w:color="auto" w:fill="D0CECE" w:themeFill="background2" w:themeFillShade="E6"/>
          </w:tcPr>
          <w:p w14:paraId="7C60B6A5" w14:textId="77777777" w:rsidR="00D01927" w:rsidRPr="001577DF"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r>
      <w:tr w:rsidR="00D01927" w14:paraId="3781672D" w14:textId="77777777" w:rsidTr="46BB4CE8">
        <w:tc>
          <w:tcPr>
            <w:tcW w:w="6745" w:type="dxa"/>
          </w:tcPr>
          <w:p w14:paraId="69B9299A" w14:textId="29D3C1F3"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Open Space</w:t>
            </w:r>
          </w:p>
        </w:tc>
        <w:tc>
          <w:tcPr>
            <w:tcW w:w="1350" w:type="dxa"/>
          </w:tcPr>
          <w:p w14:paraId="7F7DF6D2" w14:textId="3BC44DEF"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1E72DC7D" w14:textId="74EEAEAD"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0352C6" w14:paraId="60CF20B6" w14:textId="77777777" w:rsidTr="46BB4CE8">
        <w:tc>
          <w:tcPr>
            <w:tcW w:w="9350" w:type="dxa"/>
            <w:gridSpan w:val="3"/>
          </w:tcPr>
          <w:p w14:paraId="762ABE30" w14:textId="7168F066" w:rsidR="000352C6" w:rsidRDefault="000352C6"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See also Accessory Uses.</w:t>
            </w:r>
          </w:p>
        </w:tc>
      </w:tr>
      <w:tr w:rsidR="00D01927" w14:paraId="113DC9F5" w14:textId="77777777" w:rsidTr="46BB4CE8">
        <w:tc>
          <w:tcPr>
            <w:tcW w:w="6745" w:type="dxa"/>
            <w:shd w:val="clear" w:color="auto" w:fill="D0CECE" w:themeFill="background2" w:themeFillShade="E6"/>
          </w:tcPr>
          <w:p w14:paraId="1D321434" w14:textId="46D19B44" w:rsidR="00D01927" w:rsidRPr="005E4232"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5E4232">
              <w:rPr>
                <w:rFonts w:ascii="Calibri" w:hAnsi="Calibri" w:cs="Calibri"/>
                <w:sz w:val="22"/>
                <w:szCs w:val="22"/>
                <w:u w:val="single"/>
              </w:rPr>
              <w:t>LODGING:</w:t>
            </w:r>
          </w:p>
        </w:tc>
        <w:tc>
          <w:tcPr>
            <w:tcW w:w="1350" w:type="dxa"/>
            <w:shd w:val="clear" w:color="auto" w:fill="D0CECE" w:themeFill="background2" w:themeFillShade="E6"/>
          </w:tcPr>
          <w:p w14:paraId="253DD76C" w14:textId="77777777" w:rsidR="00D01927" w:rsidRPr="005E4232"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c>
          <w:tcPr>
            <w:tcW w:w="1255" w:type="dxa"/>
            <w:shd w:val="clear" w:color="auto" w:fill="D0CECE" w:themeFill="background2" w:themeFillShade="E6"/>
          </w:tcPr>
          <w:p w14:paraId="507E1D7B" w14:textId="77777777" w:rsidR="00D01927" w:rsidRPr="005E4232"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r>
      <w:tr w:rsidR="000352C6" w14:paraId="171B9ABF" w14:textId="77777777" w:rsidTr="46BB4CE8">
        <w:tc>
          <w:tcPr>
            <w:tcW w:w="9350" w:type="dxa"/>
            <w:gridSpan w:val="3"/>
          </w:tcPr>
          <w:p w14:paraId="6D5CAB11" w14:textId="4E20B8A7" w:rsidR="000352C6" w:rsidRDefault="000352C6"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lastRenderedPageBreak/>
              <w:t>No Lodging Uses are allowed in the Manufacturing Zoning Districts.</w:t>
            </w:r>
          </w:p>
        </w:tc>
      </w:tr>
      <w:tr w:rsidR="00D01927" w14:paraId="40776112" w14:textId="77777777" w:rsidTr="46BB4CE8">
        <w:tc>
          <w:tcPr>
            <w:tcW w:w="6745" w:type="dxa"/>
            <w:shd w:val="clear" w:color="auto" w:fill="D0CECE" w:themeFill="background2" w:themeFillShade="E6"/>
          </w:tcPr>
          <w:p w14:paraId="5694E7C5" w14:textId="5B189614" w:rsidR="00D01927" w:rsidRPr="005A0A39"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5A0A39">
              <w:rPr>
                <w:rFonts w:ascii="Calibri" w:hAnsi="Calibri" w:cs="Calibri"/>
                <w:sz w:val="22"/>
                <w:szCs w:val="22"/>
                <w:u w:val="single"/>
              </w:rPr>
              <w:t>OFFICE:</w:t>
            </w:r>
          </w:p>
        </w:tc>
        <w:tc>
          <w:tcPr>
            <w:tcW w:w="1350" w:type="dxa"/>
            <w:shd w:val="clear" w:color="auto" w:fill="D0CECE" w:themeFill="background2" w:themeFillShade="E6"/>
          </w:tcPr>
          <w:p w14:paraId="298C57BF" w14:textId="77777777" w:rsidR="00D01927" w:rsidRPr="005A0A39"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c>
          <w:tcPr>
            <w:tcW w:w="1255" w:type="dxa"/>
            <w:shd w:val="clear" w:color="auto" w:fill="D0CECE" w:themeFill="background2" w:themeFillShade="E6"/>
          </w:tcPr>
          <w:p w14:paraId="080EF270" w14:textId="77777777" w:rsidR="00D01927" w:rsidRPr="005A0A39"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r>
      <w:tr w:rsidR="00D01927" w14:paraId="1E993A20" w14:textId="77777777" w:rsidTr="46BB4CE8">
        <w:tc>
          <w:tcPr>
            <w:tcW w:w="6745" w:type="dxa"/>
          </w:tcPr>
          <w:p w14:paraId="3D7CE12F" w14:textId="11338408"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Office – Intensive or Medical</w:t>
            </w:r>
          </w:p>
        </w:tc>
        <w:tc>
          <w:tcPr>
            <w:tcW w:w="1350" w:type="dxa"/>
          </w:tcPr>
          <w:p w14:paraId="7AD7927A" w14:textId="005CDAB0"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3B1B3A52" w14:textId="053E32C3"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D01927" w14:paraId="62D9ACE8" w14:textId="77777777" w:rsidTr="46BB4CE8">
        <w:tc>
          <w:tcPr>
            <w:tcW w:w="9350" w:type="dxa"/>
            <w:gridSpan w:val="3"/>
            <w:shd w:val="clear" w:color="auto" w:fill="D9D9D9" w:themeFill="background1" w:themeFillShade="D9"/>
          </w:tcPr>
          <w:p w14:paraId="5C5C7AA3" w14:textId="1229B1CB" w:rsidR="00D01927" w:rsidRPr="001577DF"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1577DF">
              <w:rPr>
                <w:rFonts w:ascii="Calibri" w:hAnsi="Calibri" w:cs="Calibri"/>
                <w:sz w:val="22"/>
                <w:szCs w:val="22"/>
                <w:u w:val="single"/>
              </w:rPr>
              <w:t xml:space="preserve">INDUSTRIAL: </w:t>
            </w:r>
          </w:p>
        </w:tc>
      </w:tr>
      <w:tr w:rsidR="00D01927" w14:paraId="35CDD5EA" w14:textId="77777777" w:rsidTr="46BB4CE8">
        <w:tc>
          <w:tcPr>
            <w:tcW w:w="6745" w:type="dxa"/>
          </w:tcPr>
          <w:p w14:paraId="53CB3D7C" w14:textId="255267C4"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Agricultural Products Processing</w:t>
            </w:r>
          </w:p>
        </w:tc>
        <w:tc>
          <w:tcPr>
            <w:tcW w:w="1350" w:type="dxa"/>
          </w:tcPr>
          <w:p w14:paraId="3702ABE5" w14:textId="44D5A577"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7C892E9A" w14:textId="53399C19"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5636417A" w14:textId="77777777" w:rsidTr="46BB4CE8">
        <w:tc>
          <w:tcPr>
            <w:tcW w:w="6745" w:type="dxa"/>
          </w:tcPr>
          <w:p w14:paraId="10E2AD72" w14:textId="1BA429F2"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Assembly Use</w:t>
            </w:r>
          </w:p>
        </w:tc>
        <w:tc>
          <w:tcPr>
            <w:tcW w:w="1350" w:type="dxa"/>
          </w:tcPr>
          <w:p w14:paraId="6324B60B" w14:textId="2A7CCB2F"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1268B6B7" w14:textId="2C1A98CE"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12977C9B" w14:textId="77777777" w:rsidTr="46BB4CE8">
        <w:tc>
          <w:tcPr>
            <w:tcW w:w="6745" w:type="dxa"/>
          </w:tcPr>
          <w:p w14:paraId="7C71C2DA" w14:textId="5D5A315C"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Breweries and Distilleries, Industrial</w:t>
            </w:r>
          </w:p>
        </w:tc>
        <w:tc>
          <w:tcPr>
            <w:tcW w:w="1350" w:type="dxa"/>
          </w:tcPr>
          <w:p w14:paraId="334D2912" w14:textId="573C3A20"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322D6564" w14:textId="77348142"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12AEE4CE" w14:textId="77777777" w:rsidTr="46BB4CE8">
        <w:tc>
          <w:tcPr>
            <w:tcW w:w="6745" w:type="dxa"/>
          </w:tcPr>
          <w:p w14:paraId="595EB14B" w14:textId="336A5DEF"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Freight Service</w:t>
            </w:r>
          </w:p>
        </w:tc>
        <w:tc>
          <w:tcPr>
            <w:tcW w:w="1350" w:type="dxa"/>
          </w:tcPr>
          <w:p w14:paraId="20C463A3" w14:textId="2AC2E55E"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292F3271" w14:textId="61D238CB" w:rsidR="00D01927" w:rsidRDefault="00B056E1" w:rsidP="001F033A">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r>
      <w:tr w:rsidR="00D01927" w14:paraId="4B5B80B2" w14:textId="77777777" w:rsidTr="46BB4CE8">
        <w:tc>
          <w:tcPr>
            <w:tcW w:w="6745" w:type="dxa"/>
          </w:tcPr>
          <w:p w14:paraId="6CE04E54" w14:textId="1045A66F"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Industrial Flex Space</w:t>
            </w:r>
          </w:p>
        </w:tc>
        <w:tc>
          <w:tcPr>
            <w:tcW w:w="1350" w:type="dxa"/>
          </w:tcPr>
          <w:p w14:paraId="7429EFDD" w14:textId="6D544955"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07E3DB2A" w14:textId="558E40BB"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D01927" w14:paraId="5D7CF2AD" w14:textId="77777777" w:rsidTr="46BB4CE8">
        <w:tc>
          <w:tcPr>
            <w:tcW w:w="6745" w:type="dxa"/>
          </w:tcPr>
          <w:p w14:paraId="1D24538E" w14:textId="1F5DDD47"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Machine Shop</w:t>
            </w:r>
          </w:p>
        </w:tc>
        <w:tc>
          <w:tcPr>
            <w:tcW w:w="1350" w:type="dxa"/>
          </w:tcPr>
          <w:p w14:paraId="15A62C2E" w14:textId="1102BD73"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22F9A007" w14:textId="312A9DCD"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79F474D6" w14:textId="77777777" w:rsidTr="46BB4CE8">
        <w:tc>
          <w:tcPr>
            <w:tcW w:w="6745" w:type="dxa"/>
          </w:tcPr>
          <w:p w14:paraId="157133A6" w14:textId="0957117F"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Manufacturing, Heavy</w:t>
            </w:r>
          </w:p>
        </w:tc>
        <w:tc>
          <w:tcPr>
            <w:tcW w:w="1350" w:type="dxa"/>
          </w:tcPr>
          <w:p w14:paraId="32D7342F" w14:textId="4AF47DB7"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04F9B07E" w14:textId="53E0C46A" w:rsidR="00D01927" w:rsidRDefault="00B056E1" w:rsidP="001F033A">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r>
      <w:tr w:rsidR="00D01927" w14:paraId="48B3D0CF" w14:textId="77777777" w:rsidTr="46BB4CE8">
        <w:tc>
          <w:tcPr>
            <w:tcW w:w="6745" w:type="dxa"/>
          </w:tcPr>
          <w:p w14:paraId="1D40042E" w14:textId="1CE2D704"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Manufacturing, Light</w:t>
            </w:r>
          </w:p>
        </w:tc>
        <w:tc>
          <w:tcPr>
            <w:tcW w:w="1350" w:type="dxa"/>
          </w:tcPr>
          <w:p w14:paraId="3BED24B0" w14:textId="59A0782F"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13A554D3" w14:textId="7C2F9184"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2911FACA" w14:textId="77777777" w:rsidTr="46BB4CE8">
        <w:tc>
          <w:tcPr>
            <w:tcW w:w="6745" w:type="dxa"/>
          </w:tcPr>
          <w:p w14:paraId="095A5304" w14:textId="00A87FE1"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Meat or Poultry Processing Facility</w:t>
            </w:r>
          </w:p>
        </w:tc>
        <w:tc>
          <w:tcPr>
            <w:tcW w:w="1350" w:type="dxa"/>
          </w:tcPr>
          <w:p w14:paraId="692F7128" w14:textId="47EE6B1D"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5C14E7EB" w14:textId="2090229C"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2DE31651" w14:textId="77777777" w:rsidTr="46BB4CE8">
        <w:tc>
          <w:tcPr>
            <w:tcW w:w="6745" w:type="dxa"/>
          </w:tcPr>
          <w:p w14:paraId="0FD05B26" w14:textId="2273B17C"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Recycling Processing Facility</w:t>
            </w:r>
          </w:p>
        </w:tc>
        <w:tc>
          <w:tcPr>
            <w:tcW w:w="1350" w:type="dxa"/>
          </w:tcPr>
          <w:p w14:paraId="47457E9F" w14:textId="548C83CD"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50176DFB" w14:textId="2DA9341A"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216AAF68" w14:textId="77777777" w:rsidTr="46BB4CE8">
        <w:tc>
          <w:tcPr>
            <w:tcW w:w="6745" w:type="dxa"/>
          </w:tcPr>
          <w:p w14:paraId="69629755" w14:textId="14139180"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Resource Recycling Collection Point</w:t>
            </w:r>
          </w:p>
        </w:tc>
        <w:tc>
          <w:tcPr>
            <w:tcW w:w="1350" w:type="dxa"/>
          </w:tcPr>
          <w:p w14:paraId="06549084" w14:textId="4F40A11C"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7538DC5C" w14:textId="7D719CF0"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478EE9C9" w14:textId="77777777" w:rsidTr="46BB4CE8">
        <w:tc>
          <w:tcPr>
            <w:tcW w:w="6745" w:type="dxa"/>
          </w:tcPr>
          <w:p w14:paraId="020B9DEE" w14:textId="640D82E7"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Self-Service Storage Facilities, Enclosed or Outdoor</w:t>
            </w:r>
          </w:p>
        </w:tc>
        <w:tc>
          <w:tcPr>
            <w:tcW w:w="1350" w:type="dxa"/>
          </w:tcPr>
          <w:p w14:paraId="12B66CC9" w14:textId="6E2B2A76"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7B780CC5" w14:textId="0908E38C"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D01927" w14:paraId="65E54462" w14:textId="77777777" w:rsidTr="46BB4CE8">
        <w:tc>
          <w:tcPr>
            <w:tcW w:w="6745" w:type="dxa"/>
          </w:tcPr>
          <w:p w14:paraId="4C7A5497" w14:textId="6A46BB17"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Storage Yard</w:t>
            </w:r>
          </w:p>
        </w:tc>
        <w:tc>
          <w:tcPr>
            <w:tcW w:w="1350" w:type="dxa"/>
          </w:tcPr>
          <w:p w14:paraId="0C0C0717" w14:textId="1BA11331"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4478B5DA" w14:textId="0D69FAAC"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753598E7" w14:textId="77777777" w:rsidTr="46BB4CE8">
        <w:tc>
          <w:tcPr>
            <w:tcW w:w="6745" w:type="dxa"/>
          </w:tcPr>
          <w:p w14:paraId="3DEA291C" w14:textId="0EFD7977"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Underground Record Storage Vaults</w:t>
            </w:r>
          </w:p>
        </w:tc>
        <w:tc>
          <w:tcPr>
            <w:tcW w:w="1350" w:type="dxa"/>
          </w:tcPr>
          <w:p w14:paraId="5B37D9EF" w14:textId="546E85B2"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08B07999" w14:textId="41A5EC3C" w:rsidR="00D01927" w:rsidRDefault="00B056E1" w:rsidP="001F033A">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r>
      <w:tr w:rsidR="00D01927" w14:paraId="32672C3B" w14:textId="77777777" w:rsidTr="46BB4CE8">
        <w:tc>
          <w:tcPr>
            <w:tcW w:w="6745" w:type="dxa"/>
          </w:tcPr>
          <w:p w14:paraId="3F1EE879" w14:textId="591248B2"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Vertical Indoor Agriculture</w:t>
            </w:r>
          </w:p>
        </w:tc>
        <w:tc>
          <w:tcPr>
            <w:tcW w:w="1350" w:type="dxa"/>
          </w:tcPr>
          <w:p w14:paraId="1FC938B5" w14:textId="765CAA41"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05914DED" w14:textId="5BFC727A"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39FBE0AB" w14:textId="77777777" w:rsidTr="46BB4CE8">
        <w:tc>
          <w:tcPr>
            <w:tcW w:w="6745" w:type="dxa"/>
          </w:tcPr>
          <w:p w14:paraId="19070678" w14:textId="453D7DC4"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Vehicle Assembly</w:t>
            </w:r>
          </w:p>
        </w:tc>
        <w:tc>
          <w:tcPr>
            <w:tcW w:w="1350" w:type="dxa"/>
          </w:tcPr>
          <w:p w14:paraId="3D8FE636" w14:textId="7EC09DB0"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547F7D6F" w14:textId="3E6E744E"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65AB4F41" w14:textId="77777777" w:rsidTr="46BB4CE8">
        <w:tc>
          <w:tcPr>
            <w:tcW w:w="6745" w:type="dxa"/>
          </w:tcPr>
          <w:p w14:paraId="72F3E92E" w14:textId="467ECC7D" w:rsidR="00D01927" w:rsidRDefault="00D01927" w:rsidP="00D01927">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Warehouse and Distribution Facilities</w:t>
            </w:r>
          </w:p>
        </w:tc>
        <w:tc>
          <w:tcPr>
            <w:tcW w:w="1350" w:type="dxa"/>
          </w:tcPr>
          <w:p w14:paraId="12457829" w14:textId="0977BF31"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0E1F667C" w14:textId="51EE5DDE" w:rsidR="00D01927" w:rsidRDefault="00D01927" w:rsidP="00D01927">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01927" w14:paraId="4AC04483" w14:textId="77777777" w:rsidTr="46BB4CE8">
        <w:tc>
          <w:tcPr>
            <w:tcW w:w="6745" w:type="dxa"/>
            <w:shd w:val="clear" w:color="auto" w:fill="D0CECE" w:themeFill="background2" w:themeFillShade="E6"/>
          </w:tcPr>
          <w:p w14:paraId="02496125" w14:textId="4CF9197F" w:rsidR="00D01927" w:rsidRPr="0069212F" w:rsidRDefault="00D01927" w:rsidP="00D01927">
            <w:pPr>
              <w:pStyle w:val="paragraph"/>
              <w:spacing w:before="0" w:beforeAutospacing="0" w:after="160" w:afterAutospacing="0"/>
              <w:jc w:val="both"/>
              <w:textAlignment w:val="baseline"/>
              <w:rPr>
                <w:rFonts w:ascii="Calibri" w:hAnsi="Calibri" w:cs="Calibri"/>
                <w:sz w:val="22"/>
                <w:szCs w:val="22"/>
                <w:u w:val="single"/>
              </w:rPr>
            </w:pPr>
            <w:r w:rsidRPr="0069212F">
              <w:rPr>
                <w:rFonts w:ascii="Calibri" w:hAnsi="Calibri" w:cs="Calibri"/>
                <w:sz w:val="22"/>
                <w:szCs w:val="22"/>
                <w:u w:val="single"/>
              </w:rPr>
              <w:t>INSTITUTIONAL:</w:t>
            </w:r>
          </w:p>
        </w:tc>
        <w:tc>
          <w:tcPr>
            <w:tcW w:w="1350" w:type="dxa"/>
            <w:shd w:val="clear" w:color="auto" w:fill="D0CECE" w:themeFill="background2" w:themeFillShade="E6"/>
          </w:tcPr>
          <w:p w14:paraId="542077B8" w14:textId="77777777" w:rsidR="00D01927" w:rsidRPr="0069212F"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c>
          <w:tcPr>
            <w:tcW w:w="1255" w:type="dxa"/>
            <w:shd w:val="clear" w:color="auto" w:fill="D0CECE" w:themeFill="background2" w:themeFillShade="E6"/>
          </w:tcPr>
          <w:p w14:paraId="7C9DBF49" w14:textId="77777777" w:rsidR="00D01927" w:rsidRPr="0069212F" w:rsidRDefault="00D01927" w:rsidP="00D01927">
            <w:pPr>
              <w:pStyle w:val="paragraph"/>
              <w:spacing w:before="0" w:beforeAutospacing="0" w:after="160" w:afterAutospacing="0"/>
              <w:jc w:val="center"/>
              <w:textAlignment w:val="baseline"/>
              <w:rPr>
                <w:rFonts w:ascii="Calibri" w:hAnsi="Calibri" w:cs="Calibri"/>
                <w:sz w:val="22"/>
                <w:szCs w:val="22"/>
                <w:u w:val="single"/>
              </w:rPr>
            </w:pPr>
          </w:p>
        </w:tc>
      </w:tr>
      <w:tr w:rsidR="00A579C8" w14:paraId="5F31F395" w14:textId="77777777" w:rsidTr="46BB4CE8">
        <w:tc>
          <w:tcPr>
            <w:tcW w:w="6745" w:type="dxa"/>
          </w:tcPr>
          <w:p w14:paraId="3C0060B3" w14:textId="456C070B"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Micromobility Support Infrastructure</w:t>
            </w:r>
          </w:p>
        </w:tc>
        <w:tc>
          <w:tcPr>
            <w:tcW w:w="1350" w:type="dxa"/>
          </w:tcPr>
          <w:p w14:paraId="758A8B37" w14:textId="5C571267"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5F0BB52A" w14:textId="1369D85B"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5B5E30EB" w14:textId="77777777" w:rsidTr="46BB4CE8">
        <w:tc>
          <w:tcPr>
            <w:tcW w:w="6745" w:type="dxa"/>
          </w:tcPr>
          <w:p w14:paraId="06357213" w14:textId="61C42D4A"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Public Service Training Facility</w:t>
            </w:r>
          </w:p>
        </w:tc>
        <w:tc>
          <w:tcPr>
            <w:tcW w:w="1350" w:type="dxa"/>
          </w:tcPr>
          <w:p w14:paraId="4B6608F6" w14:textId="3E0A5004"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247298D7" w14:textId="2CAC8504"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3802A251" w14:textId="77777777" w:rsidTr="46BB4CE8">
        <w:tc>
          <w:tcPr>
            <w:tcW w:w="6745" w:type="dxa"/>
          </w:tcPr>
          <w:p w14:paraId="7C93AF78" w14:textId="3CB4EA9F"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Public Use</w:t>
            </w:r>
          </w:p>
        </w:tc>
        <w:tc>
          <w:tcPr>
            <w:tcW w:w="1350" w:type="dxa"/>
          </w:tcPr>
          <w:p w14:paraId="48BF7EC3" w14:textId="0399B0CE"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756ED587" w14:textId="3A20768C"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53837BCC" w14:textId="77777777" w:rsidTr="46BB4CE8">
        <w:tc>
          <w:tcPr>
            <w:tcW w:w="6745" w:type="dxa"/>
          </w:tcPr>
          <w:p w14:paraId="087F7E03" w14:textId="0A70BD0B"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Public Utility, Major</w:t>
            </w:r>
          </w:p>
        </w:tc>
        <w:tc>
          <w:tcPr>
            <w:tcW w:w="1350" w:type="dxa"/>
          </w:tcPr>
          <w:p w14:paraId="1E11EB25" w14:textId="4FBCD7A9" w:rsidR="00A579C8" w:rsidRDefault="00B056E1" w:rsidP="46BB4CE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c>
          <w:tcPr>
            <w:tcW w:w="1255" w:type="dxa"/>
          </w:tcPr>
          <w:p w14:paraId="3076AACE" w14:textId="08D050C3"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527D2071" w14:textId="77777777" w:rsidTr="46BB4CE8">
        <w:tc>
          <w:tcPr>
            <w:tcW w:w="6745" w:type="dxa"/>
          </w:tcPr>
          <w:p w14:paraId="58254C01" w14:textId="3AB6F54F"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Public Utility, Minor</w:t>
            </w:r>
          </w:p>
        </w:tc>
        <w:tc>
          <w:tcPr>
            <w:tcW w:w="1350" w:type="dxa"/>
          </w:tcPr>
          <w:p w14:paraId="29E1B677" w14:textId="17EDBD31"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5321CB32" w14:textId="167FC8BC"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6B6E4DAB" w14:textId="77777777" w:rsidTr="46BB4CE8">
        <w:tc>
          <w:tcPr>
            <w:tcW w:w="6745" w:type="dxa"/>
          </w:tcPr>
          <w:p w14:paraId="62C94EF5" w14:textId="1C768FC5"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Water Treatment Facility</w:t>
            </w:r>
          </w:p>
        </w:tc>
        <w:tc>
          <w:tcPr>
            <w:tcW w:w="1350" w:type="dxa"/>
          </w:tcPr>
          <w:p w14:paraId="5FE706E9" w14:textId="0B76327D"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3D0106CA" w14:textId="507BA88C"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49C0AEEE" w14:textId="77777777" w:rsidTr="46BB4CE8">
        <w:tc>
          <w:tcPr>
            <w:tcW w:w="6745" w:type="dxa"/>
          </w:tcPr>
          <w:p w14:paraId="025563F2" w14:textId="3F449629"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Wireless Telecommunication Site, Facility, or Equipment Shelter</w:t>
            </w:r>
          </w:p>
        </w:tc>
        <w:tc>
          <w:tcPr>
            <w:tcW w:w="1350" w:type="dxa"/>
          </w:tcPr>
          <w:p w14:paraId="20E7DAD6" w14:textId="45416FC5"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79C305C1" w14:textId="7A69C057"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44E23033" w14:textId="77777777" w:rsidTr="46BB4CE8">
        <w:tc>
          <w:tcPr>
            <w:tcW w:w="6745" w:type="dxa"/>
            <w:shd w:val="clear" w:color="auto" w:fill="D0CECE" w:themeFill="background2" w:themeFillShade="E6"/>
          </w:tcPr>
          <w:p w14:paraId="5F416535" w14:textId="4C6C5D3D" w:rsidR="00A579C8" w:rsidRPr="0069212F" w:rsidRDefault="00A579C8" w:rsidP="00A579C8">
            <w:pPr>
              <w:pStyle w:val="paragraph"/>
              <w:spacing w:before="0" w:beforeAutospacing="0" w:after="160" w:afterAutospacing="0"/>
              <w:jc w:val="both"/>
              <w:textAlignment w:val="baseline"/>
              <w:rPr>
                <w:rFonts w:ascii="Calibri" w:hAnsi="Calibri" w:cs="Calibri"/>
                <w:sz w:val="22"/>
                <w:szCs w:val="22"/>
                <w:u w:val="single"/>
              </w:rPr>
            </w:pPr>
            <w:r w:rsidRPr="0069212F">
              <w:rPr>
                <w:rFonts w:ascii="Calibri" w:hAnsi="Calibri" w:cs="Calibri"/>
                <w:sz w:val="22"/>
                <w:szCs w:val="22"/>
                <w:u w:val="single"/>
              </w:rPr>
              <w:lastRenderedPageBreak/>
              <w:t>SPECIALTY:</w:t>
            </w:r>
          </w:p>
        </w:tc>
        <w:tc>
          <w:tcPr>
            <w:tcW w:w="1350" w:type="dxa"/>
            <w:shd w:val="clear" w:color="auto" w:fill="D0CECE" w:themeFill="background2" w:themeFillShade="E6"/>
          </w:tcPr>
          <w:p w14:paraId="6AD49B56" w14:textId="77777777" w:rsidR="00A579C8" w:rsidRDefault="00A579C8" w:rsidP="00A579C8">
            <w:pPr>
              <w:pStyle w:val="paragraph"/>
              <w:spacing w:before="0" w:beforeAutospacing="0" w:after="160" w:afterAutospacing="0"/>
              <w:jc w:val="center"/>
              <w:textAlignment w:val="baseline"/>
              <w:rPr>
                <w:rFonts w:ascii="Calibri" w:hAnsi="Calibri" w:cs="Calibri"/>
                <w:sz w:val="22"/>
                <w:szCs w:val="22"/>
              </w:rPr>
            </w:pPr>
          </w:p>
        </w:tc>
        <w:tc>
          <w:tcPr>
            <w:tcW w:w="1255" w:type="dxa"/>
            <w:shd w:val="clear" w:color="auto" w:fill="D0CECE" w:themeFill="background2" w:themeFillShade="E6"/>
          </w:tcPr>
          <w:p w14:paraId="79582075" w14:textId="77777777" w:rsidR="00A579C8" w:rsidRDefault="00A579C8" w:rsidP="00A579C8">
            <w:pPr>
              <w:pStyle w:val="paragraph"/>
              <w:spacing w:before="0" w:beforeAutospacing="0" w:after="160" w:afterAutospacing="0"/>
              <w:jc w:val="center"/>
              <w:textAlignment w:val="baseline"/>
              <w:rPr>
                <w:rFonts w:ascii="Calibri" w:hAnsi="Calibri" w:cs="Calibri"/>
                <w:sz w:val="22"/>
                <w:szCs w:val="22"/>
              </w:rPr>
            </w:pPr>
          </w:p>
        </w:tc>
      </w:tr>
      <w:tr w:rsidR="00A579C8" w14:paraId="0B787865" w14:textId="77777777" w:rsidTr="46BB4CE8">
        <w:tc>
          <w:tcPr>
            <w:tcW w:w="6745" w:type="dxa"/>
          </w:tcPr>
          <w:p w14:paraId="638CABD9" w14:textId="31C5F1D5"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Crematorium</w:t>
            </w:r>
          </w:p>
        </w:tc>
        <w:tc>
          <w:tcPr>
            <w:tcW w:w="1350" w:type="dxa"/>
          </w:tcPr>
          <w:p w14:paraId="26A98384" w14:textId="11DB35C0"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50273711" w14:textId="21A9B129"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A579C8" w14:paraId="37F2F38E" w14:textId="77777777" w:rsidTr="46BB4CE8">
        <w:tc>
          <w:tcPr>
            <w:tcW w:w="6745" w:type="dxa"/>
          </w:tcPr>
          <w:p w14:paraId="1C8E3D94" w14:textId="0422D2D5"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Hospital</w:t>
            </w:r>
          </w:p>
        </w:tc>
        <w:tc>
          <w:tcPr>
            <w:tcW w:w="1350" w:type="dxa"/>
          </w:tcPr>
          <w:p w14:paraId="17DD2B23" w14:textId="129EEC17" w:rsidR="00A579C8" w:rsidRDefault="00B056E1" w:rsidP="001F033A">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c>
          <w:tcPr>
            <w:tcW w:w="1255" w:type="dxa"/>
          </w:tcPr>
          <w:p w14:paraId="1ACCA56C" w14:textId="3CE46379"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A579C8" w14:paraId="1F692073" w14:textId="77777777" w:rsidTr="46BB4CE8">
        <w:tc>
          <w:tcPr>
            <w:tcW w:w="6745" w:type="dxa"/>
          </w:tcPr>
          <w:p w14:paraId="444A9563" w14:textId="20C8E144" w:rsidR="00A579C8" w:rsidRDefault="00A579C8" w:rsidP="00A579C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Laboratory, Medical or Dental</w:t>
            </w:r>
          </w:p>
        </w:tc>
        <w:tc>
          <w:tcPr>
            <w:tcW w:w="1350" w:type="dxa"/>
          </w:tcPr>
          <w:p w14:paraId="7C51C350" w14:textId="5576AC0B"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67BED7C9" w14:textId="44B300A1" w:rsidR="00A579C8" w:rsidRDefault="00A579C8" w:rsidP="00A579C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2B09F8" w14:paraId="26828464" w14:textId="77777777" w:rsidTr="46BB4CE8">
        <w:tc>
          <w:tcPr>
            <w:tcW w:w="6745" w:type="dxa"/>
          </w:tcPr>
          <w:p w14:paraId="0F780E75" w14:textId="469C885A" w:rsidR="002B09F8" w:rsidRDefault="002B09F8" w:rsidP="002B09F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Laboratory, Research and Development</w:t>
            </w:r>
          </w:p>
        </w:tc>
        <w:tc>
          <w:tcPr>
            <w:tcW w:w="1350" w:type="dxa"/>
          </w:tcPr>
          <w:p w14:paraId="0BCF5B46" w14:textId="7E27BA7C" w:rsidR="002B09F8" w:rsidRDefault="002B09F8" w:rsidP="002B09F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2CED4BD2" w14:textId="552A266D" w:rsidR="002B09F8" w:rsidRDefault="002B09F8" w:rsidP="002B09F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r>
      <w:tr w:rsidR="002B09F8" w14:paraId="5A349E70" w14:textId="77777777" w:rsidTr="46BB4CE8">
        <w:tc>
          <w:tcPr>
            <w:tcW w:w="6745" w:type="dxa"/>
          </w:tcPr>
          <w:p w14:paraId="30779974" w14:textId="2875894C" w:rsidR="002B09F8" w:rsidRDefault="002B09F8" w:rsidP="002B09F8">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Park-and-Ride</w:t>
            </w:r>
          </w:p>
        </w:tc>
        <w:tc>
          <w:tcPr>
            <w:tcW w:w="1350" w:type="dxa"/>
          </w:tcPr>
          <w:p w14:paraId="7746C669" w14:textId="4020E201" w:rsidR="002B09F8" w:rsidRDefault="002B09F8" w:rsidP="002B09F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7136B116" w14:textId="488B1F72" w:rsidR="002B09F8" w:rsidRDefault="002B09F8" w:rsidP="002B09F8">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r w:rsidR="00DF373B" w14:paraId="057113FE" w14:textId="77777777" w:rsidTr="46BB4CE8">
        <w:tc>
          <w:tcPr>
            <w:tcW w:w="6745" w:type="dxa"/>
          </w:tcPr>
          <w:p w14:paraId="7564C35B" w14:textId="4F02360B" w:rsidR="00DF373B" w:rsidRDefault="00DF373B" w:rsidP="00DF373B">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Solar Energy System, Commercial</w:t>
            </w:r>
          </w:p>
        </w:tc>
        <w:tc>
          <w:tcPr>
            <w:tcW w:w="1350" w:type="dxa"/>
          </w:tcPr>
          <w:p w14:paraId="35A76A27" w14:textId="22E021BC" w:rsidR="00DF373B" w:rsidRDefault="00DF373B"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72A029D0" w14:textId="5F9F169D" w:rsidR="00DF373B" w:rsidRDefault="00B056E1"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r>
      <w:tr w:rsidR="00DF373B" w14:paraId="7BE34A8A" w14:textId="77777777" w:rsidTr="46BB4CE8">
        <w:tc>
          <w:tcPr>
            <w:tcW w:w="6745" w:type="dxa"/>
          </w:tcPr>
          <w:p w14:paraId="3E573A03" w14:textId="18165B79" w:rsidR="00DF373B" w:rsidRDefault="00DF373B" w:rsidP="00DF373B">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Wind Energy System, Commercial</w:t>
            </w:r>
          </w:p>
        </w:tc>
        <w:tc>
          <w:tcPr>
            <w:tcW w:w="1350" w:type="dxa"/>
          </w:tcPr>
          <w:p w14:paraId="33596958" w14:textId="5994B485" w:rsidR="00DF373B" w:rsidRDefault="00DF373B"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X</w:t>
            </w:r>
          </w:p>
        </w:tc>
        <w:tc>
          <w:tcPr>
            <w:tcW w:w="1255" w:type="dxa"/>
          </w:tcPr>
          <w:p w14:paraId="082B3029" w14:textId="51FBE451" w:rsidR="00DF373B" w:rsidRDefault="00B056E1"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C</w:t>
            </w:r>
          </w:p>
        </w:tc>
      </w:tr>
      <w:tr w:rsidR="00DF373B" w14:paraId="520FB6A7" w14:textId="77777777" w:rsidTr="46BB4CE8">
        <w:tc>
          <w:tcPr>
            <w:tcW w:w="9350" w:type="dxa"/>
            <w:gridSpan w:val="3"/>
            <w:shd w:val="clear" w:color="auto" w:fill="D9D9D9" w:themeFill="background1" w:themeFillShade="D9"/>
          </w:tcPr>
          <w:p w14:paraId="143F0E2E" w14:textId="37E5B009" w:rsidR="00DF373B" w:rsidRPr="0069212F" w:rsidRDefault="00DF373B" w:rsidP="00DF373B">
            <w:pPr>
              <w:pStyle w:val="paragraph"/>
              <w:spacing w:before="0" w:beforeAutospacing="0" w:after="160" w:afterAutospacing="0"/>
              <w:jc w:val="both"/>
              <w:textAlignment w:val="baseline"/>
              <w:rPr>
                <w:rFonts w:ascii="Calibri" w:hAnsi="Calibri" w:cs="Calibri"/>
                <w:sz w:val="22"/>
                <w:szCs w:val="22"/>
                <w:u w:val="single"/>
              </w:rPr>
            </w:pPr>
            <w:r w:rsidRPr="0069212F">
              <w:rPr>
                <w:rFonts w:ascii="Calibri" w:hAnsi="Calibri" w:cs="Calibri"/>
                <w:sz w:val="22"/>
                <w:szCs w:val="22"/>
                <w:u w:val="single"/>
              </w:rPr>
              <w:t>ACCESSORY USES:</w:t>
            </w:r>
          </w:p>
        </w:tc>
      </w:tr>
      <w:tr w:rsidR="00DF373B" w14:paraId="71FCAA93" w14:textId="77777777" w:rsidTr="46BB4CE8">
        <w:tc>
          <w:tcPr>
            <w:tcW w:w="6745" w:type="dxa"/>
          </w:tcPr>
          <w:p w14:paraId="7117F44D" w14:textId="52AB83D9" w:rsidR="00DF373B" w:rsidRDefault="00DF373B" w:rsidP="00DF373B">
            <w:pPr>
              <w:pStyle w:val="paragraph"/>
              <w:spacing w:before="0" w:beforeAutospacing="0" w:after="160" w:afterAutospacing="0"/>
              <w:jc w:val="both"/>
              <w:textAlignment w:val="baseline"/>
              <w:rPr>
                <w:rFonts w:ascii="Calibri" w:hAnsi="Calibri" w:cs="Calibri"/>
                <w:sz w:val="22"/>
                <w:szCs w:val="22"/>
              </w:rPr>
            </w:pPr>
            <w:r>
              <w:rPr>
                <w:rFonts w:ascii="Calibri" w:hAnsi="Calibri" w:cs="Calibri"/>
                <w:sz w:val="22"/>
                <w:szCs w:val="22"/>
              </w:rPr>
              <w:t>Accessory Uses, including Employee Amenities and Accessory Outdoor Storage</w:t>
            </w:r>
          </w:p>
        </w:tc>
        <w:tc>
          <w:tcPr>
            <w:tcW w:w="1350" w:type="dxa"/>
          </w:tcPr>
          <w:p w14:paraId="3F042BC7" w14:textId="169600C3" w:rsidR="00DF373B" w:rsidRDefault="00DF373B"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c>
          <w:tcPr>
            <w:tcW w:w="1255" w:type="dxa"/>
          </w:tcPr>
          <w:p w14:paraId="1E104A3C" w14:textId="13A7E7BF" w:rsidR="00DF373B" w:rsidRDefault="00DF373B" w:rsidP="00DF373B">
            <w:pPr>
              <w:pStyle w:val="paragraph"/>
              <w:spacing w:before="0" w:beforeAutospacing="0" w:after="160" w:afterAutospacing="0"/>
              <w:jc w:val="center"/>
              <w:textAlignment w:val="baseline"/>
              <w:rPr>
                <w:rFonts w:ascii="Calibri" w:hAnsi="Calibri" w:cs="Calibri"/>
                <w:sz w:val="22"/>
                <w:szCs w:val="22"/>
              </w:rPr>
            </w:pPr>
            <w:r>
              <w:rPr>
                <w:rFonts w:ascii="Calibri" w:hAnsi="Calibri" w:cs="Calibri"/>
                <w:sz w:val="22"/>
                <w:szCs w:val="22"/>
              </w:rPr>
              <w:t>P</w:t>
            </w:r>
          </w:p>
        </w:tc>
      </w:tr>
    </w:tbl>
    <w:p w14:paraId="20389F4B" w14:textId="77777777" w:rsidR="00BC3EA5" w:rsidRPr="00BC3EA5" w:rsidRDefault="00BC3EA5" w:rsidP="00BC3EA5">
      <w:pPr>
        <w:pStyle w:val="paragraph"/>
        <w:spacing w:before="0" w:beforeAutospacing="0" w:after="160" w:afterAutospacing="0"/>
        <w:jc w:val="both"/>
        <w:textAlignment w:val="baseline"/>
        <w:rPr>
          <w:rFonts w:ascii="Calibri" w:hAnsi="Calibri" w:cs="Calibri"/>
          <w:sz w:val="22"/>
          <w:szCs w:val="22"/>
        </w:rPr>
      </w:pPr>
    </w:p>
    <w:p w14:paraId="536351A0" w14:textId="77777777" w:rsidR="004A72EF" w:rsidRPr="008A4DC5" w:rsidRDefault="004A72EF" w:rsidP="004A72EF">
      <w:pPr>
        <w:pStyle w:val="Heading2"/>
      </w:pPr>
      <w:bookmarkStart w:id="3" w:name="_Toc110334326"/>
      <w:r w:rsidRPr="008A4DC5">
        <w:t>19.</w:t>
      </w:r>
      <w:r w:rsidRPr="00463D94">
        <w:rPr>
          <w:highlight w:val="yellow"/>
        </w:rPr>
        <w:t>34</w:t>
      </w:r>
      <w:r w:rsidRPr="008A4DC5">
        <w:t>.040 – Development Standards.</w:t>
      </w:r>
      <w:bookmarkEnd w:id="3"/>
    </w:p>
    <w:p w14:paraId="243F386D" w14:textId="77777777" w:rsidR="004A72EF" w:rsidRDefault="004A72EF" w:rsidP="004A72EF">
      <w:pPr>
        <w:pStyle w:val="ListParagraph"/>
        <w:numPr>
          <w:ilvl w:val="0"/>
          <w:numId w:val="13"/>
        </w:numPr>
        <w:contextualSpacing w:val="0"/>
        <w:jc w:val="both"/>
      </w:pPr>
      <w:r w:rsidRPr="0058239F">
        <w:rPr>
          <w:u w:val="single"/>
        </w:rPr>
        <w:t>General Design Standards:</w:t>
      </w:r>
      <w:r>
        <w:t xml:space="preserve"> The following building design requirements apply in the M-1 and M-2 Zones:</w:t>
      </w:r>
    </w:p>
    <w:p w14:paraId="28646426" w14:textId="77777777" w:rsidR="004A72EF" w:rsidRDefault="004A72EF" w:rsidP="004A72EF">
      <w:pPr>
        <w:pStyle w:val="ListParagraph"/>
        <w:numPr>
          <w:ilvl w:val="1"/>
          <w:numId w:val="13"/>
        </w:numPr>
        <w:contextualSpacing w:val="0"/>
        <w:jc w:val="both"/>
      </w:pPr>
      <w:r w:rsidRPr="009760A5">
        <w:rPr>
          <w:u w:val="single"/>
        </w:rPr>
        <w:t>View Protection</w:t>
      </w:r>
      <w:r>
        <w:t xml:space="preserve">. The proportion and massing of buildings shall be designed to minimize the obstruction of all views. No vertical design elements, dominant rooflines, or other features which exaggerate building height shall be used. </w:t>
      </w:r>
    </w:p>
    <w:p w14:paraId="2E62C246" w14:textId="77777777" w:rsidR="004A72EF" w:rsidRDefault="004A72EF" w:rsidP="004A72EF">
      <w:pPr>
        <w:pStyle w:val="ListParagraph"/>
        <w:numPr>
          <w:ilvl w:val="1"/>
          <w:numId w:val="13"/>
        </w:numPr>
        <w:contextualSpacing w:val="0"/>
        <w:jc w:val="both"/>
      </w:pPr>
      <w:r w:rsidRPr="009760A5">
        <w:rPr>
          <w:u w:val="single"/>
        </w:rPr>
        <w:t>Building Massing</w:t>
      </w:r>
      <w:r>
        <w:t>. In order to maximize the integration of buildings and features with the natural environment and surrounding neighborhoods, all developments in the M-1 and M-2 Zones shall incorporate techniques for reducing the apparent size and bulk of buildings and structures. The following methods are required:</w:t>
      </w:r>
    </w:p>
    <w:p w14:paraId="1DC3C150" w14:textId="77777777" w:rsidR="004A72EF" w:rsidRDefault="004A72EF" w:rsidP="004A72EF">
      <w:pPr>
        <w:pStyle w:val="ListParagraph"/>
        <w:numPr>
          <w:ilvl w:val="2"/>
          <w:numId w:val="13"/>
        </w:numPr>
        <w:contextualSpacing w:val="0"/>
        <w:jc w:val="both"/>
      </w:pPr>
      <w:r>
        <w:t xml:space="preserve">A consistent level of detail and finish on all sides of a building shall be provided. </w:t>
      </w:r>
    </w:p>
    <w:p w14:paraId="79DBD148" w14:textId="77777777" w:rsidR="004A72EF" w:rsidRDefault="004A72EF" w:rsidP="004A72EF">
      <w:pPr>
        <w:pStyle w:val="ListParagraph"/>
        <w:numPr>
          <w:ilvl w:val="2"/>
          <w:numId w:val="13"/>
        </w:numPr>
        <w:contextualSpacing w:val="0"/>
        <w:jc w:val="both"/>
      </w:pPr>
      <w:r>
        <w:t xml:space="preserve">Continuous building wall surfaces shall be relieved with variations of wall planes or overhangs that create shadow areas and add visual interest. </w:t>
      </w:r>
    </w:p>
    <w:p w14:paraId="00F8B258" w14:textId="3C4E069B" w:rsidR="004A72EF" w:rsidRDefault="004A72EF" w:rsidP="004A72EF">
      <w:pPr>
        <w:pStyle w:val="ListParagraph"/>
        <w:numPr>
          <w:ilvl w:val="0"/>
          <w:numId w:val="13"/>
        </w:numPr>
        <w:contextualSpacing w:val="0"/>
        <w:jc w:val="both"/>
      </w:pPr>
      <w:r>
        <w:t>Development in the M-1 or M-2 Zones shall comply with the development standards of Table 19.</w:t>
      </w:r>
      <w:r w:rsidRPr="004A72EF">
        <w:rPr>
          <w:highlight w:val="yellow"/>
        </w:rPr>
        <w:t>34</w:t>
      </w:r>
      <w:r>
        <w:t>.040 and all other applicable standards in this Title.</w:t>
      </w:r>
    </w:p>
    <w:tbl>
      <w:tblPr>
        <w:tblStyle w:val="TableGrid"/>
        <w:tblW w:w="0" w:type="auto"/>
        <w:tblLook w:val="04A0" w:firstRow="1" w:lastRow="0" w:firstColumn="1" w:lastColumn="0" w:noHBand="0" w:noVBand="1"/>
      </w:tblPr>
      <w:tblGrid>
        <w:gridCol w:w="3685"/>
        <w:gridCol w:w="2790"/>
        <w:gridCol w:w="2875"/>
      </w:tblGrid>
      <w:tr w:rsidR="004A72EF" w14:paraId="3E23BE47" w14:textId="77777777" w:rsidTr="00F22EA8">
        <w:tc>
          <w:tcPr>
            <w:tcW w:w="9350" w:type="dxa"/>
            <w:gridSpan w:val="3"/>
            <w:shd w:val="clear" w:color="auto" w:fill="auto"/>
          </w:tcPr>
          <w:p w14:paraId="75B1B96F" w14:textId="04F0EBD5" w:rsidR="004A72EF" w:rsidRPr="00503785" w:rsidRDefault="004A72EF" w:rsidP="00F22EA8">
            <w:pPr>
              <w:jc w:val="center"/>
              <w:rPr>
                <w:b/>
                <w:bCs/>
              </w:rPr>
            </w:pPr>
            <w:r>
              <w:br w:type="page"/>
            </w:r>
            <w:r w:rsidRPr="00220C49">
              <w:rPr>
                <w:b/>
                <w:bCs/>
              </w:rPr>
              <w:t>Table 19.</w:t>
            </w:r>
            <w:r w:rsidRPr="00C510BE">
              <w:rPr>
                <w:b/>
                <w:bCs/>
                <w:highlight w:val="yellow"/>
              </w:rPr>
              <w:t>34</w:t>
            </w:r>
            <w:r w:rsidRPr="00220C49">
              <w:rPr>
                <w:b/>
                <w:bCs/>
              </w:rPr>
              <w:t>.040: M-1 and M-2 Zone Development Standards.</w:t>
            </w:r>
          </w:p>
        </w:tc>
      </w:tr>
      <w:tr w:rsidR="004A72EF" w14:paraId="709171B5" w14:textId="77777777" w:rsidTr="00F22EA8">
        <w:tc>
          <w:tcPr>
            <w:tcW w:w="3685" w:type="dxa"/>
            <w:shd w:val="clear" w:color="auto" w:fill="E7E6E6" w:themeFill="background2"/>
          </w:tcPr>
          <w:p w14:paraId="7C477372" w14:textId="77777777" w:rsidR="004A72EF" w:rsidRPr="00503785" w:rsidRDefault="004A72EF" w:rsidP="00F22EA8">
            <w:pPr>
              <w:rPr>
                <w:b/>
                <w:bCs/>
              </w:rPr>
            </w:pPr>
            <w:r w:rsidRPr="00503785">
              <w:rPr>
                <w:b/>
                <w:bCs/>
              </w:rPr>
              <w:t>Standard</w:t>
            </w:r>
          </w:p>
        </w:tc>
        <w:tc>
          <w:tcPr>
            <w:tcW w:w="2790" w:type="dxa"/>
            <w:shd w:val="clear" w:color="auto" w:fill="E7E6E6" w:themeFill="background2"/>
          </w:tcPr>
          <w:p w14:paraId="5C24CB75" w14:textId="77777777" w:rsidR="004A72EF" w:rsidRPr="00503785" w:rsidRDefault="004A72EF" w:rsidP="00F22EA8">
            <w:pPr>
              <w:rPr>
                <w:b/>
                <w:bCs/>
              </w:rPr>
            </w:pPr>
            <w:r w:rsidRPr="00503785">
              <w:rPr>
                <w:b/>
                <w:bCs/>
              </w:rPr>
              <w:t>M-1</w:t>
            </w:r>
          </w:p>
        </w:tc>
        <w:tc>
          <w:tcPr>
            <w:tcW w:w="2875" w:type="dxa"/>
            <w:shd w:val="clear" w:color="auto" w:fill="E7E6E6" w:themeFill="background2"/>
          </w:tcPr>
          <w:p w14:paraId="0A9E28D7" w14:textId="77777777" w:rsidR="004A72EF" w:rsidRPr="00503785" w:rsidRDefault="004A72EF" w:rsidP="00F22EA8">
            <w:pPr>
              <w:rPr>
                <w:b/>
                <w:bCs/>
              </w:rPr>
            </w:pPr>
            <w:r w:rsidRPr="00503785">
              <w:rPr>
                <w:b/>
                <w:bCs/>
              </w:rPr>
              <w:t>M-2</w:t>
            </w:r>
          </w:p>
        </w:tc>
      </w:tr>
      <w:tr w:rsidR="004A72EF" w14:paraId="0A460003" w14:textId="77777777" w:rsidTr="00F22EA8">
        <w:tc>
          <w:tcPr>
            <w:tcW w:w="3685" w:type="dxa"/>
          </w:tcPr>
          <w:p w14:paraId="16C41009" w14:textId="77777777" w:rsidR="004A72EF" w:rsidRDefault="004A72EF" w:rsidP="00F22EA8">
            <w:r>
              <w:t xml:space="preserve">Minimum Lot Size (in square feet) </w:t>
            </w:r>
            <w:r w:rsidRPr="00615E4B">
              <w:rPr>
                <w:vertAlign w:val="superscript"/>
              </w:rPr>
              <w:t>C</w:t>
            </w:r>
          </w:p>
        </w:tc>
        <w:tc>
          <w:tcPr>
            <w:tcW w:w="2790" w:type="dxa"/>
          </w:tcPr>
          <w:p w14:paraId="7AA7F6AB" w14:textId="77777777" w:rsidR="004A72EF" w:rsidRDefault="004A72EF" w:rsidP="00F22EA8">
            <w:r>
              <w:t>12,000</w:t>
            </w:r>
          </w:p>
        </w:tc>
        <w:tc>
          <w:tcPr>
            <w:tcW w:w="2875" w:type="dxa"/>
          </w:tcPr>
          <w:p w14:paraId="18AEF051" w14:textId="77777777" w:rsidR="004A72EF" w:rsidRDefault="004A72EF" w:rsidP="00F22EA8">
            <w:r>
              <w:t>25,000</w:t>
            </w:r>
          </w:p>
        </w:tc>
      </w:tr>
      <w:tr w:rsidR="004A72EF" w14:paraId="46D97C57" w14:textId="77777777" w:rsidTr="00F22EA8">
        <w:tc>
          <w:tcPr>
            <w:tcW w:w="3685" w:type="dxa"/>
          </w:tcPr>
          <w:p w14:paraId="3A7B297D" w14:textId="77777777" w:rsidR="004A72EF" w:rsidRDefault="004A72EF" w:rsidP="00F22EA8">
            <w:r>
              <w:t xml:space="preserve">Minimum Lot Width (in feet) </w:t>
            </w:r>
            <w:r w:rsidRPr="00615E4B">
              <w:rPr>
                <w:vertAlign w:val="superscript"/>
              </w:rPr>
              <w:t>C</w:t>
            </w:r>
          </w:p>
        </w:tc>
        <w:tc>
          <w:tcPr>
            <w:tcW w:w="2790" w:type="dxa"/>
          </w:tcPr>
          <w:p w14:paraId="21F3754E" w14:textId="77777777" w:rsidR="004A72EF" w:rsidRDefault="004A72EF" w:rsidP="00F22EA8">
            <w:r>
              <w:t>75</w:t>
            </w:r>
          </w:p>
        </w:tc>
        <w:tc>
          <w:tcPr>
            <w:tcW w:w="2875" w:type="dxa"/>
          </w:tcPr>
          <w:p w14:paraId="13E80376" w14:textId="77777777" w:rsidR="004A72EF" w:rsidRDefault="004A72EF" w:rsidP="00F22EA8">
            <w:r>
              <w:t>100</w:t>
            </w:r>
          </w:p>
        </w:tc>
      </w:tr>
      <w:tr w:rsidR="004A72EF" w14:paraId="19EA2BB5" w14:textId="77777777" w:rsidTr="00F22EA8">
        <w:tc>
          <w:tcPr>
            <w:tcW w:w="3685" w:type="dxa"/>
          </w:tcPr>
          <w:p w14:paraId="2083F178" w14:textId="77777777" w:rsidR="004A72EF" w:rsidRDefault="004A72EF" w:rsidP="00F22EA8">
            <w:r>
              <w:t xml:space="preserve">Building Height (in feet) </w:t>
            </w:r>
            <w:r w:rsidRPr="00E021B6">
              <w:rPr>
                <w:vertAlign w:val="superscript"/>
              </w:rPr>
              <w:t>D</w:t>
            </w:r>
          </w:p>
        </w:tc>
        <w:tc>
          <w:tcPr>
            <w:tcW w:w="2790" w:type="dxa"/>
          </w:tcPr>
          <w:p w14:paraId="00D35699" w14:textId="77777777" w:rsidR="004A72EF" w:rsidRDefault="004A72EF" w:rsidP="00F22EA8">
            <w:r w:rsidRPr="00471FF9">
              <w:rPr>
                <w:i/>
                <w:iCs/>
              </w:rPr>
              <w:t>Minimum:</w:t>
            </w:r>
            <w:r>
              <w:t xml:space="preserve"> </w:t>
            </w:r>
            <w:r w:rsidRPr="009A19D1">
              <w:t xml:space="preserve">No primary building within </w:t>
            </w:r>
            <w:r>
              <w:t>this</w:t>
            </w:r>
            <w:r w:rsidRPr="009A19D1">
              <w:t xml:space="preserve"> </w:t>
            </w:r>
            <w:r>
              <w:t>zone</w:t>
            </w:r>
            <w:r w:rsidRPr="009A19D1">
              <w:t xml:space="preserve"> shall be erected to a height </w:t>
            </w:r>
            <w:r w:rsidRPr="009A19D1">
              <w:lastRenderedPageBreak/>
              <w:t xml:space="preserve">less than </w:t>
            </w:r>
            <w:r>
              <w:t>fifteen feet (15’)</w:t>
            </w:r>
            <w:r w:rsidRPr="009A19D1">
              <w:t xml:space="preserve"> above grade.</w:t>
            </w:r>
          </w:p>
          <w:p w14:paraId="46ADE26E" w14:textId="77777777" w:rsidR="004A72EF" w:rsidRDefault="004A72EF" w:rsidP="00F22EA8"/>
          <w:p w14:paraId="17D46E4E" w14:textId="77777777" w:rsidR="004A72EF" w:rsidRDefault="004A72EF" w:rsidP="00F22EA8">
            <w:r w:rsidRPr="00471FF9">
              <w:rPr>
                <w:i/>
                <w:iCs/>
              </w:rPr>
              <w:t>Maximum</w:t>
            </w:r>
            <w:r>
              <w:t>: No building within this zone may exceed sixty feet (60’) above grade.</w:t>
            </w:r>
          </w:p>
        </w:tc>
        <w:tc>
          <w:tcPr>
            <w:tcW w:w="2875" w:type="dxa"/>
          </w:tcPr>
          <w:p w14:paraId="4B986B32" w14:textId="77777777" w:rsidR="004A72EF" w:rsidRDefault="004A72EF" w:rsidP="00F22EA8">
            <w:r w:rsidRPr="00471FF9">
              <w:rPr>
                <w:i/>
                <w:iCs/>
              </w:rPr>
              <w:lastRenderedPageBreak/>
              <w:t>Minimum</w:t>
            </w:r>
            <w:r>
              <w:t xml:space="preserve">: No primary building within this zone shall be erected to a height less </w:t>
            </w:r>
            <w:r>
              <w:lastRenderedPageBreak/>
              <w:t>than fifteen feet (15’) above grade.</w:t>
            </w:r>
          </w:p>
          <w:p w14:paraId="3155343B" w14:textId="77777777" w:rsidR="004A72EF" w:rsidRDefault="004A72EF" w:rsidP="00F22EA8"/>
          <w:p w14:paraId="2CC197D2" w14:textId="77777777" w:rsidR="004A72EF" w:rsidRDefault="004A72EF" w:rsidP="00F22EA8">
            <w:r w:rsidRPr="00471FF9">
              <w:rPr>
                <w:i/>
                <w:iCs/>
              </w:rPr>
              <w:t>Maximum</w:t>
            </w:r>
            <w:r>
              <w:t>: 80</w:t>
            </w:r>
          </w:p>
        </w:tc>
      </w:tr>
      <w:tr w:rsidR="004A72EF" w14:paraId="4F5B71A1" w14:textId="77777777" w:rsidTr="00F22EA8">
        <w:tc>
          <w:tcPr>
            <w:tcW w:w="3685" w:type="dxa"/>
          </w:tcPr>
          <w:p w14:paraId="479B7F1E" w14:textId="77777777" w:rsidR="004A72EF" w:rsidRDefault="004A72EF" w:rsidP="00F22EA8">
            <w:r>
              <w:lastRenderedPageBreak/>
              <w:t>Minimum Floor Area Ratio</w:t>
            </w:r>
          </w:p>
        </w:tc>
        <w:tc>
          <w:tcPr>
            <w:tcW w:w="2790" w:type="dxa"/>
          </w:tcPr>
          <w:p w14:paraId="33687CDD" w14:textId="77777777" w:rsidR="004A72EF" w:rsidRDefault="004A72EF" w:rsidP="00F22EA8">
            <w:r>
              <w:t>0.5:1</w:t>
            </w:r>
          </w:p>
        </w:tc>
        <w:tc>
          <w:tcPr>
            <w:tcW w:w="2875" w:type="dxa"/>
          </w:tcPr>
          <w:p w14:paraId="4A8AF164" w14:textId="77777777" w:rsidR="004A72EF" w:rsidRDefault="004A72EF" w:rsidP="00F22EA8">
            <w:r>
              <w:t>NA</w:t>
            </w:r>
          </w:p>
        </w:tc>
      </w:tr>
      <w:tr w:rsidR="004A72EF" w14:paraId="30F90706" w14:textId="77777777" w:rsidTr="00F22EA8">
        <w:tc>
          <w:tcPr>
            <w:tcW w:w="3685" w:type="dxa"/>
          </w:tcPr>
          <w:p w14:paraId="02230156" w14:textId="77777777" w:rsidR="004A72EF" w:rsidRDefault="004A72EF" w:rsidP="00F22EA8">
            <w:r>
              <w:t>Maximum Building Lot Coverage</w:t>
            </w:r>
          </w:p>
        </w:tc>
        <w:tc>
          <w:tcPr>
            <w:tcW w:w="2790" w:type="dxa"/>
          </w:tcPr>
          <w:p w14:paraId="13F6FD89" w14:textId="77777777" w:rsidR="004A72EF" w:rsidRDefault="004A72EF" w:rsidP="00F22EA8">
            <w:r>
              <w:t>80%</w:t>
            </w:r>
          </w:p>
        </w:tc>
        <w:tc>
          <w:tcPr>
            <w:tcW w:w="2875" w:type="dxa"/>
          </w:tcPr>
          <w:p w14:paraId="05693A95" w14:textId="77777777" w:rsidR="004A72EF" w:rsidRDefault="004A72EF" w:rsidP="00F22EA8">
            <w:r>
              <w:t>80%</w:t>
            </w:r>
          </w:p>
        </w:tc>
      </w:tr>
    </w:tbl>
    <w:p w14:paraId="5C8F410D" w14:textId="77777777" w:rsidR="004A72EF" w:rsidRDefault="004A72EF" w:rsidP="004A72EF"/>
    <w:p w14:paraId="7EBF81AF" w14:textId="77777777" w:rsidR="004A72EF" w:rsidRPr="000538D0" w:rsidRDefault="004A72EF" w:rsidP="004A72EF">
      <w:pPr>
        <w:pStyle w:val="ListParagraph"/>
        <w:numPr>
          <w:ilvl w:val="0"/>
          <w:numId w:val="13"/>
        </w:numPr>
        <w:contextualSpacing w:val="0"/>
      </w:pPr>
      <w:r w:rsidRPr="00E316B0">
        <w:rPr>
          <w:u w:val="single"/>
        </w:rPr>
        <w:t>Existing Lots</w:t>
      </w:r>
      <w:r>
        <w:t xml:space="preserve">: </w:t>
      </w:r>
      <w:r w:rsidRPr="00E316B0">
        <w:t xml:space="preserve">Lots legally existing as of </w:t>
      </w:r>
      <w:r>
        <w:t>[</w:t>
      </w:r>
      <w:r w:rsidRPr="00E316B0">
        <w:rPr>
          <w:highlight w:val="yellow"/>
        </w:rPr>
        <w:t>adoption date of this ordinance</w:t>
      </w:r>
      <w:r>
        <w:t>]</w:t>
      </w:r>
      <w:r w:rsidRPr="00E316B0">
        <w:t>, shall be considered legal conforming lots</w:t>
      </w:r>
      <w:r>
        <w:t>.</w:t>
      </w:r>
    </w:p>
    <w:p w14:paraId="13DF2158" w14:textId="77777777" w:rsidR="004A72EF" w:rsidRDefault="004A72EF" w:rsidP="004A72EF">
      <w:pPr>
        <w:pStyle w:val="ListParagraph"/>
        <w:numPr>
          <w:ilvl w:val="0"/>
          <w:numId w:val="13"/>
        </w:numPr>
        <w:contextualSpacing w:val="0"/>
      </w:pPr>
      <w:r w:rsidRPr="206BF5B7">
        <w:rPr>
          <w:u w:val="single"/>
        </w:rPr>
        <w:t>Step-down Height Adjacent to Residential Areas:</w:t>
      </w:r>
      <w:r>
        <w:t xml:space="preserve"> Within one hundred feet (100’) of sites zoned residential, the following standards shall apply: </w:t>
      </w:r>
    </w:p>
    <w:p w14:paraId="720EEFBA" w14:textId="77777777" w:rsidR="004A72EF" w:rsidRDefault="004A72EF" w:rsidP="004A72EF">
      <w:pPr>
        <w:pStyle w:val="ListParagraph"/>
        <w:numPr>
          <w:ilvl w:val="1"/>
          <w:numId w:val="13"/>
        </w:numPr>
        <w:contextualSpacing w:val="0"/>
      </w:pPr>
      <w:r>
        <w:t xml:space="preserve">On the portion of the site within one hundred feet (100’) of a site zoned R-1, including any sub-zone of R-1, no structure or any portion thereof may exceed thirty-five feet (35’) in height. </w:t>
      </w:r>
    </w:p>
    <w:p w14:paraId="420FACB4" w14:textId="77777777" w:rsidR="004A72EF" w:rsidRDefault="004A72EF" w:rsidP="004A72EF">
      <w:pPr>
        <w:pStyle w:val="ListParagraph"/>
        <w:numPr>
          <w:ilvl w:val="1"/>
          <w:numId w:val="13"/>
        </w:numPr>
      </w:pPr>
      <w:r>
        <w:t xml:space="preserve">On the portion of the site within one hundred feet (100’) of a site zoned R-2, R-4, RM, or RMH, no structure or any portion thereof may exceed forty-five feet (45’) in height.  </w:t>
      </w:r>
    </w:p>
    <w:p w14:paraId="6E615239" w14:textId="6620DAB8" w:rsidR="004A72EF" w:rsidRDefault="004A72EF" w:rsidP="004A72EF">
      <w:pPr>
        <w:jc w:val="center"/>
        <w:rPr>
          <w:b/>
          <w:bCs/>
        </w:rPr>
      </w:pPr>
      <w:r w:rsidRPr="206BF5B7">
        <w:rPr>
          <w:b/>
          <w:bCs/>
        </w:rPr>
        <w:t>Figure 19.</w:t>
      </w:r>
      <w:r w:rsidRPr="004A72EF">
        <w:rPr>
          <w:b/>
          <w:bCs/>
          <w:highlight w:val="yellow"/>
        </w:rPr>
        <w:t>34</w:t>
      </w:r>
      <w:r w:rsidRPr="206BF5B7">
        <w:rPr>
          <w:b/>
          <w:bCs/>
        </w:rPr>
        <w:t>.040: Stepdown Heights Adjacent to Residential Areas</w:t>
      </w:r>
      <w:r>
        <w:rPr>
          <w:b/>
          <w:bCs/>
        </w:rPr>
        <w:t>.</w:t>
      </w:r>
    </w:p>
    <w:p w14:paraId="269C56EF" w14:textId="77777777" w:rsidR="004A72EF" w:rsidRPr="008A4DC5" w:rsidRDefault="004A72EF" w:rsidP="004A72EF">
      <w:pPr>
        <w:jc w:val="center"/>
        <w:rPr>
          <w:b/>
          <w:bCs/>
        </w:rPr>
      </w:pPr>
      <w:r>
        <w:rPr>
          <w:noProof/>
        </w:rPr>
        <w:drawing>
          <wp:inline distT="0" distB="0" distL="0" distR="0" wp14:anchorId="57353568" wp14:editId="2F4EB74A">
            <wp:extent cx="5788742" cy="2990850"/>
            <wp:effectExtent l="0" t="0" r="0" b="0"/>
            <wp:docPr id="22353726" name="Picture 223537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3726" name="Picture 22353726" descr="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88742" cy="2990850"/>
                    </a:xfrm>
                    <a:prstGeom prst="rect">
                      <a:avLst/>
                    </a:prstGeom>
                  </pic:spPr>
                </pic:pic>
              </a:graphicData>
            </a:graphic>
          </wp:inline>
        </w:drawing>
      </w:r>
    </w:p>
    <w:p w14:paraId="56BFDCF9" w14:textId="77777777" w:rsidR="004A72EF" w:rsidRPr="008A4DC5" w:rsidRDefault="004A72EF" w:rsidP="004A72EF">
      <w:pPr>
        <w:pStyle w:val="Heading2"/>
      </w:pPr>
      <w:bookmarkStart w:id="4" w:name="_Toc110334327"/>
      <w:r w:rsidRPr="206BF5B7">
        <w:t>19.</w:t>
      </w:r>
      <w:r w:rsidRPr="00463D94">
        <w:rPr>
          <w:highlight w:val="yellow"/>
        </w:rPr>
        <w:t>34</w:t>
      </w:r>
      <w:r w:rsidRPr="206BF5B7">
        <w:t>.050 – Required Yards and Setbacks.</w:t>
      </w:r>
      <w:bookmarkEnd w:id="4"/>
    </w:p>
    <w:p w14:paraId="198D279B" w14:textId="4181A565" w:rsidR="004A72EF" w:rsidRPr="008D00EF" w:rsidRDefault="004A72EF" w:rsidP="004A72EF">
      <w:r>
        <w:t>Development in the M-1 or M-2 Zones shall comply with the yard and setback standards shown in Table 19.</w:t>
      </w:r>
      <w:r w:rsidR="00E859BE" w:rsidRPr="00E859BE">
        <w:rPr>
          <w:highlight w:val="yellow"/>
        </w:rPr>
        <w:t>34</w:t>
      </w:r>
      <w:r>
        <w:t>.050 and all other applicable standards in this Title.</w:t>
      </w:r>
    </w:p>
    <w:tbl>
      <w:tblPr>
        <w:tblStyle w:val="TableGrid"/>
        <w:tblW w:w="0" w:type="auto"/>
        <w:tblLook w:val="04A0" w:firstRow="1" w:lastRow="0" w:firstColumn="1" w:lastColumn="0" w:noHBand="0" w:noVBand="1"/>
      </w:tblPr>
      <w:tblGrid>
        <w:gridCol w:w="4855"/>
        <w:gridCol w:w="2250"/>
        <w:gridCol w:w="2245"/>
      </w:tblGrid>
      <w:tr w:rsidR="00B71CCC" w14:paraId="0C270200" w14:textId="77777777" w:rsidTr="00B71CCC">
        <w:tc>
          <w:tcPr>
            <w:tcW w:w="9350" w:type="dxa"/>
            <w:gridSpan w:val="3"/>
            <w:shd w:val="clear" w:color="auto" w:fill="auto"/>
          </w:tcPr>
          <w:p w14:paraId="75C470C4" w14:textId="196F447C" w:rsidR="00B71CCC" w:rsidRPr="00503785" w:rsidRDefault="00B71CCC" w:rsidP="00B71CCC">
            <w:pPr>
              <w:jc w:val="center"/>
              <w:rPr>
                <w:b/>
                <w:bCs/>
              </w:rPr>
            </w:pPr>
            <w:r w:rsidRPr="46BB4CE8">
              <w:rPr>
                <w:b/>
                <w:bCs/>
              </w:rPr>
              <w:t>Table 19.34.050: Required Yards and Setbacks for M-1 and M-2 Zones.</w:t>
            </w:r>
          </w:p>
        </w:tc>
      </w:tr>
      <w:tr w:rsidR="006642E0" w14:paraId="310EC5C0" w14:textId="77777777" w:rsidTr="002B6F05">
        <w:tc>
          <w:tcPr>
            <w:tcW w:w="4855" w:type="dxa"/>
            <w:shd w:val="clear" w:color="auto" w:fill="E7E6E6" w:themeFill="background2"/>
          </w:tcPr>
          <w:p w14:paraId="500EE6AB" w14:textId="0E42E7C3" w:rsidR="006642E0" w:rsidRPr="00503785" w:rsidRDefault="006642E0">
            <w:pPr>
              <w:rPr>
                <w:b/>
                <w:bCs/>
              </w:rPr>
            </w:pPr>
            <w:r w:rsidRPr="00503785">
              <w:rPr>
                <w:b/>
                <w:bCs/>
              </w:rPr>
              <w:t>Standard</w:t>
            </w:r>
          </w:p>
        </w:tc>
        <w:tc>
          <w:tcPr>
            <w:tcW w:w="2250" w:type="dxa"/>
            <w:shd w:val="clear" w:color="auto" w:fill="E7E6E6" w:themeFill="background2"/>
          </w:tcPr>
          <w:p w14:paraId="66B413CC" w14:textId="3402832F" w:rsidR="006642E0" w:rsidRPr="00503785" w:rsidRDefault="006642E0">
            <w:pPr>
              <w:rPr>
                <w:b/>
                <w:bCs/>
              </w:rPr>
            </w:pPr>
            <w:r w:rsidRPr="00503785">
              <w:rPr>
                <w:b/>
                <w:bCs/>
              </w:rPr>
              <w:t>M-1</w:t>
            </w:r>
          </w:p>
        </w:tc>
        <w:tc>
          <w:tcPr>
            <w:tcW w:w="2245" w:type="dxa"/>
            <w:shd w:val="clear" w:color="auto" w:fill="E7E6E6" w:themeFill="background2"/>
          </w:tcPr>
          <w:p w14:paraId="2568659C" w14:textId="7D137210" w:rsidR="006642E0" w:rsidRPr="00503785" w:rsidRDefault="006642E0">
            <w:pPr>
              <w:rPr>
                <w:b/>
                <w:bCs/>
              </w:rPr>
            </w:pPr>
            <w:r w:rsidRPr="00503785">
              <w:rPr>
                <w:b/>
                <w:bCs/>
              </w:rPr>
              <w:t>M-2</w:t>
            </w:r>
          </w:p>
        </w:tc>
      </w:tr>
      <w:tr w:rsidR="006642E0" w14:paraId="1B7C47AD" w14:textId="77777777" w:rsidTr="002B6F05">
        <w:tc>
          <w:tcPr>
            <w:tcW w:w="4855" w:type="dxa"/>
          </w:tcPr>
          <w:p w14:paraId="1EC51372" w14:textId="62488619" w:rsidR="00D72134" w:rsidRDefault="00011781" w:rsidP="004D6ED7">
            <w:r>
              <w:lastRenderedPageBreak/>
              <w:t>Front Yard Setback</w:t>
            </w:r>
            <w:r w:rsidR="00D1122C">
              <w:t xml:space="preserve"> (in feet)</w:t>
            </w:r>
          </w:p>
        </w:tc>
        <w:tc>
          <w:tcPr>
            <w:tcW w:w="2250" w:type="dxa"/>
          </w:tcPr>
          <w:p w14:paraId="7498296A" w14:textId="7AFC28BC" w:rsidR="006642E0" w:rsidRDefault="00D20963">
            <w:r>
              <w:t>Minimum:</w:t>
            </w:r>
            <w:r w:rsidR="00D214EE">
              <w:t xml:space="preserve"> </w:t>
            </w:r>
            <w:r w:rsidR="00E825BD">
              <w:t>20</w:t>
            </w:r>
          </w:p>
          <w:p w14:paraId="0987B4D7" w14:textId="6725BE48" w:rsidR="00D20963" w:rsidRDefault="00D20963">
            <w:r>
              <w:t>Maximum:</w:t>
            </w:r>
            <w:r w:rsidR="00D214EE">
              <w:t xml:space="preserve"> </w:t>
            </w:r>
            <w:r w:rsidR="009D34F9">
              <w:t>NA</w:t>
            </w:r>
          </w:p>
        </w:tc>
        <w:tc>
          <w:tcPr>
            <w:tcW w:w="2245" w:type="dxa"/>
          </w:tcPr>
          <w:p w14:paraId="1787105A" w14:textId="1A0FE9D4" w:rsidR="006642E0" w:rsidRDefault="00D20963">
            <w:r>
              <w:t>Minimum:</w:t>
            </w:r>
            <w:r w:rsidR="00D214EE">
              <w:t xml:space="preserve"> 2</w:t>
            </w:r>
            <w:r w:rsidR="009D34F9">
              <w:t>5</w:t>
            </w:r>
          </w:p>
          <w:p w14:paraId="363146F7" w14:textId="29D8942C" w:rsidR="00D20963" w:rsidRDefault="00D20963">
            <w:r>
              <w:t>Maximum:</w:t>
            </w:r>
            <w:r w:rsidR="00D214EE">
              <w:t xml:space="preserve"> NA</w:t>
            </w:r>
          </w:p>
        </w:tc>
      </w:tr>
      <w:tr w:rsidR="006642E0" w14:paraId="25C9FFB5" w14:textId="77777777" w:rsidTr="002B6F05">
        <w:tc>
          <w:tcPr>
            <w:tcW w:w="4855" w:type="dxa"/>
          </w:tcPr>
          <w:p w14:paraId="09D67871" w14:textId="079FE55A" w:rsidR="00D72134" w:rsidRDefault="00D72134" w:rsidP="004D6ED7">
            <w:r>
              <w:t>Side Yard Setback – Interior Lots</w:t>
            </w:r>
            <w:r w:rsidR="00D1122C">
              <w:t xml:space="preserve"> (in feet)</w:t>
            </w:r>
          </w:p>
        </w:tc>
        <w:tc>
          <w:tcPr>
            <w:tcW w:w="2250" w:type="dxa"/>
          </w:tcPr>
          <w:p w14:paraId="4E2CEA4C" w14:textId="71CEA3F1" w:rsidR="006642E0" w:rsidRDefault="00D20963">
            <w:r>
              <w:t>Minimum:</w:t>
            </w:r>
            <w:r w:rsidR="00D214EE">
              <w:t xml:space="preserve"> </w:t>
            </w:r>
            <w:r w:rsidR="00AE612F">
              <w:t>20</w:t>
            </w:r>
          </w:p>
          <w:p w14:paraId="03D72A32" w14:textId="081385AD" w:rsidR="00D20963" w:rsidRDefault="00D20963">
            <w:r>
              <w:t>Maximum:</w:t>
            </w:r>
            <w:r w:rsidR="00AE612F">
              <w:t xml:space="preserve"> NA</w:t>
            </w:r>
          </w:p>
        </w:tc>
        <w:tc>
          <w:tcPr>
            <w:tcW w:w="2245" w:type="dxa"/>
          </w:tcPr>
          <w:p w14:paraId="4E6400F0" w14:textId="2D3DE7A8" w:rsidR="006642E0" w:rsidRDefault="00D20963">
            <w:r>
              <w:t xml:space="preserve">Minimum: </w:t>
            </w:r>
            <w:r w:rsidR="00AE612F">
              <w:t>20</w:t>
            </w:r>
          </w:p>
          <w:p w14:paraId="707A7AE8" w14:textId="6AE80564" w:rsidR="00D20963" w:rsidRDefault="00D20963">
            <w:r>
              <w:t>Maximum:</w:t>
            </w:r>
            <w:r w:rsidR="00AE612F">
              <w:t xml:space="preserve"> NA</w:t>
            </w:r>
          </w:p>
        </w:tc>
      </w:tr>
      <w:tr w:rsidR="006642E0" w14:paraId="1B291E0A" w14:textId="77777777" w:rsidTr="002B6F05">
        <w:tc>
          <w:tcPr>
            <w:tcW w:w="4855" w:type="dxa"/>
          </w:tcPr>
          <w:p w14:paraId="51638C1C" w14:textId="08EA8F22" w:rsidR="0078686D" w:rsidRDefault="0078686D" w:rsidP="004D6ED7">
            <w:r>
              <w:t>Side Yard Setback – Corner Lots</w:t>
            </w:r>
            <w:r w:rsidR="00D1122C">
              <w:t xml:space="preserve"> (in feet)</w:t>
            </w:r>
          </w:p>
        </w:tc>
        <w:tc>
          <w:tcPr>
            <w:tcW w:w="2250" w:type="dxa"/>
          </w:tcPr>
          <w:p w14:paraId="3A39BA20" w14:textId="029E6ACC" w:rsidR="006642E0" w:rsidRDefault="00D20963">
            <w:r>
              <w:t>Minimum:</w:t>
            </w:r>
            <w:r w:rsidR="00AE612F">
              <w:t xml:space="preserve"> 20</w:t>
            </w:r>
          </w:p>
          <w:p w14:paraId="7302E157" w14:textId="7C8370C5" w:rsidR="00D20963" w:rsidRDefault="00D20963">
            <w:r>
              <w:t xml:space="preserve">Maximum: </w:t>
            </w:r>
            <w:r w:rsidR="00AE612F">
              <w:t>NA</w:t>
            </w:r>
          </w:p>
        </w:tc>
        <w:tc>
          <w:tcPr>
            <w:tcW w:w="2245" w:type="dxa"/>
          </w:tcPr>
          <w:p w14:paraId="21F39DB3" w14:textId="0BA7AE01" w:rsidR="006642E0" w:rsidRDefault="00D20963">
            <w:r>
              <w:t>Minimum:</w:t>
            </w:r>
            <w:r w:rsidR="00AE612F">
              <w:t xml:space="preserve"> 25</w:t>
            </w:r>
          </w:p>
          <w:p w14:paraId="508BB845" w14:textId="570F927D" w:rsidR="00D20963" w:rsidRDefault="00D20963">
            <w:r>
              <w:t>Maximum:</w:t>
            </w:r>
            <w:r w:rsidR="00AE612F">
              <w:t xml:space="preserve"> NA</w:t>
            </w:r>
          </w:p>
        </w:tc>
      </w:tr>
      <w:tr w:rsidR="006642E0" w14:paraId="6D972A29" w14:textId="77777777" w:rsidTr="002B6F05">
        <w:tc>
          <w:tcPr>
            <w:tcW w:w="4855" w:type="dxa"/>
          </w:tcPr>
          <w:p w14:paraId="1372197C" w14:textId="180F6F71" w:rsidR="0078686D" w:rsidRDefault="0078686D" w:rsidP="004D6ED7">
            <w:r>
              <w:t>Rear Yard Setback</w:t>
            </w:r>
            <w:r w:rsidR="00D1122C">
              <w:t xml:space="preserve"> (in feet)</w:t>
            </w:r>
          </w:p>
        </w:tc>
        <w:tc>
          <w:tcPr>
            <w:tcW w:w="2250" w:type="dxa"/>
          </w:tcPr>
          <w:p w14:paraId="5DD8EB2D" w14:textId="151BDF12" w:rsidR="006642E0" w:rsidRDefault="00D20963">
            <w:r>
              <w:t>Minimum:</w:t>
            </w:r>
            <w:r w:rsidR="001E7FB7">
              <w:t xml:space="preserve"> 25</w:t>
            </w:r>
          </w:p>
          <w:p w14:paraId="1B487833" w14:textId="07B6F477" w:rsidR="00D20963" w:rsidRDefault="00D20963">
            <w:r>
              <w:t>Maximum:</w:t>
            </w:r>
            <w:r w:rsidR="00437027">
              <w:t xml:space="preserve"> NA</w:t>
            </w:r>
          </w:p>
        </w:tc>
        <w:tc>
          <w:tcPr>
            <w:tcW w:w="2245" w:type="dxa"/>
          </w:tcPr>
          <w:p w14:paraId="426E6B84" w14:textId="29866424" w:rsidR="006642E0" w:rsidRDefault="00D20963">
            <w:r>
              <w:t>Minimum:</w:t>
            </w:r>
            <w:r w:rsidR="00437027">
              <w:t xml:space="preserve"> 35</w:t>
            </w:r>
          </w:p>
          <w:p w14:paraId="46380150" w14:textId="6E9AD969" w:rsidR="00D20963" w:rsidRDefault="00D20963">
            <w:r>
              <w:t>Maximum:</w:t>
            </w:r>
            <w:r w:rsidR="00437027">
              <w:t xml:space="preserve"> NA</w:t>
            </w:r>
          </w:p>
        </w:tc>
      </w:tr>
      <w:tr w:rsidR="006642E0" w14:paraId="295A4152" w14:textId="77777777" w:rsidTr="002B6F05">
        <w:tc>
          <w:tcPr>
            <w:tcW w:w="4855" w:type="dxa"/>
          </w:tcPr>
          <w:p w14:paraId="5B394767" w14:textId="50058FF1" w:rsidR="006642E0" w:rsidRDefault="006B6132">
            <w:r>
              <w:t>Minimum Distance between Primary and Accessory Buildings</w:t>
            </w:r>
            <w:r w:rsidR="00D1122C">
              <w:t xml:space="preserve"> (in feet)</w:t>
            </w:r>
          </w:p>
        </w:tc>
        <w:tc>
          <w:tcPr>
            <w:tcW w:w="2250" w:type="dxa"/>
            <w:vAlign w:val="center"/>
          </w:tcPr>
          <w:p w14:paraId="3F751276" w14:textId="2BEF0036" w:rsidR="006642E0" w:rsidRDefault="00BE2B1D" w:rsidP="002B6F05">
            <w:r>
              <w:t>10</w:t>
            </w:r>
          </w:p>
        </w:tc>
        <w:tc>
          <w:tcPr>
            <w:tcW w:w="2245" w:type="dxa"/>
            <w:vAlign w:val="center"/>
          </w:tcPr>
          <w:p w14:paraId="0951FCC2" w14:textId="7CA5E403" w:rsidR="006642E0" w:rsidRDefault="00BE2B1D" w:rsidP="002B6F05">
            <w:r>
              <w:t>10</w:t>
            </w:r>
          </w:p>
        </w:tc>
      </w:tr>
    </w:tbl>
    <w:p w14:paraId="6F319C71" w14:textId="77777777" w:rsidR="00D277EF" w:rsidRDefault="00D277EF"/>
    <w:p w14:paraId="08932C37" w14:textId="77777777" w:rsidR="00B71CCC" w:rsidRPr="003B3F7A" w:rsidRDefault="00B71CCC" w:rsidP="00B71CCC">
      <w:pPr>
        <w:pStyle w:val="Heading2"/>
      </w:pPr>
      <w:bookmarkStart w:id="5" w:name="_Toc110334328"/>
      <w:r w:rsidRPr="003B3F7A">
        <w:t>19.</w:t>
      </w:r>
      <w:r w:rsidRPr="000A0425">
        <w:rPr>
          <w:highlight w:val="yellow"/>
        </w:rPr>
        <w:t>34</w:t>
      </w:r>
      <w:r w:rsidRPr="003B3F7A">
        <w:t>.060 – Height Exceptions.</w:t>
      </w:r>
      <w:bookmarkEnd w:id="5"/>
    </w:p>
    <w:p w14:paraId="1113F1F5" w14:textId="6DC9C814" w:rsidR="00B71CCC" w:rsidRDefault="00B71CCC" w:rsidP="00B71CCC">
      <w:r>
        <w:rPr>
          <w:rStyle w:val="normaltextrun"/>
          <w:rFonts w:ascii="Calibri" w:hAnsi="Calibri" w:cs="Calibri"/>
          <w:color w:val="000000"/>
          <w:shd w:val="clear" w:color="auto" w:fill="FFFFFF"/>
        </w:rPr>
        <w:t>Exceptions to the building heights specified in Table 19.</w:t>
      </w:r>
      <w:r w:rsidRPr="00B71CCC">
        <w:rPr>
          <w:rStyle w:val="normaltextrun"/>
          <w:rFonts w:ascii="Calibri" w:hAnsi="Calibri" w:cs="Calibri"/>
          <w:color w:val="000000"/>
          <w:highlight w:val="yellow"/>
          <w:shd w:val="clear" w:color="auto" w:fill="FFFFFF"/>
        </w:rPr>
        <w:t>34</w:t>
      </w:r>
      <w:r>
        <w:rPr>
          <w:rStyle w:val="normaltextrun"/>
          <w:rFonts w:ascii="Calibri" w:hAnsi="Calibri" w:cs="Calibri"/>
          <w:color w:val="000000"/>
          <w:shd w:val="clear" w:color="auto" w:fill="FFFFFF"/>
        </w:rPr>
        <w:t>.040 apply, in accordance with 19.</w:t>
      </w:r>
      <w:r w:rsidRPr="003B3F7A">
        <w:rPr>
          <w:rStyle w:val="normaltextrun"/>
          <w:rFonts w:ascii="Calibri" w:hAnsi="Calibri" w:cs="Calibri"/>
          <w:color w:val="000000"/>
          <w:highlight w:val="yellow"/>
          <w:shd w:val="clear" w:color="auto" w:fill="FFFFFF"/>
        </w:rPr>
        <w:t>XX.XXX</w:t>
      </w:r>
      <w:r>
        <w:rPr>
          <w:rStyle w:val="normaltextrun"/>
          <w:rFonts w:ascii="Calibri" w:hAnsi="Calibri" w:cs="Calibri"/>
          <w:color w:val="000000"/>
          <w:shd w:val="clear" w:color="auto" w:fill="FFFFFF"/>
        </w:rPr>
        <w:t>.</w:t>
      </w:r>
      <w:r>
        <w:rPr>
          <w:rStyle w:val="eop"/>
          <w:rFonts w:ascii="Calibri" w:hAnsi="Calibri" w:cs="Calibri"/>
          <w:color w:val="000000"/>
          <w:shd w:val="clear" w:color="auto" w:fill="FFFFFF"/>
        </w:rPr>
        <w:t> </w:t>
      </w:r>
    </w:p>
    <w:p w14:paraId="4535EB6B" w14:textId="77777777" w:rsidR="00B71CCC" w:rsidRPr="0064398B" w:rsidRDefault="00B71CCC" w:rsidP="00B71CCC">
      <w:pPr>
        <w:pStyle w:val="Heading2"/>
      </w:pPr>
      <w:bookmarkStart w:id="6" w:name="_Toc110334329"/>
      <w:r w:rsidRPr="0064398B">
        <w:t>19.</w:t>
      </w:r>
      <w:r w:rsidRPr="000A0425">
        <w:rPr>
          <w:highlight w:val="yellow"/>
        </w:rPr>
        <w:t>34</w:t>
      </w:r>
      <w:r w:rsidRPr="0064398B">
        <w:t>.070 – Parking and Loading Requirements.</w:t>
      </w:r>
      <w:bookmarkEnd w:id="6"/>
    </w:p>
    <w:p w14:paraId="4095302D" w14:textId="77777777" w:rsidR="00B71CCC" w:rsidRDefault="00B71CCC" w:rsidP="00B71CCC">
      <w:pPr>
        <w:jc w:val="both"/>
      </w:pPr>
      <w:r>
        <w:t xml:space="preserve">In addition to the standards specified in </w:t>
      </w:r>
      <w:r w:rsidRPr="76F613E6">
        <w:rPr>
          <w:highlight w:val="yellow"/>
        </w:rPr>
        <w:t>19.XX.XX</w:t>
      </w:r>
      <w:r>
        <w:t>, the following parking and loading standards shall apply in the M-1 and M-2 Zones:</w:t>
      </w:r>
    </w:p>
    <w:p w14:paraId="3666130D" w14:textId="77777777" w:rsidR="00B71CCC" w:rsidRDefault="00B71CCC" w:rsidP="00B71CCC">
      <w:pPr>
        <w:pStyle w:val="ListParagraph"/>
        <w:numPr>
          <w:ilvl w:val="0"/>
          <w:numId w:val="15"/>
        </w:numPr>
        <w:contextualSpacing w:val="0"/>
        <w:jc w:val="both"/>
      </w:pPr>
      <w:r>
        <w:t>Loading spaces and berths shall be at least thirty-five feet (35’) in length, ten feet (10’) in width, and fourteen feet (14’) in height, exclusive of aisle and maneuvering space and required parking space;</w:t>
      </w:r>
    </w:p>
    <w:p w14:paraId="04F5B85C" w14:textId="77777777" w:rsidR="00B71CCC" w:rsidRDefault="00B71CCC" w:rsidP="00B71CCC">
      <w:pPr>
        <w:pStyle w:val="ListParagraph"/>
        <w:numPr>
          <w:ilvl w:val="0"/>
          <w:numId w:val="15"/>
        </w:numPr>
        <w:contextualSpacing w:val="0"/>
        <w:jc w:val="both"/>
      </w:pPr>
      <w:r>
        <w:t>Loading spaces and berths may occupy all or any part of any required yard space, except front and corner side yards, and may not be located closer than fifty feet (50’) to any property zoned residential unless screened by a masonry wall not less than ten feet (10’) in height. And loading spaces or berths located in side yards may not be visible from a public street;</w:t>
      </w:r>
    </w:p>
    <w:p w14:paraId="61AE64B5" w14:textId="77777777" w:rsidR="00B71CCC" w:rsidRDefault="00B71CCC" w:rsidP="00B71CCC">
      <w:pPr>
        <w:pStyle w:val="ListParagraph"/>
        <w:numPr>
          <w:ilvl w:val="0"/>
          <w:numId w:val="15"/>
        </w:numPr>
        <w:contextualSpacing w:val="0"/>
        <w:jc w:val="both"/>
      </w:pPr>
      <w:r>
        <w:t>Each required off-street loading berth shall be designed with appropriate means of vehicular access to a street or alley – subject to approval by the Director or Designee - in a manner which will eliminate or minimize conflicts with traffic movement and prevent loading vehicles from traversing residential zones. Maneuvering and backing space to the loading dock shall be accommodated on site whenever possible;</w:t>
      </w:r>
    </w:p>
    <w:p w14:paraId="7A5A51EF" w14:textId="77777777" w:rsidR="00B71CCC" w:rsidRDefault="00B71CCC" w:rsidP="00B71CCC">
      <w:pPr>
        <w:pStyle w:val="ListParagraph"/>
        <w:numPr>
          <w:ilvl w:val="0"/>
          <w:numId w:val="15"/>
        </w:numPr>
        <w:contextualSpacing w:val="0"/>
        <w:jc w:val="both"/>
      </w:pPr>
      <w:r>
        <w:t>All loading areas, aisles, and access drives shall be paved so as to provide a durable, dust-proof surface and shall be so graded and drained so as to dispose of surface and storm water without damage to private or public properties, streets, or alleys;</w:t>
      </w:r>
    </w:p>
    <w:p w14:paraId="76064A63" w14:textId="77777777" w:rsidR="00B71CCC" w:rsidRDefault="00B71CCC" w:rsidP="00B71CCC">
      <w:pPr>
        <w:pStyle w:val="ListParagraph"/>
        <w:numPr>
          <w:ilvl w:val="0"/>
          <w:numId w:val="15"/>
        </w:numPr>
        <w:contextualSpacing w:val="0"/>
        <w:jc w:val="both"/>
      </w:pPr>
      <w:r>
        <w:t>If the loading or parking area is illuminated, lighting shall be deflected down and/or away from abutting residential sites so as to not cause nuisance, glare, or light pollution;</w:t>
      </w:r>
    </w:p>
    <w:p w14:paraId="6A60AEE0" w14:textId="77777777" w:rsidR="00B71CCC" w:rsidRDefault="00B71CCC" w:rsidP="00B71CCC">
      <w:pPr>
        <w:pStyle w:val="ListParagraph"/>
        <w:numPr>
          <w:ilvl w:val="0"/>
          <w:numId w:val="15"/>
        </w:numPr>
        <w:contextualSpacing w:val="0"/>
        <w:jc w:val="both"/>
      </w:pPr>
      <w:r>
        <w:t xml:space="preserve">Off-street loading facilities shall be located on the same site with the use for which the loading spaces and berths are required; and </w:t>
      </w:r>
    </w:p>
    <w:p w14:paraId="1A21AB68" w14:textId="53001C96" w:rsidR="00B71CCC" w:rsidRPr="002038A0" w:rsidRDefault="00B71CCC" w:rsidP="00B71CCC">
      <w:pPr>
        <w:pStyle w:val="ListParagraph"/>
        <w:numPr>
          <w:ilvl w:val="0"/>
          <w:numId w:val="15"/>
        </w:numPr>
        <w:contextualSpacing w:val="0"/>
        <w:jc w:val="both"/>
      </w:pPr>
      <w:r>
        <w:t xml:space="preserve">Space allocated to any off-street loading berth may not be used to satisfy the space requirements for any off-street parking facility. The minimum number of loading berths required in the M-1 and M-2 Zones is shown in Table </w:t>
      </w:r>
      <w:r w:rsidRPr="76F613E6">
        <w:rPr>
          <w:highlight w:val="yellow"/>
        </w:rPr>
        <w:t>19.</w:t>
      </w:r>
      <w:r>
        <w:rPr>
          <w:highlight w:val="yellow"/>
        </w:rPr>
        <w:t>34</w:t>
      </w:r>
      <w:r w:rsidRPr="76F613E6">
        <w:rPr>
          <w:highlight w:val="yellow"/>
        </w:rPr>
        <w:t>.070</w:t>
      </w:r>
      <w:r>
        <w:t>:</w:t>
      </w:r>
    </w:p>
    <w:tbl>
      <w:tblPr>
        <w:tblStyle w:val="TableGrid"/>
        <w:tblW w:w="0" w:type="auto"/>
        <w:tblInd w:w="720" w:type="dxa"/>
        <w:tblLook w:val="04A0" w:firstRow="1" w:lastRow="0" w:firstColumn="1" w:lastColumn="0" w:noHBand="0" w:noVBand="1"/>
      </w:tblPr>
      <w:tblGrid>
        <w:gridCol w:w="4765"/>
        <w:gridCol w:w="1980"/>
        <w:gridCol w:w="1885"/>
      </w:tblGrid>
      <w:tr w:rsidR="00B71CCC" w14:paraId="1EB2FD31" w14:textId="77777777" w:rsidTr="00F22EA8">
        <w:tc>
          <w:tcPr>
            <w:tcW w:w="8630" w:type="dxa"/>
            <w:gridSpan w:val="3"/>
            <w:shd w:val="clear" w:color="auto" w:fill="auto"/>
            <w:vAlign w:val="center"/>
          </w:tcPr>
          <w:p w14:paraId="18B97B11" w14:textId="77777777" w:rsidR="00B71CCC" w:rsidRDefault="00B71CCC" w:rsidP="00F22EA8">
            <w:pPr>
              <w:pStyle w:val="ListParagraph"/>
              <w:ind w:left="0"/>
              <w:contextualSpacing w:val="0"/>
              <w:jc w:val="center"/>
              <w:rPr>
                <w:b/>
                <w:bCs/>
              </w:rPr>
            </w:pPr>
            <w:r w:rsidRPr="0041488F">
              <w:rPr>
                <w:b/>
                <w:bCs/>
              </w:rPr>
              <w:lastRenderedPageBreak/>
              <w:t xml:space="preserve">Table </w:t>
            </w:r>
            <w:r>
              <w:rPr>
                <w:b/>
                <w:bCs/>
              </w:rPr>
              <w:t>19.</w:t>
            </w:r>
            <w:r w:rsidRPr="002038A0">
              <w:rPr>
                <w:b/>
                <w:bCs/>
                <w:highlight w:val="yellow"/>
              </w:rPr>
              <w:t>34</w:t>
            </w:r>
            <w:r w:rsidRPr="0041488F">
              <w:rPr>
                <w:b/>
                <w:bCs/>
              </w:rPr>
              <w:t>.070: Minimum Number of Loading Berths Required by Usable Floor Area.</w:t>
            </w:r>
          </w:p>
        </w:tc>
      </w:tr>
      <w:tr w:rsidR="00B71CCC" w14:paraId="41982433" w14:textId="77777777" w:rsidTr="00F22EA8">
        <w:tc>
          <w:tcPr>
            <w:tcW w:w="4765" w:type="dxa"/>
            <w:vMerge w:val="restart"/>
            <w:shd w:val="clear" w:color="auto" w:fill="E7E6E6" w:themeFill="background2"/>
            <w:vAlign w:val="center"/>
          </w:tcPr>
          <w:p w14:paraId="53A7F540" w14:textId="77777777" w:rsidR="00B71CCC" w:rsidRPr="00645855" w:rsidRDefault="00B71CCC" w:rsidP="00F22EA8">
            <w:pPr>
              <w:pStyle w:val="ListParagraph"/>
              <w:ind w:left="0"/>
              <w:contextualSpacing w:val="0"/>
              <w:jc w:val="center"/>
              <w:rPr>
                <w:b/>
                <w:bCs/>
              </w:rPr>
            </w:pPr>
            <w:r w:rsidRPr="00645855">
              <w:rPr>
                <w:b/>
                <w:bCs/>
              </w:rPr>
              <w:t>Usable Floor Area (in square feet)</w:t>
            </w:r>
          </w:p>
        </w:tc>
        <w:tc>
          <w:tcPr>
            <w:tcW w:w="3865" w:type="dxa"/>
            <w:gridSpan w:val="2"/>
            <w:shd w:val="clear" w:color="auto" w:fill="E7E6E6" w:themeFill="background2"/>
          </w:tcPr>
          <w:p w14:paraId="6D7877C8" w14:textId="77777777" w:rsidR="00B71CCC" w:rsidRPr="00645855" w:rsidRDefault="00B71CCC" w:rsidP="00F22EA8">
            <w:pPr>
              <w:pStyle w:val="ListParagraph"/>
              <w:ind w:left="0"/>
              <w:contextualSpacing w:val="0"/>
              <w:jc w:val="center"/>
              <w:rPr>
                <w:b/>
                <w:bCs/>
              </w:rPr>
            </w:pPr>
            <w:r>
              <w:rPr>
                <w:b/>
                <w:bCs/>
              </w:rPr>
              <w:t>Minimum Number of Berths Required</w:t>
            </w:r>
          </w:p>
        </w:tc>
      </w:tr>
      <w:tr w:rsidR="00B71CCC" w14:paraId="113CF599" w14:textId="77777777" w:rsidTr="00F22EA8">
        <w:tc>
          <w:tcPr>
            <w:tcW w:w="4765" w:type="dxa"/>
            <w:vMerge/>
            <w:shd w:val="clear" w:color="auto" w:fill="E7E6E6" w:themeFill="background2"/>
          </w:tcPr>
          <w:p w14:paraId="04B18BC7" w14:textId="77777777" w:rsidR="00B71CCC" w:rsidRPr="00645855" w:rsidRDefault="00B71CCC" w:rsidP="00F22EA8">
            <w:pPr>
              <w:pStyle w:val="ListParagraph"/>
              <w:ind w:left="0"/>
              <w:contextualSpacing w:val="0"/>
              <w:jc w:val="both"/>
              <w:rPr>
                <w:b/>
                <w:bCs/>
              </w:rPr>
            </w:pPr>
          </w:p>
        </w:tc>
        <w:tc>
          <w:tcPr>
            <w:tcW w:w="1980" w:type="dxa"/>
            <w:shd w:val="clear" w:color="auto" w:fill="E7E6E6" w:themeFill="background2"/>
          </w:tcPr>
          <w:p w14:paraId="2A4BFD34" w14:textId="77777777" w:rsidR="00B71CCC" w:rsidRPr="00645855" w:rsidRDefault="00B71CCC" w:rsidP="00F22EA8">
            <w:pPr>
              <w:pStyle w:val="ListParagraph"/>
              <w:ind w:left="0"/>
              <w:contextualSpacing w:val="0"/>
              <w:jc w:val="center"/>
              <w:rPr>
                <w:b/>
                <w:bCs/>
              </w:rPr>
            </w:pPr>
            <w:r>
              <w:rPr>
                <w:b/>
                <w:bCs/>
              </w:rPr>
              <w:t>M-1</w:t>
            </w:r>
          </w:p>
        </w:tc>
        <w:tc>
          <w:tcPr>
            <w:tcW w:w="1885" w:type="dxa"/>
            <w:shd w:val="clear" w:color="auto" w:fill="E7E6E6" w:themeFill="background2"/>
          </w:tcPr>
          <w:p w14:paraId="403D784D" w14:textId="77777777" w:rsidR="00B71CCC" w:rsidRPr="00645855" w:rsidRDefault="00B71CCC" w:rsidP="00F22EA8">
            <w:pPr>
              <w:pStyle w:val="ListParagraph"/>
              <w:ind w:left="0"/>
              <w:contextualSpacing w:val="0"/>
              <w:jc w:val="center"/>
              <w:rPr>
                <w:b/>
                <w:bCs/>
              </w:rPr>
            </w:pPr>
            <w:r>
              <w:rPr>
                <w:b/>
                <w:bCs/>
              </w:rPr>
              <w:t>M-2</w:t>
            </w:r>
          </w:p>
        </w:tc>
      </w:tr>
      <w:tr w:rsidR="00B71CCC" w14:paraId="7848BFE1" w14:textId="77777777" w:rsidTr="00F22EA8">
        <w:tc>
          <w:tcPr>
            <w:tcW w:w="4765" w:type="dxa"/>
          </w:tcPr>
          <w:p w14:paraId="6AA696F7" w14:textId="77777777" w:rsidR="00B71CCC" w:rsidRDefault="00B71CCC" w:rsidP="00F22EA8">
            <w:pPr>
              <w:pStyle w:val="ListParagraph"/>
              <w:ind w:left="0"/>
              <w:contextualSpacing w:val="0"/>
              <w:jc w:val="both"/>
            </w:pPr>
            <w:r>
              <w:t>5,000 to 40,000</w:t>
            </w:r>
          </w:p>
        </w:tc>
        <w:tc>
          <w:tcPr>
            <w:tcW w:w="1980" w:type="dxa"/>
            <w:vMerge w:val="restart"/>
            <w:vAlign w:val="center"/>
          </w:tcPr>
          <w:p w14:paraId="13FA7E44" w14:textId="77777777" w:rsidR="00B71CCC" w:rsidRDefault="00B71CCC" w:rsidP="00F22EA8">
            <w:pPr>
              <w:pStyle w:val="ListParagraph"/>
              <w:ind w:left="0"/>
              <w:contextualSpacing w:val="0"/>
              <w:jc w:val="center"/>
            </w:pPr>
            <w:r>
              <w:t>1</w:t>
            </w:r>
          </w:p>
        </w:tc>
        <w:tc>
          <w:tcPr>
            <w:tcW w:w="1885" w:type="dxa"/>
            <w:vAlign w:val="center"/>
          </w:tcPr>
          <w:p w14:paraId="0BCAA5D6" w14:textId="77777777" w:rsidR="00B71CCC" w:rsidRDefault="00B71CCC" w:rsidP="00F22EA8">
            <w:pPr>
              <w:pStyle w:val="ListParagraph"/>
              <w:ind w:left="0"/>
              <w:contextualSpacing w:val="0"/>
              <w:jc w:val="center"/>
            </w:pPr>
            <w:r>
              <w:t>1</w:t>
            </w:r>
          </w:p>
        </w:tc>
      </w:tr>
      <w:tr w:rsidR="00B71CCC" w14:paraId="7D548AE7" w14:textId="77777777" w:rsidTr="00F22EA8">
        <w:tc>
          <w:tcPr>
            <w:tcW w:w="4765" w:type="dxa"/>
          </w:tcPr>
          <w:p w14:paraId="19F62356" w14:textId="77777777" w:rsidR="00B71CCC" w:rsidRDefault="00B71CCC" w:rsidP="00F22EA8">
            <w:pPr>
              <w:pStyle w:val="ListParagraph"/>
              <w:ind w:left="0"/>
              <w:contextualSpacing w:val="0"/>
              <w:jc w:val="both"/>
            </w:pPr>
            <w:r>
              <w:t>40,001 to 100,000</w:t>
            </w:r>
          </w:p>
        </w:tc>
        <w:tc>
          <w:tcPr>
            <w:tcW w:w="1980" w:type="dxa"/>
            <w:vMerge/>
            <w:vAlign w:val="center"/>
          </w:tcPr>
          <w:p w14:paraId="12B652D1" w14:textId="77777777" w:rsidR="00B71CCC" w:rsidRDefault="00B71CCC" w:rsidP="00F22EA8">
            <w:pPr>
              <w:pStyle w:val="ListParagraph"/>
              <w:ind w:left="0"/>
              <w:contextualSpacing w:val="0"/>
              <w:jc w:val="center"/>
            </w:pPr>
          </w:p>
        </w:tc>
        <w:tc>
          <w:tcPr>
            <w:tcW w:w="1885" w:type="dxa"/>
            <w:vAlign w:val="center"/>
          </w:tcPr>
          <w:p w14:paraId="7793D4B8" w14:textId="77777777" w:rsidR="00B71CCC" w:rsidRDefault="00B71CCC" w:rsidP="00F22EA8">
            <w:pPr>
              <w:pStyle w:val="ListParagraph"/>
              <w:ind w:left="0"/>
              <w:contextualSpacing w:val="0"/>
              <w:jc w:val="center"/>
            </w:pPr>
            <w:r>
              <w:t>2</w:t>
            </w:r>
          </w:p>
        </w:tc>
      </w:tr>
      <w:tr w:rsidR="00B71CCC" w14:paraId="4273E3D0" w14:textId="77777777" w:rsidTr="00F22EA8">
        <w:tc>
          <w:tcPr>
            <w:tcW w:w="4765" w:type="dxa"/>
          </w:tcPr>
          <w:p w14:paraId="2F61CE0F" w14:textId="77777777" w:rsidR="00B71CCC" w:rsidRDefault="00B71CCC" w:rsidP="00F22EA8">
            <w:pPr>
              <w:pStyle w:val="ListParagraph"/>
              <w:ind w:left="0"/>
              <w:contextualSpacing w:val="0"/>
              <w:jc w:val="both"/>
            </w:pPr>
            <w:r>
              <w:t>Each Additional 100,000</w:t>
            </w:r>
          </w:p>
        </w:tc>
        <w:tc>
          <w:tcPr>
            <w:tcW w:w="1980" w:type="dxa"/>
            <w:vAlign w:val="center"/>
          </w:tcPr>
          <w:p w14:paraId="562ADEF4" w14:textId="77777777" w:rsidR="00B71CCC" w:rsidRDefault="00B71CCC" w:rsidP="00F22EA8">
            <w:pPr>
              <w:pStyle w:val="ListParagraph"/>
              <w:ind w:left="0"/>
              <w:contextualSpacing w:val="0"/>
              <w:jc w:val="center"/>
            </w:pPr>
            <w:r>
              <w:t>Add 1</w:t>
            </w:r>
          </w:p>
        </w:tc>
        <w:tc>
          <w:tcPr>
            <w:tcW w:w="1885" w:type="dxa"/>
            <w:vAlign w:val="center"/>
          </w:tcPr>
          <w:p w14:paraId="45B817BF" w14:textId="77777777" w:rsidR="00B71CCC" w:rsidRDefault="00B71CCC" w:rsidP="00F22EA8">
            <w:pPr>
              <w:pStyle w:val="ListParagraph"/>
              <w:ind w:left="0"/>
              <w:contextualSpacing w:val="0"/>
              <w:jc w:val="center"/>
            </w:pPr>
            <w:r>
              <w:t>Add 1</w:t>
            </w:r>
          </w:p>
        </w:tc>
      </w:tr>
    </w:tbl>
    <w:p w14:paraId="72F76BD7" w14:textId="77777777" w:rsidR="00B71CCC" w:rsidRDefault="00B71CCC" w:rsidP="00B71CCC">
      <w:pPr>
        <w:pStyle w:val="ListParagraph"/>
        <w:contextualSpacing w:val="0"/>
        <w:jc w:val="both"/>
      </w:pPr>
    </w:p>
    <w:p w14:paraId="18F109AC" w14:textId="77777777" w:rsidR="00B71CCC" w:rsidRPr="00D75E6C" w:rsidRDefault="00B71CCC" w:rsidP="00B71CCC">
      <w:pPr>
        <w:pStyle w:val="Heading2"/>
      </w:pPr>
      <w:bookmarkStart w:id="7" w:name="_Toc110334330"/>
      <w:r w:rsidRPr="00D75E6C">
        <w:t>19.</w:t>
      </w:r>
      <w:r w:rsidRPr="001D60FE">
        <w:rPr>
          <w:highlight w:val="yellow"/>
        </w:rPr>
        <w:t>34</w:t>
      </w:r>
      <w:r w:rsidRPr="00D75E6C">
        <w:t>.080 – Landscaping and Screening Standards.</w:t>
      </w:r>
      <w:bookmarkEnd w:id="7"/>
    </w:p>
    <w:p w14:paraId="720CDAFB" w14:textId="77777777" w:rsidR="00B71CCC" w:rsidRDefault="00B71CCC" w:rsidP="00B71CCC">
      <w:pPr>
        <w:jc w:val="both"/>
      </w:pPr>
      <w:r>
        <w:t>In addition to the standards in 19.</w:t>
      </w:r>
      <w:r w:rsidRPr="00996B55">
        <w:rPr>
          <w:highlight w:val="yellow"/>
        </w:rPr>
        <w:t>XX.XX</w:t>
      </w:r>
      <w:r>
        <w:t>, the following landscaping and screening standards apply:</w:t>
      </w:r>
    </w:p>
    <w:p w14:paraId="7239C4AB" w14:textId="77777777" w:rsidR="00B71CCC" w:rsidRDefault="00B71CCC" w:rsidP="00B71CCC">
      <w:pPr>
        <w:pStyle w:val="ListParagraph"/>
        <w:numPr>
          <w:ilvl w:val="0"/>
          <w:numId w:val="25"/>
        </w:numPr>
        <w:contextualSpacing w:val="0"/>
        <w:jc w:val="both"/>
      </w:pPr>
      <w:r w:rsidRPr="00996B55">
        <w:rPr>
          <w:u w:val="single"/>
        </w:rPr>
        <w:t>Mechanical Equipment and Refuse Containers</w:t>
      </w:r>
      <w:r>
        <w:t>: A</w:t>
      </w:r>
      <w:r w:rsidRPr="00D75E6C">
        <w:t>ir conditioning units, generators</w:t>
      </w:r>
      <w:r>
        <w:t xml:space="preserve">, waste and recycling containers, </w:t>
      </w:r>
      <w:r w:rsidRPr="00D75E6C">
        <w:t xml:space="preserve">and other auxiliary mechanical and building equipment shall be placed </w:t>
      </w:r>
      <w:r>
        <w:t>on the site so as to minimize</w:t>
      </w:r>
      <w:r w:rsidRPr="00D75E6C">
        <w:t xml:space="preserve"> noise, appearance, and odors, particularly for adjacent properties and public rights-of-way. </w:t>
      </w:r>
    </w:p>
    <w:p w14:paraId="2D3ACD22" w14:textId="77777777" w:rsidR="00B71CCC" w:rsidRDefault="00B71CCC" w:rsidP="00B71CCC">
      <w:pPr>
        <w:pStyle w:val="ListParagraph"/>
        <w:numPr>
          <w:ilvl w:val="1"/>
          <w:numId w:val="25"/>
        </w:numPr>
        <w:contextualSpacing w:val="0"/>
        <w:jc w:val="both"/>
      </w:pPr>
      <w:r w:rsidRPr="00D52A8A">
        <w:rPr>
          <w:u w:val="single"/>
        </w:rPr>
        <w:t>Screening</w:t>
      </w:r>
      <w:r>
        <w:t xml:space="preserve">: Mechanical equipment and refuse containers shall be screened from public rights-of-way and adjacent properties by screening walls, landscaping, and other screening treatments. </w:t>
      </w:r>
    </w:p>
    <w:p w14:paraId="43DC5251" w14:textId="77777777" w:rsidR="00B71CCC" w:rsidRDefault="00B71CCC" w:rsidP="00B71CCC">
      <w:pPr>
        <w:pStyle w:val="ListParagraph"/>
        <w:numPr>
          <w:ilvl w:val="1"/>
          <w:numId w:val="25"/>
        </w:numPr>
        <w:contextualSpacing w:val="0"/>
        <w:jc w:val="both"/>
      </w:pPr>
      <w:r w:rsidRPr="00D52A8A">
        <w:rPr>
          <w:u w:val="single"/>
        </w:rPr>
        <w:t>Color</w:t>
      </w:r>
      <w:r>
        <w:t>:</w:t>
      </w:r>
      <w:r w:rsidRPr="00D75E6C">
        <w:t xml:space="preserve"> All building-mounted mechanical or communications equipment shall be a color </w:t>
      </w:r>
      <w:r>
        <w:t>that blends with the color and design details of the primary building</w:t>
      </w:r>
      <w:r w:rsidRPr="00D75E6C">
        <w:t xml:space="preserve">. </w:t>
      </w:r>
    </w:p>
    <w:p w14:paraId="764EB368" w14:textId="77777777" w:rsidR="00B71CCC" w:rsidRDefault="00B71CCC" w:rsidP="00B71CCC">
      <w:pPr>
        <w:pStyle w:val="ListParagraph"/>
        <w:numPr>
          <w:ilvl w:val="1"/>
          <w:numId w:val="25"/>
        </w:numPr>
        <w:contextualSpacing w:val="0"/>
        <w:jc w:val="both"/>
      </w:pPr>
      <w:r w:rsidRPr="00D52A8A">
        <w:rPr>
          <w:u w:val="single"/>
        </w:rPr>
        <w:t>Material</w:t>
      </w:r>
      <w:r>
        <w:t>: High-quality screening materials shall be used to enhance site design and minimize impacts on adjacent properties. Chain-link fencing is prohibited in front yards and side yards of corner-lots and does not count towards meeting the screening requirements of this section. Where feasible, landscaping is preferred to other screening methods.</w:t>
      </w:r>
    </w:p>
    <w:p w14:paraId="44458FA5" w14:textId="77777777" w:rsidR="00B71CCC" w:rsidRPr="0041488F" w:rsidRDefault="00B71CCC" w:rsidP="00B71CCC">
      <w:pPr>
        <w:pStyle w:val="Heading2"/>
      </w:pPr>
      <w:bookmarkStart w:id="8" w:name="_Toc110334331"/>
      <w:r w:rsidRPr="0041488F">
        <w:t>19.</w:t>
      </w:r>
      <w:r w:rsidRPr="001D60FE">
        <w:rPr>
          <w:highlight w:val="yellow"/>
        </w:rPr>
        <w:t>34</w:t>
      </w:r>
      <w:r w:rsidRPr="0041488F">
        <w:t xml:space="preserve">.090 – </w:t>
      </w:r>
      <w:r>
        <w:t>Additional Standards</w:t>
      </w:r>
      <w:r w:rsidRPr="0041488F">
        <w:t>.</w:t>
      </w:r>
      <w:bookmarkEnd w:id="8"/>
    </w:p>
    <w:p w14:paraId="3BA49850" w14:textId="77777777" w:rsidR="00B71CCC" w:rsidRDefault="00B71CCC" w:rsidP="00B71CCC">
      <w:pPr>
        <w:jc w:val="both"/>
      </w:pPr>
      <w:r>
        <w:t xml:space="preserve">It is the responsibility of the applicant to comply with all other standards of Title 19 and all other municipal ordinances. </w:t>
      </w:r>
    </w:p>
    <w:p w14:paraId="085E4D72" w14:textId="0359CA13" w:rsidR="46BB4CE8" w:rsidRDefault="46BB4CE8" w:rsidP="00B71CCC">
      <w:pPr>
        <w:pStyle w:val="ListParagraph"/>
        <w:numPr>
          <w:ilvl w:val="0"/>
          <w:numId w:val="16"/>
        </w:numPr>
        <w:contextualSpacing w:val="0"/>
        <w:rPr>
          <w:rFonts w:eastAsiaTheme="minorEastAsia"/>
        </w:rPr>
      </w:pPr>
      <w:r w:rsidRPr="46BB4CE8">
        <w:t>19.40: Specific Use Standards</w:t>
      </w:r>
    </w:p>
    <w:p w14:paraId="5022860E" w14:textId="23C83D84" w:rsidR="46BB4CE8" w:rsidRDefault="46BB4CE8" w:rsidP="00B71CCC">
      <w:pPr>
        <w:pStyle w:val="ListParagraph"/>
        <w:numPr>
          <w:ilvl w:val="0"/>
          <w:numId w:val="16"/>
        </w:numPr>
        <w:contextualSpacing w:val="0"/>
        <w:rPr>
          <w:rFonts w:eastAsiaTheme="minorEastAsia"/>
        </w:rPr>
      </w:pPr>
      <w:r w:rsidRPr="46BB4CE8">
        <w:t>19.46: Site Development Standards</w:t>
      </w:r>
    </w:p>
    <w:p w14:paraId="3DA434DF" w14:textId="42077BEF" w:rsidR="46BB4CE8" w:rsidRDefault="46BB4CE8" w:rsidP="00B71CCC">
      <w:pPr>
        <w:pStyle w:val="ListParagraph"/>
        <w:numPr>
          <w:ilvl w:val="0"/>
          <w:numId w:val="16"/>
        </w:numPr>
        <w:contextualSpacing w:val="0"/>
        <w:rPr>
          <w:rFonts w:eastAsiaTheme="minorEastAsia"/>
        </w:rPr>
      </w:pPr>
      <w:r w:rsidRPr="46BB4CE8">
        <w:t xml:space="preserve">19.48: Off Street Parking Requirements  </w:t>
      </w:r>
    </w:p>
    <w:p w14:paraId="505F9DAB" w14:textId="49865B32" w:rsidR="46BB4CE8" w:rsidRDefault="46BB4CE8" w:rsidP="00B71CCC">
      <w:pPr>
        <w:pStyle w:val="ListParagraph"/>
        <w:numPr>
          <w:ilvl w:val="0"/>
          <w:numId w:val="16"/>
        </w:numPr>
        <w:contextualSpacing w:val="0"/>
        <w:rPr>
          <w:rFonts w:eastAsiaTheme="minorEastAsia"/>
        </w:rPr>
      </w:pPr>
      <w:r w:rsidRPr="46BB4CE8">
        <w:t>19.50: Landscaping and Screening</w:t>
      </w:r>
    </w:p>
    <w:p w14:paraId="667A5356" w14:textId="26AB8747" w:rsidR="46BB4CE8" w:rsidRDefault="46BB4CE8" w:rsidP="00B71CCC">
      <w:pPr>
        <w:pStyle w:val="ListParagraph"/>
        <w:numPr>
          <w:ilvl w:val="0"/>
          <w:numId w:val="16"/>
        </w:numPr>
        <w:contextualSpacing w:val="0"/>
        <w:rPr>
          <w:rFonts w:eastAsiaTheme="minorEastAsia"/>
        </w:rPr>
      </w:pPr>
      <w:r w:rsidRPr="46BB4CE8">
        <w:t xml:space="preserve">19.51: Supplementary and Qualifying Regulations  </w:t>
      </w:r>
    </w:p>
    <w:p w14:paraId="23286066" w14:textId="2E19853F" w:rsidR="46BB4CE8" w:rsidRDefault="46BB4CE8" w:rsidP="00B71CCC">
      <w:pPr>
        <w:pStyle w:val="ListParagraph"/>
        <w:numPr>
          <w:ilvl w:val="0"/>
          <w:numId w:val="16"/>
        </w:numPr>
        <w:contextualSpacing w:val="0"/>
        <w:rPr>
          <w:rFonts w:eastAsiaTheme="minorEastAsia"/>
        </w:rPr>
      </w:pPr>
      <w:r w:rsidRPr="46BB4CE8">
        <w:t>19.52: Signs</w:t>
      </w:r>
    </w:p>
    <w:p w14:paraId="1C00E4CF" w14:textId="56979AF0" w:rsidR="46BB4CE8" w:rsidRDefault="46BB4CE8" w:rsidP="46BB4CE8">
      <w:pPr>
        <w:jc w:val="both"/>
      </w:pPr>
    </w:p>
    <w:sectPr w:rsidR="46BB4CE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BC1A" w14:textId="77777777" w:rsidR="00C220E3" w:rsidRDefault="00C220E3" w:rsidP="00F85A7C">
      <w:pPr>
        <w:spacing w:after="0" w:line="240" w:lineRule="auto"/>
      </w:pPr>
      <w:r>
        <w:separator/>
      </w:r>
    </w:p>
  </w:endnote>
  <w:endnote w:type="continuationSeparator" w:id="0">
    <w:p w14:paraId="4F188B64" w14:textId="77777777" w:rsidR="00C220E3" w:rsidRDefault="00C220E3" w:rsidP="00F85A7C">
      <w:pPr>
        <w:spacing w:after="0" w:line="240" w:lineRule="auto"/>
      </w:pPr>
      <w:r>
        <w:continuationSeparator/>
      </w:r>
    </w:p>
  </w:endnote>
  <w:endnote w:type="continuationNotice" w:id="1">
    <w:p w14:paraId="0592D061" w14:textId="77777777" w:rsidR="00C220E3" w:rsidRDefault="00C220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5290" w14:textId="0C275896" w:rsidR="00F85A7C" w:rsidRDefault="0044499A">
    <w:pPr>
      <w:pStyle w:val="Footer"/>
      <w:jc w:val="right"/>
    </w:pPr>
    <w:r>
      <w:t xml:space="preserve">DRAFT M-1 and M-2 Zones </w:t>
    </w:r>
    <w:r w:rsidR="00B71CCC" w:rsidRPr="00B71CCC">
      <w:t>Magna</w:t>
    </w:r>
    <w:r>
      <w:t xml:space="preserve">| </w:t>
    </w:r>
    <w:sdt>
      <w:sdtPr>
        <w:id w:val="-651524898"/>
        <w:docPartObj>
          <w:docPartGallery w:val="Page Numbers (Bottom of Page)"/>
          <w:docPartUnique/>
        </w:docPartObj>
      </w:sdtPr>
      <w:sdtEndPr>
        <w:rPr>
          <w:noProof/>
        </w:rPr>
      </w:sdtEndPr>
      <w:sdtContent>
        <w:r w:rsidR="00F85A7C">
          <w:fldChar w:fldCharType="begin"/>
        </w:r>
        <w:r w:rsidR="00F85A7C">
          <w:instrText xml:space="preserve"> PAGE   \* MERGEFORMAT </w:instrText>
        </w:r>
        <w:r w:rsidR="00F85A7C">
          <w:fldChar w:fldCharType="separate"/>
        </w:r>
        <w:r w:rsidR="00F85A7C">
          <w:rPr>
            <w:noProof/>
          </w:rPr>
          <w:t>2</w:t>
        </w:r>
        <w:r w:rsidR="00F85A7C">
          <w:rPr>
            <w:noProof/>
          </w:rPr>
          <w:fldChar w:fldCharType="end"/>
        </w:r>
      </w:sdtContent>
    </w:sdt>
  </w:p>
  <w:p w14:paraId="0615F63C" w14:textId="77777777" w:rsidR="00F85A7C" w:rsidRDefault="00F8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B563" w14:textId="77777777" w:rsidR="00C220E3" w:rsidRDefault="00C220E3" w:rsidP="00F85A7C">
      <w:pPr>
        <w:spacing w:after="0" w:line="240" w:lineRule="auto"/>
      </w:pPr>
      <w:r>
        <w:separator/>
      </w:r>
    </w:p>
  </w:footnote>
  <w:footnote w:type="continuationSeparator" w:id="0">
    <w:p w14:paraId="62F9EC84" w14:textId="77777777" w:rsidR="00C220E3" w:rsidRDefault="00C220E3" w:rsidP="00F85A7C">
      <w:pPr>
        <w:spacing w:after="0" w:line="240" w:lineRule="auto"/>
      </w:pPr>
      <w:r>
        <w:continuationSeparator/>
      </w:r>
    </w:p>
  </w:footnote>
  <w:footnote w:type="continuationNotice" w:id="1">
    <w:p w14:paraId="20025123" w14:textId="77777777" w:rsidR="00C220E3" w:rsidRDefault="00C220E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FA"/>
    <w:multiLevelType w:val="hybridMultilevel"/>
    <w:tmpl w:val="FE96765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6A475A"/>
    <w:multiLevelType w:val="multilevel"/>
    <w:tmpl w:val="251C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BE55F8"/>
    <w:multiLevelType w:val="hybridMultilevel"/>
    <w:tmpl w:val="D1D0B042"/>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744A48"/>
    <w:multiLevelType w:val="multilevel"/>
    <w:tmpl w:val="D3422C1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1CF5D5D"/>
    <w:multiLevelType w:val="multilevel"/>
    <w:tmpl w:val="F628D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E7CE6"/>
    <w:multiLevelType w:val="multilevel"/>
    <w:tmpl w:val="66F2E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945CA0"/>
    <w:multiLevelType w:val="multilevel"/>
    <w:tmpl w:val="5F222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830E09"/>
    <w:multiLevelType w:val="multilevel"/>
    <w:tmpl w:val="1EEA7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06FC0"/>
    <w:multiLevelType w:val="hybridMultilevel"/>
    <w:tmpl w:val="AF944E80"/>
    <w:lvl w:ilvl="0" w:tplc="1488E334">
      <w:start w:val="1"/>
      <w:numFmt w:val="bullet"/>
      <w:lvlText w:val=""/>
      <w:lvlJc w:val="left"/>
      <w:pPr>
        <w:ind w:left="720" w:hanging="360"/>
      </w:pPr>
      <w:rPr>
        <w:rFonts w:ascii="Symbol" w:hAnsi="Symbol" w:hint="default"/>
      </w:rPr>
    </w:lvl>
    <w:lvl w:ilvl="1" w:tplc="CEE0016E">
      <w:start w:val="1"/>
      <w:numFmt w:val="bullet"/>
      <w:lvlText w:val="o"/>
      <w:lvlJc w:val="left"/>
      <w:pPr>
        <w:ind w:left="1440" w:hanging="360"/>
      </w:pPr>
      <w:rPr>
        <w:rFonts w:ascii="Courier New" w:hAnsi="Courier New" w:cs="Times New Roman" w:hint="default"/>
      </w:rPr>
    </w:lvl>
    <w:lvl w:ilvl="2" w:tplc="57969FC4">
      <w:start w:val="1"/>
      <w:numFmt w:val="bullet"/>
      <w:lvlText w:val=""/>
      <w:lvlJc w:val="left"/>
      <w:pPr>
        <w:ind w:left="2160" w:hanging="360"/>
      </w:pPr>
      <w:rPr>
        <w:rFonts w:ascii="Wingdings" w:hAnsi="Wingdings" w:hint="default"/>
      </w:rPr>
    </w:lvl>
    <w:lvl w:ilvl="3" w:tplc="C5FC02DA">
      <w:start w:val="1"/>
      <w:numFmt w:val="bullet"/>
      <w:lvlText w:val=""/>
      <w:lvlJc w:val="left"/>
      <w:pPr>
        <w:ind w:left="2880" w:hanging="360"/>
      </w:pPr>
      <w:rPr>
        <w:rFonts w:ascii="Symbol" w:hAnsi="Symbol" w:hint="default"/>
      </w:rPr>
    </w:lvl>
    <w:lvl w:ilvl="4" w:tplc="DC5680EA">
      <w:start w:val="1"/>
      <w:numFmt w:val="bullet"/>
      <w:lvlText w:val="o"/>
      <w:lvlJc w:val="left"/>
      <w:pPr>
        <w:ind w:left="3600" w:hanging="360"/>
      </w:pPr>
      <w:rPr>
        <w:rFonts w:ascii="Courier New" w:hAnsi="Courier New" w:cs="Times New Roman" w:hint="default"/>
      </w:rPr>
    </w:lvl>
    <w:lvl w:ilvl="5" w:tplc="FAA8BFA0">
      <w:start w:val="1"/>
      <w:numFmt w:val="bullet"/>
      <w:lvlText w:val=""/>
      <w:lvlJc w:val="left"/>
      <w:pPr>
        <w:ind w:left="4320" w:hanging="360"/>
      </w:pPr>
      <w:rPr>
        <w:rFonts w:ascii="Wingdings" w:hAnsi="Wingdings" w:hint="default"/>
      </w:rPr>
    </w:lvl>
    <w:lvl w:ilvl="6" w:tplc="104A6648">
      <w:start w:val="1"/>
      <w:numFmt w:val="bullet"/>
      <w:lvlText w:val=""/>
      <w:lvlJc w:val="left"/>
      <w:pPr>
        <w:ind w:left="5040" w:hanging="360"/>
      </w:pPr>
      <w:rPr>
        <w:rFonts w:ascii="Symbol" w:hAnsi="Symbol" w:hint="default"/>
      </w:rPr>
    </w:lvl>
    <w:lvl w:ilvl="7" w:tplc="6CB0115E">
      <w:start w:val="1"/>
      <w:numFmt w:val="bullet"/>
      <w:lvlText w:val="o"/>
      <w:lvlJc w:val="left"/>
      <w:pPr>
        <w:ind w:left="5760" w:hanging="360"/>
      </w:pPr>
      <w:rPr>
        <w:rFonts w:ascii="Courier New" w:hAnsi="Courier New" w:cs="Times New Roman" w:hint="default"/>
      </w:rPr>
    </w:lvl>
    <w:lvl w:ilvl="8" w:tplc="B92200B4">
      <w:start w:val="1"/>
      <w:numFmt w:val="bullet"/>
      <w:lvlText w:val=""/>
      <w:lvlJc w:val="left"/>
      <w:pPr>
        <w:ind w:left="6480" w:hanging="360"/>
      </w:pPr>
      <w:rPr>
        <w:rFonts w:ascii="Wingdings" w:hAnsi="Wingdings" w:hint="default"/>
      </w:rPr>
    </w:lvl>
  </w:abstractNum>
  <w:abstractNum w:abstractNumId="9" w15:restartNumberingAfterBreak="0">
    <w:nsid w:val="1E8458B6"/>
    <w:multiLevelType w:val="multilevel"/>
    <w:tmpl w:val="F38278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73146CD"/>
    <w:multiLevelType w:val="hybridMultilevel"/>
    <w:tmpl w:val="CAE2CD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A2961"/>
    <w:multiLevelType w:val="multilevel"/>
    <w:tmpl w:val="66F2E988"/>
    <w:lvl w:ilvl="0">
      <w:start w:val="1"/>
      <w:numFmt w:val="upperLetter"/>
      <w:lvlText w:val="%1."/>
      <w:lvlJc w:val="left"/>
      <w:pPr>
        <w:ind w:left="360" w:hanging="360"/>
      </w:p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155D84"/>
    <w:multiLevelType w:val="hybridMultilevel"/>
    <w:tmpl w:val="A2D8B0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F4CBB"/>
    <w:multiLevelType w:val="multilevel"/>
    <w:tmpl w:val="B34AC8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631028B"/>
    <w:multiLevelType w:val="multilevel"/>
    <w:tmpl w:val="66F2E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C85563"/>
    <w:multiLevelType w:val="multilevel"/>
    <w:tmpl w:val="20EEC28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30A661F"/>
    <w:multiLevelType w:val="multilevel"/>
    <w:tmpl w:val="66F2E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3C02529"/>
    <w:multiLevelType w:val="hybridMultilevel"/>
    <w:tmpl w:val="E3C223CC"/>
    <w:lvl w:ilvl="0" w:tplc="C25249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048AF"/>
    <w:multiLevelType w:val="hybridMultilevel"/>
    <w:tmpl w:val="42B2020A"/>
    <w:lvl w:ilvl="0" w:tplc="74E63350">
      <w:start w:val="1"/>
      <w:numFmt w:val="decimal"/>
      <w:lvlText w:val="%1."/>
      <w:lvlJc w:val="left"/>
      <w:pPr>
        <w:ind w:left="720" w:hanging="360"/>
      </w:pPr>
    </w:lvl>
    <w:lvl w:ilvl="1" w:tplc="ECA4121E">
      <w:start w:val="1"/>
      <w:numFmt w:val="lowerLetter"/>
      <w:lvlText w:val="%2."/>
      <w:lvlJc w:val="left"/>
      <w:pPr>
        <w:ind w:left="1440" w:hanging="360"/>
      </w:pPr>
    </w:lvl>
    <w:lvl w:ilvl="2" w:tplc="6908B83C">
      <w:start w:val="1"/>
      <w:numFmt w:val="lowerRoman"/>
      <w:lvlText w:val="%3."/>
      <w:lvlJc w:val="right"/>
      <w:pPr>
        <w:ind w:left="2160" w:hanging="180"/>
      </w:pPr>
    </w:lvl>
    <w:lvl w:ilvl="3" w:tplc="7040A1D6">
      <w:start w:val="1"/>
      <w:numFmt w:val="decimal"/>
      <w:lvlText w:val="%4."/>
      <w:lvlJc w:val="left"/>
      <w:pPr>
        <w:ind w:left="2880" w:hanging="360"/>
      </w:pPr>
    </w:lvl>
    <w:lvl w:ilvl="4" w:tplc="4210AAD8">
      <w:start w:val="1"/>
      <w:numFmt w:val="lowerLetter"/>
      <w:lvlText w:val="%5."/>
      <w:lvlJc w:val="left"/>
      <w:pPr>
        <w:ind w:left="3600" w:hanging="360"/>
      </w:pPr>
    </w:lvl>
    <w:lvl w:ilvl="5" w:tplc="9AC60E80">
      <w:start w:val="1"/>
      <w:numFmt w:val="lowerRoman"/>
      <w:lvlText w:val="%6."/>
      <w:lvlJc w:val="right"/>
      <w:pPr>
        <w:ind w:left="4320" w:hanging="180"/>
      </w:pPr>
    </w:lvl>
    <w:lvl w:ilvl="6" w:tplc="82EAF07C">
      <w:start w:val="1"/>
      <w:numFmt w:val="decimal"/>
      <w:lvlText w:val="%7."/>
      <w:lvlJc w:val="left"/>
      <w:pPr>
        <w:ind w:left="5040" w:hanging="360"/>
      </w:pPr>
    </w:lvl>
    <w:lvl w:ilvl="7" w:tplc="533EF1CA">
      <w:start w:val="1"/>
      <w:numFmt w:val="lowerLetter"/>
      <w:lvlText w:val="%8."/>
      <w:lvlJc w:val="left"/>
      <w:pPr>
        <w:ind w:left="5760" w:hanging="360"/>
      </w:pPr>
    </w:lvl>
    <w:lvl w:ilvl="8" w:tplc="980EE7D0">
      <w:start w:val="1"/>
      <w:numFmt w:val="lowerRoman"/>
      <w:lvlText w:val="%9."/>
      <w:lvlJc w:val="right"/>
      <w:pPr>
        <w:ind w:left="6480" w:hanging="180"/>
      </w:pPr>
    </w:lvl>
  </w:abstractNum>
  <w:abstractNum w:abstractNumId="19" w15:restartNumberingAfterBreak="0">
    <w:nsid w:val="5BAF7F76"/>
    <w:multiLevelType w:val="multilevel"/>
    <w:tmpl w:val="522CBEC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486DF5"/>
    <w:multiLevelType w:val="hybridMultilevel"/>
    <w:tmpl w:val="6394A670"/>
    <w:lvl w:ilvl="0" w:tplc="B394B76A">
      <w:start w:val="1"/>
      <w:numFmt w:val="upperLetter"/>
      <w:lvlText w:val="%1."/>
      <w:lvlJc w:val="left"/>
      <w:pPr>
        <w:ind w:left="720" w:hanging="360"/>
      </w:pPr>
    </w:lvl>
    <w:lvl w:ilvl="1" w:tplc="D4787708">
      <w:start w:val="1"/>
      <w:numFmt w:val="lowerLetter"/>
      <w:lvlText w:val="%2."/>
      <w:lvlJc w:val="left"/>
      <w:pPr>
        <w:ind w:left="1440" w:hanging="360"/>
      </w:pPr>
    </w:lvl>
    <w:lvl w:ilvl="2" w:tplc="CE947F64">
      <w:start w:val="1"/>
      <w:numFmt w:val="lowerRoman"/>
      <w:lvlText w:val="%3."/>
      <w:lvlJc w:val="right"/>
      <w:pPr>
        <w:ind w:left="2160" w:hanging="180"/>
      </w:pPr>
    </w:lvl>
    <w:lvl w:ilvl="3" w:tplc="C69CCC74">
      <w:start w:val="1"/>
      <w:numFmt w:val="decimal"/>
      <w:lvlText w:val="%4."/>
      <w:lvlJc w:val="left"/>
      <w:pPr>
        <w:ind w:left="2880" w:hanging="360"/>
      </w:pPr>
    </w:lvl>
    <w:lvl w:ilvl="4" w:tplc="3160B5D2">
      <w:start w:val="1"/>
      <w:numFmt w:val="lowerLetter"/>
      <w:lvlText w:val="%5."/>
      <w:lvlJc w:val="left"/>
      <w:pPr>
        <w:ind w:left="3600" w:hanging="360"/>
      </w:pPr>
    </w:lvl>
    <w:lvl w:ilvl="5" w:tplc="DCAEA704">
      <w:start w:val="1"/>
      <w:numFmt w:val="lowerRoman"/>
      <w:lvlText w:val="%6."/>
      <w:lvlJc w:val="right"/>
      <w:pPr>
        <w:ind w:left="4320" w:hanging="180"/>
      </w:pPr>
    </w:lvl>
    <w:lvl w:ilvl="6" w:tplc="B2ACF09A">
      <w:start w:val="1"/>
      <w:numFmt w:val="decimal"/>
      <w:lvlText w:val="%7."/>
      <w:lvlJc w:val="left"/>
      <w:pPr>
        <w:ind w:left="5040" w:hanging="360"/>
      </w:pPr>
    </w:lvl>
    <w:lvl w:ilvl="7" w:tplc="E3689284">
      <w:start w:val="1"/>
      <w:numFmt w:val="lowerLetter"/>
      <w:lvlText w:val="%8."/>
      <w:lvlJc w:val="left"/>
      <w:pPr>
        <w:ind w:left="5760" w:hanging="360"/>
      </w:pPr>
    </w:lvl>
    <w:lvl w:ilvl="8" w:tplc="588454A2">
      <w:start w:val="1"/>
      <w:numFmt w:val="lowerRoman"/>
      <w:lvlText w:val="%9."/>
      <w:lvlJc w:val="right"/>
      <w:pPr>
        <w:ind w:left="6480" w:hanging="180"/>
      </w:pPr>
    </w:lvl>
  </w:abstractNum>
  <w:abstractNum w:abstractNumId="21" w15:restartNumberingAfterBreak="0">
    <w:nsid w:val="76100F48"/>
    <w:multiLevelType w:val="multilevel"/>
    <w:tmpl w:val="CF2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7F221A"/>
    <w:multiLevelType w:val="multilevel"/>
    <w:tmpl w:val="66F2E98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BA837DA"/>
    <w:multiLevelType w:val="hybridMultilevel"/>
    <w:tmpl w:val="EBA819EC"/>
    <w:lvl w:ilvl="0" w:tplc="D0583688">
      <w:start w:val="1"/>
      <w:numFmt w:val="bullet"/>
      <w:lvlText w:val=""/>
      <w:lvlJc w:val="left"/>
      <w:pPr>
        <w:ind w:left="720" w:hanging="360"/>
      </w:pPr>
      <w:rPr>
        <w:rFonts w:ascii="Symbol" w:hAnsi="Symbol" w:hint="default"/>
      </w:rPr>
    </w:lvl>
    <w:lvl w:ilvl="1" w:tplc="73389440">
      <w:start w:val="1"/>
      <w:numFmt w:val="bullet"/>
      <w:lvlText w:val="o"/>
      <w:lvlJc w:val="left"/>
      <w:pPr>
        <w:ind w:left="1440" w:hanging="360"/>
      </w:pPr>
      <w:rPr>
        <w:rFonts w:ascii="Courier New" w:hAnsi="Courier New" w:cs="Times New Roman" w:hint="default"/>
      </w:rPr>
    </w:lvl>
    <w:lvl w:ilvl="2" w:tplc="BE122EA4">
      <w:start w:val="1"/>
      <w:numFmt w:val="bullet"/>
      <w:lvlText w:val=""/>
      <w:lvlJc w:val="left"/>
      <w:pPr>
        <w:ind w:left="2160" w:hanging="360"/>
      </w:pPr>
      <w:rPr>
        <w:rFonts w:ascii="Wingdings" w:hAnsi="Wingdings" w:hint="default"/>
      </w:rPr>
    </w:lvl>
    <w:lvl w:ilvl="3" w:tplc="D2360CE8">
      <w:start w:val="1"/>
      <w:numFmt w:val="bullet"/>
      <w:lvlText w:val=""/>
      <w:lvlJc w:val="left"/>
      <w:pPr>
        <w:ind w:left="2880" w:hanging="360"/>
      </w:pPr>
      <w:rPr>
        <w:rFonts w:ascii="Symbol" w:hAnsi="Symbol" w:hint="default"/>
      </w:rPr>
    </w:lvl>
    <w:lvl w:ilvl="4" w:tplc="94AE660C">
      <w:start w:val="1"/>
      <w:numFmt w:val="bullet"/>
      <w:lvlText w:val="o"/>
      <w:lvlJc w:val="left"/>
      <w:pPr>
        <w:ind w:left="3600" w:hanging="360"/>
      </w:pPr>
      <w:rPr>
        <w:rFonts w:ascii="Courier New" w:hAnsi="Courier New" w:cs="Times New Roman" w:hint="default"/>
      </w:rPr>
    </w:lvl>
    <w:lvl w:ilvl="5" w:tplc="3920DAA4">
      <w:start w:val="1"/>
      <w:numFmt w:val="bullet"/>
      <w:lvlText w:val=""/>
      <w:lvlJc w:val="left"/>
      <w:pPr>
        <w:ind w:left="4320" w:hanging="360"/>
      </w:pPr>
      <w:rPr>
        <w:rFonts w:ascii="Wingdings" w:hAnsi="Wingdings" w:hint="default"/>
      </w:rPr>
    </w:lvl>
    <w:lvl w:ilvl="6" w:tplc="81E0D016">
      <w:start w:val="1"/>
      <w:numFmt w:val="bullet"/>
      <w:lvlText w:val=""/>
      <w:lvlJc w:val="left"/>
      <w:pPr>
        <w:ind w:left="5040" w:hanging="360"/>
      </w:pPr>
      <w:rPr>
        <w:rFonts w:ascii="Symbol" w:hAnsi="Symbol" w:hint="default"/>
      </w:rPr>
    </w:lvl>
    <w:lvl w:ilvl="7" w:tplc="9550ACC6">
      <w:start w:val="1"/>
      <w:numFmt w:val="bullet"/>
      <w:lvlText w:val="o"/>
      <w:lvlJc w:val="left"/>
      <w:pPr>
        <w:ind w:left="5760" w:hanging="360"/>
      </w:pPr>
      <w:rPr>
        <w:rFonts w:ascii="Courier New" w:hAnsi="Courier New" w:cs="Times New Roman" w:hint="default"/>
      </w:rPr>
    </w:lvl>
    <w:lvl w:ilvl="8" w:tplc="CB82EFC2">
      <w:start w:val="1"/>
      <w:numFmt w:val="bullet"/>
      <w:lvlText w:val=""/>
      <w:lvlJc w:val="left"/>
      <w:pPr>
        <w:ind w:left="6480" w:hanging="360"/>
      </w:pPr>
      <w:rPr>
        <w:rFonts w:ascii="Wingdings" w:hAnsi="Wingdings" w:hint="default"/>
      </w:rPr>
    </w:lvl>
  </w:abstractNum>
  <w:abstractNum w:abstractNumId="24" w15:restartNumberingAfterBreak="0">
    <w:nsid w:val="7BF243A0"/>
    <w:multiLevelType w:val="multilevel"/>
    <w:tmpl w:val="3E6887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8950003">
    <w:abstractNumId w:val="20"/>
  </w:num>
  <w:num w:numId="2" w16cid:durableId="575866618">
    <w:abstractNumId w:val="17"/>
  </w:num>
  <w:num w:numId="3" w16cid:durableId="2084255861">
    <w:abstractNumId w:val="13"/>
  </w:num>
  <w:num w:numId="4" w16cid:durableId="809202465">
    <w:abstractNumId w:val="15"/>
  </w:num>
  <w:num w:numId="5" w16cid:durableId="431823643">
    <w:abstractNumId w:val="9"/>
  </w:num>
  <w:num w:numId="6" w16cid:durableId="43023012">
    <w:abstractNumId w:val="3"/>
  </w:num>
  <w:num w:numId="7" w16cid:durableId="1151949571">
    <w:abstractNumId w:val="1"/>
  </w:num>
  <w:num w:numId="8" w16cid:durableId="1034966100">
    <w:abstractNumId w:val="4"/>
  </w:num>
  <w:num w:numId="9" w16cid:durableId="1748110606">
    <w:abstractNumId w:val="6"/>
  </w:num>
  <w:num w:numId="10" w16cid:durableId="2105415580">
    <w:abstractNumId w:val="0"/>
  </w:num>
  <w:num w:numId="11" w16cid:durableId="1692294258">
    <w:abstractNumId w:val="14"/>
  </w:num>
  <w:num w:numId="12" w16cid:durableId="1624113713">
    <w:abstractNumId w:val="16"/>
  </w:num>
  <w:num w:numId="13" w16cid:durableId="913129191">
    <w:abstractNumId w:val="19"/>
  </w:num>
  <w:num w:numId="14" w16cid:durableId="1233807314">
    <w:abstractNumId w:val="10"/>
  </w:num>
  <w:num w:numId="15" w16cid:durableId="153568141">
    <w:abstractNumId w:val="12"/>
  </w:num>
  <w:num w:numId="16" w16cid:durableId="688336045">
    <w:abstractNumId w:val="11"/>
  </w:num>
  <w:num w:numId="17" w16cid:durableId="6855262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12908521">
    <w:abstractNumId w:val="23"/>
  </w:num>
  <w:num w:numId="19" w16cid:durableId="1437679073">
    <w:abstractNumId w:val="8"/>
  </w:num>
  <w:num w:numId="20" w16cid:durableId="525992044">
    <w:abstractNumId w:val="21"/>
  </w:num>
  <w:num w:numId="21" w16cid:durableId="1625885661">
    <w:abstractNumId w:val="24"/>
  </w:num>
  <w:num w:numId="22" w16cid:durableId="1383212767">
    <w:abstractNumId w:val="7"/>
  </w:num>
  <w:num w:numId="23" w16cid:durableId="1479493809">
    <w:abstractNumId w:val="2"/>
  </w:num>
  <w:num w:numId="24" w16cid:durableId="1643343995">
    <w:abstractNumId w:val="22"/>
  </w:num>
  <w:num w:numId="25" w16cid:durableId="20008464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C1E1FC"/>
    <w:rsid w:val="0000245A"/>
    <w:rsid w:val="00006713"/>
    <w:rsid w:val="0001000A"/>
    <w:rsid w:val="00011781"/>
    <w:rsid w:val="0001299A"/>
    <w:rsid w:val="000269DA"/>
    <w:rsid w:val="00031553"/>
    <w:rsid w:val="000352C6"/>
    <w:rsid w:val="00040E5B"/>
    <w:rsid w:val="000538D0"/>
    <w:rsid w:val="000551FC"/>
    <w:rsid w:val="0006530C"/>
    <w:rsid w:val="00076D1A"/>
    <w:rsid w:val="000771E0"/>
    <w:rsid w:val="0008709E"/>
    <w:rsid w:val="00097BAB"/>
    <w:rsid w:val="000A172B"/>
    <w:rsid w:val="000B51D0"/>
    <w:rsid w:val="000C01C9"/>
    <w:rsid w:val="000C4986"/>
    <w:rsid w:val="000C6BF5"/>
    <w:rsid w:val="000D64F4"/>
    <w:rsid w:val="000F6497"/>
    <w:rsid w:val="00101008"/>
    <w:rsid w:val="00112712"/>
    <w:rsid w:val="001454D2"/>
    <w:rsid w:val="00147DBD"/>
    <w:rsid w:val="001577DF"/>
    <w:rsid w:val="00161F25"/>
    <w:rsid w:val="00165AB5"/>
    <w:rsid w:val="00166C29"/>
    <w:rsid w:val="0017767C"/>
    <w:rsid w:val="00181B4B"/>
    <w:rsid w:val="00185BDD"/>
    <w:rsid w:val="00190C3E"/>
    <w:rsid w:val="0019435C"/>
    <w:rsid w:val="001A72B7"/>
    <w:rsid w:val="001B5021"/>
    <w:rsid w:val="001B6674"/>
    <w:rsid w:val="001C113A"/>
    <w:rsid w:val="001C22E8"/>
    <w:rsid w:val="001C339F"/>
    <w:rsid w:val="001C5C48"/>
    <w:rsid w:val="001D5288"/>
    <w:rsid w:val="001E5F68"/>
    <w:rsid w:val="001E7FB7"/>
    <w:rsid w:val="001F033A"/>
    <w:rsid w:val="0021334B"/>
    <w:rsid w:val="00213C9E"/>
    <w:rsid w:val="00220C49"/>
    <w:rsid w:val="00223FC5"/>
    <w:rsid w:val="00233566"/>
    <w:rsid w:val="00243CD2"/>
    <w:rsid w:val="002563FD"/>
    <w:rsid w:val="00271C74"/>
    <w:rsid w:val="00283F90"/>
    <w:rsid w:val="0029064B"/>
    <w:rsid w:val="00297EE4"/>
    <w:rsid w:val="002A223A"/>
    <w:rsid w:val="002B09F8"/>
    <w:rsid w:val="002B154B"/>
    <w:rsid w:val="002B46FD"/>
    <w:rsid w:val="002B6F05"/>
    <w:rsid w:val="002C1A12"/>
    <w:rsid w:val="002C6445"/>
    <w:rsid w:val="002E48E9"/>
    <w:rsid w:val="002F2ADD"/>
    <w:rsid w:val="00305523"/>
    <w:rsid w:val="00311720"/>
    <w:rsid w:val="003125E9"/>
    <w:rsid w:val="0031425D"/>
    <w:rsid w:val="003348F8"/>
    <w:rsid w:val="00342EAE"/>
    <w:rsid w:val="00364E8C"/>
    <w:rsid w:val="0036673F"/>
    <w:rsid w:val="00366760"/>
    <w:rsid w:val="00372526"/>
    <w:rsid w:val="00386FD2"/>
    <w:rsid w:val="003955B5"/>
    <w:rsid w:val="003B3F7A"/>
    <w:rsid w:val="003D60A9"/>
    <w:rsid w:val="003F79F8"/>
    <w:rsid w:val="00411A2A"/>
    <w:rsid w:val="0041488F"/>
    <w:rsid w:val="00433586"/>
    <w:rsid w:val="00437027"/>
    <w:rsid w:val="0044499A"/>
    <w:rsid w:val="004510DD"/>
    <w:rsid w:val="004533AD"/>
    <w:rsid w:val="00457A8C"/>
    <w:rsid w:val="004642C9"/>
    <w:rsid w:val="00471FF9"/>
    <w:rsid w:val="0047388D"/>
    <w:rsid w:val="00483CBC"/>
    <w:rsid w:val="0048477A"/>
    <w:rsid w:val="00487BCB"/>
    <w:rsid w:val="004A21B2"/>
    <w:rsid w:val="004A72EF"/>
    <w:rsid w:val="004C3BC0"/>
    <w:rsid w:val="004D346E"/>
    <w:rsid w:val="004D6ED7"/>
    <w:rsid w:val="004E7EFA"/>
    <w:rsid w:val="004F06B6"/>
    <w:rsid w:val="004F69CB"/>
    <w:rsid w:val="00503785"/>
    <w:rsid w:val="00512FC1"/>
    <w:rsid w:val="00536F6F"/>
    <w:rsid w:val="00545610"/>
    <w:rsid w:val="00546C6C"/>
    <w:rsid w:val="00547578"/>
    <w:rsid w:val="00561DD9"/>
    <w:rsid w:val="0058239F"/>
    <w:rsid w:val="00584142"/>
    <w:rsid w:val="005920BB"/>
    <w:rsid w:val="00592C45"/>
    <w:rsid w:val="005975DB"/>
    <w:rsid w:val="005A0A39"/>
    <w:rsid w:val="005A1D84"/>
    <w:rsid w:val="005A2E40"/>
    <w:rsid w:val="005B4BD7"/>
    <w:rsid w:val="005B6584"/>
    <w:rsid w:val="005D0549"/>
    <w:rsid w:val="005E1525"/>
    <w:rsid w:val="005E4232"/>
    <w:rsid w:val="005F408D"/>
    <w:rsid w:val="005F74F4"/>
    <w:rsid w:val="006048CB"/>
    <w:rsid w:val="0061269E"/>
    <w:rsid w:val="00615E4B"/>
    <w:rsid w:val="0062407C"/>
    <w:rsid w:val="00634F71"/>
    <w:rsid w:val="00637AE7"/>
    <w:rsid w:val="00641112"/>
    <w:rsid w:val="0064398B"/>
    <w:rsid w:val="00645855"/>
    <w:rsid w:val="006642E0"/>
    <w:rsid w:val="00665351"/>
    <w:rsid w:val="00670166"/>
    <w:rsid w:val="006819DC"/>
    <w:rsid w:val="0069212F"/>
    <w:rsid w:val="006B3349"/>
    <w:rsid w:val="006B6132"/>
    <w:rsid w:val="006C47B1"/>
    <w:rsid w:val="006C78CE"/>
    <w:rsid w:val="006E0A06"/>
    <w:rsid w:val="006F4E55"/>
    <w:rsid w:val="00700FAD"/>
    <w:rsid w:val="00702501"/>
    <w:rsid w:val="00707D06"/>
    <w:rsid w:val="00713EA0"/>
    <w:rsid w:val="0072325C"/>
    <w:rsid w:val="00732E43"/>
    <w:rsid w:val="0073767E"/>
    <w:rsid w:val="00751A96"/>
    <w:rsid w:val="00757B1A"/>
    <w:rsid w:val="00762F30"/>
    <w:rsid w:val="00765555"/>
    <w:rsid w:val="0078686D"/>
    <w:rsid w:val="007913F9"/>
    <w:rsid w:val="007A56C0"/>
    <w:rsid w:val="007B01B4"/>
    <w:rsid w:val="007E6806"/>
    <w:rsid w:val="007F0B74"/>
    <w:rsid w:val="007F37D0"/>
    <w:rsid w:val="007F56BD"/>
    <w:rsid w:val="007F5961"/>
    <w:rsid w:val="008026D2"/>
    <w:rsid w:val="00817F2A"/>
    <w:rsid w:val="008551E6"/>
    <w:rsid w:val="00870A13"/>
    <w:rsid w:val="00871537"/>
    <w:rsid w:val="00894CA7"/>
    <w:rsid w:val="008A4DC5"/>
    <w:rsid w:val="008C3DA1"/>
    <w:rsid w:val="008E49A2"/>
    <w:rsid w:val="008F6B8A"/>
    <w:rsid w:val="00900A44"/>
    <w:rsid w:val="00901EE7"/>
    <w:rsid w:val="0090242C"/>
    <w:rsid w:val="009040FF"/>
    <w:rsid w:val="009220FE"/>
    <w:rsid w:val="009239DB"/>
    <w:rsid w:val="00923A64"/>
    <w:rsid w:val="00930B53"/>
    <w:rsid w:val="00932FA3"/>
    <w:rsid w:val="009353AB"/>
    <w:rsid w:val="009355C4"/>
    <w:rsid w:val="00960880"/>
    <w:rsid w:val="00963721"/>
    <w:rsid w:val="00996B55"/>
    <w:rsid w:val="009A05AE"/>
    <w:rsid w:val="009A19D1"/>
    <w:rsid w:val="009B22B9"/>
    <w:rsid w:val="009C4B40"/>
    <w:rsid w:val="009D34F9"/>
    <w:rsid w:val="009E3D25"/>
    <w:rsid w:val="00A0083B"/>
    <w:rsid w:val="00A13A28"/>
    <w:rsid w:val="00A16499"/>
    <w:rsid w:val="00A22206"/>
    <w:rsid w:val="00A579C8"/>
    <w:rsid w:val="00A57BBD"/>
    <w:rsid w:val="00A60F5C"/>
    <w:rsid w:val="00A67526"/>
    <w:rsid w:val="00A76656"/>
    <w:rsid w:val="00A85FB6"/>
    <w:rsid w:val="00A91559"/>
    <w:rsid w:val="00AA63D5"/>
    <w:rsid w:val="00AB5CA7"/>
    <w:rsid w:val="00AC4665"/>
    <w:rsid w:val="00AE612F"/>
    <w:rsid w:val="00AE74C2"/>
    <w:rsid w:val="00B056E1"/>
    <w:rsid w:val="00B11406"/>
    <w:rsid w:val="00B24022"/>
    <w:rsid w:val="00B24AB0"/>
    <w:rsid w:val="00B270E5"/>
    <w:rsid w:val="00B30BB1"/>
    <w:rsid w:val="00B33C7A"/>
    <w:rsid w:val="00B4127D"/>
    <w:rsid w:val="00B52A68"/>
    <w:rsid w:val="00B52D8A"/>
    <w:rsid w:val="00B71CCC"/>
    <w:rsid w:val="00B74CC4"/>
    <w:rsid w:val="00BB269C"/>
    <w:rsid w:val="00BC3EA5"/>
    <w:rsid w:val="00BD5F33"/>
    <w:rsid w:val="00BD7AFD"/>
    <w:rsid w:val="00BE2B1D"/>
    <w:rsid w:val="00BE60AE"/>
    <w:rsid w:val="00BE719D"/>
    <w:rsid w:val="00BF3F79"/>
    <w:rsid w:val="00C014E3"/>
    <w:rsid w:val="00C1486D"/>
    <w:rsid w:val="00C171F5"/>
    <w:rsid w:val="00C220E3"/>
    <w:rsid w:val="00C378FA"/>
    <w:rsid w:val="00C42897"/>
    <w:rsid w:val="00C51E43"/>
    <w:rsid w:val="00C852A3"/>
    <w:rsid w:val="00C87E3B"/>
    <w:rsid w:val="00C9742A"/>
    <w:rsid w:val="00CA66B0"/>
    <w:rsid w:val="00CB119B"/>
    <w:rsid w:val="00CE3806"/>
    <w:rsid w:val="00D01927"/>
    <w:rsid w:val="00D1122C"/>
    <w:rsid w:val="00D17A02"/>
    <w:rsid w:val="00D20963"/>
    <w:rsid w:val="00D214EE"/>
    <w:rsid w:val="00D277EF"/>
    <w:rsid w:val="00D27C5E"/>
    <w:rsid w:val="00D3706F"/>
    <w:rsid w:val="00D40C11"/>
    <w:rsid w:val="00D40E74"/>
    <w:rsid w:val="00D461FD"/>
    <w:rsid w:val="00D50DAF"/>
    <w:rsid w:val="00D52A8A"/>
    <w:rsid w:val="00D62809"/>
    <w:rsid w:val="00D62B36"/>
    <w:rsid w:val="00D6641F"/>
    <w:rsid w:val="00D72134"/>
    <w:rsid w:val="00D75E6C"/>
    <w:rsid w:val="00D83E89"/>
    <w:rsid w:val="00D9196D"/>
    <w:rsid w:val="00D95E66"/>
    <w:rsid w:val="00D9710B"/>
    <w:rsid w:val="00DA30E0"/>
    <w:rsid w:val="00DD689D"/>
    <w:rsid w:val="00DF2246"/>
    <w:rsid w:val="00DF373B"/>
    <w:rsid w:val="00E021B6"/>
    <w:rsid w:val="00E22C25"/>
    <w:rsid w:val="00E316B0"/>
    <w:rsid w:val="00E36DF8"/>
    <w:rsid w:val="00E403EB"/>
    <w:rsid w:val="00E42041"/>
    <w:rsid w:val="00E7610E"/>
    <w:rsid w:val="00E825BD"/>
    <w:rsid w:val="00E859BE"/>
    <w:rsid w:val="00E97826"/>
    <w:rsid w:val="00EA5B46"/>
    <w:rsid w:val="00EA62D0"/>
    <w:rsid w:val="00EB52D5"/>
    <w:rsid w:val="00F03E76"/>
    <w:rsid w:val="00F148F6"/>
    <w:rsid w:val="00F1749A"/>
    <w:rsid w:val="00F230CF"/>
    <w:rsid w:val="00F44F18"/>
    <w:rsid w:val="00F5701D"/>
    <w:rsid w:val="00F726A3"/>
    <w:rsid w:val="00F72B44"/>
    <w:rsid w:val="00F76229"/>
    <w:rsid w:val="00F85A7C"/>
    <w:rsid w:val="00F85E1A"/>
    <w:rsid w:val="00FB2236"/>
    <w:rsid w:val="00FB3077"/>
    <w:rsid w:val="00FC43C0"/>
    <w:rsid w:val="00FE1262"/>
    <w:rsid w:val="00FE7EFF"/>
    <w:rsid w:val="00FF62CB"/>
    <w:rsid w:val="0186C339"/>
    <w:rsid w:val="049941D8"/>
    <w:rsid w:val="05BB79A0"/>
    <w:rsid w:val="0F250591"/>
    <w:rsid w:val="1A48C166"/>
    <w:rsid w:val="1D9289B8"/>
    <w:rsid w:val="206BF5B7"/>
    <w:rsid w:val="23C21BAB"/>
    <w:rsid w:val="255DEC0C"/>
    <w:rsid w:val="277256BE"/>
    <w:rsid w:val="290E271F"/>
    <w:rsid w:val="338785C4"/>
    <w:rsid w:val="371FD463"/>
    <w:rsid w:val="37F28173"/>
    <w:rsid w:val="398E51D4"/>
    <w:rsid w:val="3BDA1D29"/>
    <w:rsid w:val="469A43BD"/>
    <w:rsid w:val="46BB4CE8"/>
    <w:rsid w:val="591A7980"/>
    <w:rsid w:val="59A157EB"/>
    <w:rsid w:val="625612D1"/>
    <w:rsid w:val="653A8944"/>
    <w:rsid w:val="657C3EEA"/>
    <w:rsid w:val="65B94853"/>
    <w:rsid w:val="6613C219"/>
    <w:rsid w:val="68C1E1FC"/>
    <w:rsid w:val="6B431526"/>
    <w:rsid w:val="6BE3161E"/>
    <w:rsid w:val="6F2AC32F"/>
    <w:rsid w:val="6F720CD8"/>
    <w:rsid w:val="702EAABF"/>
    <w:rsid w:val="7078E5CD"/>
    <w:rsid w:val="764D6343"/>
    <w:rsid w:val="76F613E6"/>
    <w:rsid w:val="7BD0CF5A"/>
    <w:rsid w:val="7F8B9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E1FC"/>
  <w15:chartTrackingRefBased/>
  <w15:docId w15:val="{9D3B13C6-CE1C-4132-AD5B-A53DB549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72EF"/>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36DF8"/>
  </w:style>
  <w:style w:type="character" w:customStyle="1" w:styleId="eop">
    <w:name w:val="eop"/>
    <w:basedOn w:val="DefaultParagraphFont"/>
    <w:rsid w:val="00E36DF8"/>
  </w:style>
  <w:style w:type="character" w:styleId="CommentReference">
    <w:name w:val="annotation reference"/>
    <w:basedOn w:val="DefaultParagraphFont"/>
    <w:uiPriority w:val="99"/>
    <w:semiHidden/>
    <w:unhideWhenUsed/>
    <w:rsid w:val="00457A8C"/>
    <w:rPr>
      <w:sz w:val="16"/>
      <w:szCs w:val="16"/>
    </w:rPr>
  </w:style>
  <w:style w:type="paragraph" w:styleId="CommentText">
    <w:name w:val="annotation text"/>
    <w:basedOn w:val="Normal"/>
    <w:link w:val="CommentTextChar"/>
    <w:uiPriority w:val="99"/>
    <w:unhideWhenUsed/>
    <w:rsid w:val="00457A8C"/>
    <w:pPr>
      <w:spacing w:line="240" w:lineRule="auto"/>
    </w:pPr>
    <w:rPr>
      <w:sz w:val="20"/>
      <w:szCs w:val="20"/>
    </w:rPr>
  </w:style>
  <w:style w:type="character" w:customStyle="1" w:styleId="CommentTextChar">
    <w:name w:val="Comment Text Char"/>
    <w:basedOn w:val="DefaultParagraphFont"/>
    <w:link w:val="CommentText"/>
    <w:uiPriority w:val="99"/>
    <w:rsid w:val="00457A8C"/>
    <w:rPr>
      <w:sz w:val="20"/>
      <w:szCs w:val="20"/>
    </w:rPr>
  </w:style>
  <w:style w:type="paragraph" w:styleId="CommentSubject">
    <w:name w:val="annotation subject"/>
    <w:basedOn w:val="CommentText"/>
    <w:next w:val="CommentText"/>
    <w:link w:val="CommentSubjectChar"/>
    <w:uiPriority w:val="99"/>
    <w:semiHidden/>
    <w:unhideWhenUsed/>
    <w:rsid w:val="00457A8C"/>
    <w:rPr>
      <w:b/>
      <w:bCs/>
    </w:rPr>
  </w:style>
  <w:style w:type="character" w:customStyle="1" w:styleId="CommentSubjectChar">
    <w:name w:val="Comment Subject Char"/>
    <w:basedOn w:val="CommentTextChar"/>
    <w:link w:val="CommentSubject"/>
    <w:uiPriority w:val="99"/>
    <w:semiHidden/>
    <w:rsid w:val="00457A8C"/>
    <w:rPr>
      <w:b/>
      <w:bCs/>
      <w:sz w:val="20"/>
      <w:szCs w:val="20"/>
    </w:rPr>
  </w:style>
  <w:style w:type="character" w:styleId="Mention">
    <w:name w:val="Mention"/>
    <w:basedOn w:val="DefaultParagraphFont"/>
    <w:uiPriority w:val="99"/>
    <w:unhideWhenUsed/>
    <w:rsid w:val="00457A8C"/>
    <w:rPr>
      <w:color w:val="2B579A"/>
      <w:shd w:val="clear" w:color="auto" w:fill="E1DFDD"/>
    </w:rPr>
  </w:style>
  <w:style w:type="paragraph" w:styleId="ListParagraph">
    <w:name w:val="List Paragraph"/>
    <w:basedOn w:val="Normal"/>
    <w:uiPriority w:val="34"/>
    <w:qFormat/>
    <w:rsid w:val="00FC43C0"/>
    <w:pPr>
      <w:ind w:left="720"/>
      <w:contextualSpacing/>
    </w:pPr>
  </w:style>
  <w:style w:type="paragraph" w:customStyle="1" w:styleId="paragraph">
    <w:name w:val="paragraph"/>
    <w:basedOn w:val="Normal"/>
    <w:rsid w:val="0037252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0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19B"/>
    <w:rPr>
      <w:color w:val="0563C1" w:themeColor="hyperlink"/>
      <w:u w:val="single"/>
    </w:rPr>
  </w:style>
  <w:style w:type="character" w:styleId="UnresolvedMention">
    <w:name w:val="Unresolved Mention"/>
    <w:basedOn w:val="DefaultParagraphFont"/>
    <w:uiPriority w:val="99"/>
    <w:semiHidden/>
    <w:unhideWhenUsed/>
    <w:rsid w:val="00CB119B"/>
    <w:rPr>
      <w:color w:val="605E5C"/>
      <w:shd w:val="clear" w:color="auto" w:fill="E1DFDD"/>
    </w:rPr>
  </w:style>
  <w:style w:type="paragraph" w:styleId="Header">
    <w:name w:val="header"/>
    <w:basedOn w:val="Normal"/>
    <w:link w:val="HeaderChar"/>
    <w:uiPriority w:val="99"/>
    <w:unhideWhenUsed/>
    <w:rsid w:val="00F8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A7C"/>
  </w:style>
  <w:style w:type="paragraph" w:styleId="Footer">
    <w:name w:val="footer"/>
    <w:basedOn w:val="Normal"/>
    <w:link w:val="FooterChar"/>
    <w:uiPriority w:val="99"/>
    <w:unhideWhenUsed/>
    <w:rsid w:val="00F8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A7C"/>
  </w:style>
  <w:style w:type="paragraph" w:styleId="Revision">
    <w:name w:val="Revision"/>
    <w:hidden/>
    <w:uiPriority w:val="99"/>
    <w:semiHidden/>
    <w:rsid w:val="00BB269C"/>
    <w:pPr>
      <w:spacing w:after="0" w:line="240" w:lineRule="auto"/>
    </w:pPr>
  </w:style>
  <w:style w:type="character" w:customStyle="1" w:styleId="Heading2Char">
    <w:name w:val="Heading 2 Char"/>
    <w:basedOn w:val="DefaultParagraphFont"/>
    <w:link w:val="Heading2"/>
    <w:uiPriority w:val="9"/>
    <w:rsid w:val="004A72EF"/>
    <w:rPr>
      <w:b/>
      <w:bCs/>
    </w:rPr>
  </w:style>
  <w:style w:type="character" w:customStyle="1" w:styleId="Heading1Char">
    <w:name w:val="Heading 1 Char"/>
    <w:basedOn w:val="DefaultParagraphFont"/>
    <w:link w:val="Heading1"/>
    <w:uiPriority w:val="9"/>
    <w:rsid w:val="00B71CC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1CCC"/>
    <w:pPr>
      <w:outlineLvl w:val="9"/>
    </w:pPr>
  </w:style>
  <w:style w:type="paragraph" w:styleId="TOC2">
    <w:name w:val="toc 2"/>
    <w:basedOn w:val="Normal"/>
    <w:next w:val="Normal"/>
    <w:autoRedefine/>
    <w:uiPriority w:val="39"/>
    <w:unhideWhenUsed/>
    <w:rsid w:val="00B71CC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05734">
      <w:bodyDiv w:val="1"/>
      <w:marLeft w:val="0"/>
      <w:marRight w:val="0"/>
      <w:marTop w:val="0"/>
      <w:marBottom w:val="0"/>
      <w:divBdr>
        <w:top w:val="none" w:sz="0" w:space="0" w:color="auto"/>
        <w:left w:val="none" w:sz="0" w:space="0" w:color="auto"/>
        <w:bottom w:val="none" w:sz="0" w:space="0" w:color="auto"/>
        <w:right w:val="none" w:sz="0" w:space="0" w:color="auto"/>
      </w:divBdr>
    </w:div>
    <w:div w:id="346256127">
      <w:bodyDiv w:val="1"/>
      <w:marLeft w:val="0"/>
      <w:marRight w:val="0"/>
      <w:marTop w:val="0"/>
      <w:marBottom w:val="0"/>
      <w:divBdr>
        <w:top w:val="none" w:sz="0" w:space="0" w:color="auto"/>
        <w:left w:val="none" w:sz="0" w:space="0" w:color="auto"/>
        <w:bottom w:val="none" w:sz="0" w:space="0" w:color="auto"/>
        <w:right w:val="none" w:sz="0" w:space="0" w:color="auto"/>
      </w:divBdr>
    </w:div>
    <w:div w:id="739058932">
      <w:bodyDiv w:val="1"/>
      <w:marLeft w:val="0"/>
      <w:marRight w:val="0"/>
      <w:marTop w:val="0"/>
      <w:marBottom w:val="0"/>
      <w:divBdr>
        <w:top w:val="none" w:sz="0" w:space="0" w:color="auto"/>
        <w:left w:val="none" w:sz="0" w:space="0" w:color="auto"/>
        <w:bottom w:val="none" w:sz="0" w:space="0" w:color="auto"/>
        <w:right w:val="none" w:sz="0" w:space="0" w:color="auto"/>
      </w:divBdr>
      <w:divsChild>
        <w:div w:id="898249389">
          <w:marLeft w:val="0"/>
          <w:marRight w:val="0"/>
          <w:marTop w:val="0"/>
          <w:marBottom w:val="0"/>
          <w:divBdr>
            <w:top w:val="none" w:sz="0" w:space="0" w:color="auto"/>
            <w:left w:val="none" w:sz="0" w:space="0" w:color="auto"/>
            <w:bottom w:val="none" w:sz="0" w:space="0" w:color="auto"/>
            <w:right w:val="none" w:sz="0" w:space="0" w:color="auto"/>
          </w:divBdr>
          <w:divsChild>
            <w:div w:id="744911301">
              <w:marLeft w:val="0"/>
              <w:marRight w:val="0"/>
              <w:marTop w:val="0"/>
              <w:marBottom w:val="0"/>
              <w:divBdr>
                <w:top w:val="none" w:sz="0" w:space="0" w:color="auto"/>
                <w:left w:val="none" w:sz="0" w:space="0" w:color="auto"/>
                <w:bottom w:val="none" w:sz="0" w:space="0" w:color="auto"/>
                <w:right w:val="none" w:sz="0" w:space="0" w:color="auto"/>
              </w:divBdr>
            </w:div>
          </w:divsChild>
        </w:div>
        <w:div w:id="1050373943">
          <w:marLeft w:val="0"/>
          <w:marRight w:val="0"/>
          <w:marTop w:val="0"/>
          <w:marBottom w:val="0"/>
          <w:divBdr>
            <w:top w:val="none" w:sz="0" w:space="0" w:color="auto"/>
            <w:left w:val="none" w:sz="0" w:space="0" w:color="auto"/>
            <w:bottom w:val="none" w:sz="0" w:space="0" w:color="auto"/>
            <w:right w:val="none" w:sz="0" w:space="0" w:color="auto"/>
          </w:divBdr>
          <w:divsChild>
            <w:div w:id="384447345">
              <w:marLeft w:val="0"/>
              <w:marRight w:val="0"/>
              <w:marTop w:val="0"/>
              <w:marBottom w:val="0"/>
              <w:divBdr>
                <w:top w:val="none" w:sz="0" w:space="0" w:color="auto"/>
                <w:left w:val="none" w:sz="0" w:space="0" w:color="auto"/>
                <w:bottom w:val="none" w:sz="0" w:space="0" w:color="auto"/>
                <w:right w:val="none" w:sz="0" w:space="0" w:color="auto"/>
              </w:divBdr>
            </w:div>
            <w:div w:id="1182744782">
              <w:marLeft w:val="0"/>
              <w:marRight w:val="0"/>
              <w:marTop w:val="0"/>
              <w:marBottom w:val="0"/>
              <w:divBdr>
                <w:top w:val="none" w:sz="0" w:space="0" w:color="auto"/>
                <w:left w:val="none" w:sz="0" w:space="0" w:color="auto"/>
                <w:bottom w:val="none" w:sz="0" w:space="0" w:color="auto"/>
                <w:right w:val="none" w:sz="0" w:space="0" w:color="auto"/>
              </w:divBdr>
            </w:div>
            <w:div w:id="16255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0946">
      <w:bodyDiv w:val="1"/>
      <w:marLeft w:val="0"/>
      <w:marRight w:val="0"/>
      <w:marTop w:val="0"/>
      <w:marBottom w:val="0"/>
      <w:divBdr>
        <w:top w:val="none" w:sz="0" w:space="0" w:color="auto"/>
        <w:left w:val="none" w:sz="0" w:space="0" w:color="auto"/>
        <w:bottom w:val="none" w:sz="0" w:space="0" w:color="auto"/>
        <w:right w:val="none" w:sz="0" w:space="0" w:color="auto"/>
      </w:divBdr>
    </w:div>
    <w:div w:id="925847921">
      <w:bodyDiv w:val="1"/>
      <w:marLeft w:val="0"/>
      <w:marRight w:val="0"/>
      <w:marTop w:val="0"/>
      <w:marBottom w:val="0"/>
      <w:divBdr>
        <w:top w:val="none" w:sz="0" w:space="0" w:color="auto"/>
        <w:left w:val="none" w:sz="0" w:space="0" w:color="auto"/>
        <w:bottom w:val="none" w:sz="0" w:space="0" w:color="auto"/>
        <w:right w:val="none" w:sz="0" w:space="0" w:color="auto"/>
      </w:divBdr>
      <w:divsChild>
        <w:div w:id="254830507">
          <w:marLeft w:val="0"/>
          <w:marRight w:val="0"/>
          <w:marTop w:val="0"/>
          <w:marBottom w:val="0"/>
          <w:divBdr>
            <w:top w:val="none" w:sz="0" w:space="0" w:color="auto"/>
            <w:left w:val="none" w:sz="0" w:space="0" w:color="auto"/>
            <w:bottom w:val="none" w:sz="0" w:space="0" w:color="auto"/>
            <w:right w:val="none" w:sz="0" w:space="0" w:color="auto"/>
          </w:divBdr>
        </w:div>
        <w:div w:id="595209870">
          <w:marLeft w:val="0"/>
          <w:marRight w:val="0"/>
          <w:marTop w:val="0"/>
          <w:marBottom w:val="0"/>
          <w:divBdr>
            <w:top w:val="none" w:sz="0" w:space="0" w:color="auto"/>
            <w:left w:val="none" w:sz="0" w:space="0" w:color="auto"/>
            <w:bottom w:val="none" w:sz="0" w:space="0" w:color="auto"/>
            <w:right w:val="none" w:sz="0" w:space="0" w:color="auto"/>
          </w:divBdr>
        </w:div>
        <w:div w:id="748310267">
          <w:marLeft w:val="0"/>
          <w:marRight w:val="0"/>
          <w:marTop w:val="0"/>
          <w:marBottom w:val="0"/>
          <w:divBdr>
            <w:top w:val="none" w:sz="0" w:space="0" w:color="auto"/>
            <w:left w:val="none" w:sz="0" w:space="0" w:color="auto"/>
            <w:bottom w:val="none" w:sz="0" w:space="0" w:color="auto"/>
            <w:right w:val="none" w:sz="0" w:space="0" w:color="auto"/>
          </w:divBdr>
        </w:div>
      </w:divsChild>
    </w:div>
    <w:div w:id="1853958119">
      <w:bodyDiv w:val="1"/>
      <w:marLeft w:val="0"/>
      <w:marRight w:val="0"/>
      <w:marTop w:val="0"/>
      <w:marBottom w:val="0"/>
      <w:divBdr>
        <w:top w:val="none" w:sz="0" w:space="0" w:color="auto"/>
        <w:left w:val="none" w:sz="0" w:space="0" w:color="auto"/>
        <w:bottom w:val="none" w:sz="0" w:space="0" w:color="auto"/>
        <w:right w:val="none" w:sz="0" w:space="0" w:color="auto"/>
      </w:divBdr>
      <w:divsChild>
        <w:div w:id="1424763697">
          <w:marLeft w:val="0"/>
          <w:marRight w:val="0"/>
          <w:marTop w:val="0"/>
          <w:marBottom w:val="0"/>
          <w:divBdr>
            <w:top w:val="none" w:sz="0" w:space="0" w:color="auto"/>
            <w:left w:val="none" w:sz="0" w:space="0" w:color="auto"/>
            <w:bottom w:val="none" w:sz="0" w:space="0" w:color="auto"/>
            <w:right w:val="none" w:sz="0" w:space="0" w:color="auto"/>
          </w:divBdr>
        </w:div>
        <w:div w:id="429855119">
          <w:marLeft w:val="0"/>
          <w:marRight w:val="0"/>
          <w:marTop w:val="0"/>
          <w:marBottom w:val="0"/>
          <w:divBdr>
            <w:top w:val="none" w:sz="0" w:space="0" w:color="auto"/>
            <w:left w:val="none" w:sz="0" w:space="0" w:color="auto"/>
            <w:bottom w:val="none" w:sz="0" w:space="0" w:color="auto"/>
            <w:right w:val="none" w:sz="0" w:space="0" w:color="auto"/>
          </w:divBdr>
        </w:div>
        <w:div w:id="2023819718">
          <w:marLeft w:val="0"/>
          <w:marRight w:val="0"/>
          <w:marTop w:val="0"/>
          <w:marBottom w:val="0"/>
          <w:divBdr>
            <w:top w:val="none" w:sz="0" w:space="0" w:color="auto"/>
            <w:left w:val="none" w:sz="0" w:space="0" w:color="auto"/>
            <w:bottom w:val="none" w:sz="0" w:space="0" w:color="auto"/>
            <w:right w:val="none" w:sz="0" w:space="0" w:color="auto"/>
          </w:divBdr>
        </w:div>
      </w:divsChild>
    </w:div>
    <w:div w:id="2107924461">
      <w:bodyDiv w:val="1"/>
      <w:marLeft w:val="0"/>
      <w:marRight w:val="0"/>
      <w:marTop w:val="0"/>
      <w:marBottom w:val="0"/>
      <w:divBdr>
        <w:top w:val="none" w:sz="0" w:space="0" w:color="auto"/>
        <w:left w:val="none" w:sz="0" w:space="0" w:color="auto"/>
        <w:bottom w:val="none" w:sz="0" w:space="0" w:color="auto"/>
        <w:right w:val="none" w:sz="0" w:space="0" w:color="auto"/>
      </w:divBdr>
      <w:divsChild>
        <w:div w:id="65887423">
          <w:marLeft w:val="0"/>
          <w:marRight w:val="0"/>
          <w:marTop w:val="0"/>
          <w:marBottom w:val="0"/>
          <w:divBdr>
            <w:top w:val="none" w:sz="0" w:space="0" w:color="auto"/>
            <w:left w:val="none" w:sz="0" w:space="0" w:color="auto"/>
            <w:bottom w:val="none" w:sz="0" w:space="0" w:color="auto"/>
            <w:right w:val="none" w:sz="0" w:space="0" w:color="auto"/>
          </w:divBdr>
        </w:div>
        <w:div w:id="96096924">
          <w:marLeft w:val="0"/>
          <w:marRight w:val="0"/>
          <w:marTop w:val="0"/>
          <w:marBottom w:val="0"/>
          <w:divBdr>
            <w:top w:val="none" w:sz="0" w:space="0" w:color="auto"/>
            <w:left w:val="none" w:sz="0" w:space="0" w:color="auto"/>
            <w:bottom w:val="none" w:sz="0" w:space="0" w:color="auto"/>
            <w:right w:val="none" w:sz="0" w:space="0" w:color="auto"/>
          </w:divBdr>
        </w:div>
        <w:div w:id="386800205">
          <w:marLeft w:val="0"/>
          <w:marRight w:val="0"/>
          <w:marTop w:val="0"/>
          <w:marBottom w:val="0"/>
          <w:divBdr>
            <w:top w:val="none" w:sz="0" w:space="0" w:color="auto"/>
            <w:left w:val="none" w:sz="0" w:space="0" w:color="auto"/>
            <w:bottom w:val="none" w:sz="0" w:space="0" w:color="auto"/>
            <w:right w:val="none" w:sz="0" w:space="0" w:color="auto"/>
          </w:divBdr>
        </w:div>
        <w:div w:id="519439487">
          <w:marLeft w:val="0"/>
          <w:marRight w:val="0"/>
          <w:marTop w:val="0"/>
          <w:marBottom w:val="0"/>
          <w:divBdr>
            <w:top w:val="none" w:sz="0" w:space="0" w:color="auto"/>
            <w:left w:val="none" w:sz="0" w:space="0" w:color="auto"/>
            <w:bottom w:val="none" w:sz="0" w:space="0" w:color="auto"/>
            <w:right w:val="none" w:sz="0" w:space="0" w:color="auto"/>
          </w:divBdr>
        </w:div>
        <w:div w:id="925959849">
          <w:marLeft w:val="0"/>
          <w:marRight w:val="0"/>
          <w:marTop w:val="0"/>
          <w:marBottom w:val="0"/>
          <w:divBdr>
            <w:top w:val="none" w:sz="0" w:space="0" w:color="auto"/>
            <w:left w:val="none" w:sz="0" w:space="0" w:color="auto"/>
            <w:bottom w:val="none" w:sz="0" w:space="0" w:color="auto"/>
            <w:right w:val="none" w:sz="0" w:space="0" w:color="auto"/>
          </w:divBdr>
        </w:div>
        <w:div w:id="1167477525">
          <w:marLeft w:val="0"/>
          <w:marRight w:val="0"/>
          <w:marTop w:val="0"/>
          <w:marBottom w:val="0"/>
          <w:divBdr>
            <w:top w:val="none" w:sz="0" w:space="0" w:color="auto"/>
            <w:left w:val="none" w:sz="0" w:space="0" w:color="auto"/>
            <w:bottom w:val="none" w:sz="0" w:space="0" w:color="auto"/>
            <w:right w:val="none" w:sz="0" w:space="0" w:color="auto"/>
          </w:divBdr>
        </w:div>
        <w:div w:id="13170311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F9F2625872245964BAA07EA795AC4" ma:contentTypeVersion="9" ma:contentTypeDescription="Create a new document." ma:contentTypeScope="" ma:versionID="9d9e45832246c9ce9bc73ea1be0fa848">
  <xsd:schema xmlns:xsd="http://www.w3.org/2001/XMLSchema" xmlns:xs="http://www.w3.org/2001/XMLSchema" xmlns:p="http://schemas.microsoft.com/office/2006/metadata/properties" xmlns:ns2="c155c5d3-811a-4384-901d-ec8fd4e82da0" xmlns:ns3="8e6a8699-c102-457f-8b72-028c235df67f" targetNamespace="http://schemas.microsoft.com/office/2006/metadata/properties" ma:root="true" ma:fieldsID="3eb3ba606ae00a79f9517635b9105eb4" ns2:_="" ns3:_="">
    <xsd:import namespace="c155c5d3-811a-4384-901d-ec8fd4e82da0"/>
    <xsd:import namespace="8e6a8699-c102-457f-8b72-028c235df6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c5d3-811a-4384-901d-ec8fd4e82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a8699-c102-457f-8b72-028c235df6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4FB76-201C-423E-85E8-AD31A6943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905344-4332-48BE-9491-B1111F9C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c5d3-811a-4384-901d-ec8fd4e82da0"/>
    <ds:schemaRef ds:uri="8e6a8699-c102-457f-8b72-028c235d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1DD1E-7A48-449B-B5A1-A84AB0DA3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Mauldin</dc:creator>
  <cp:keywords/>
  <dc:description/>
  <cp:lastModifiedBy>Rori Andreason</cp:lastModifiedBy>
  <cp:revision>2</cp:revision>
  <dcterms:created xsi:type="dcterms:W3CDTF">2022-11-27T23:56:00Z</dcterms:created>
  <dcterms:modified xsi:type="dcterms:W3CDTF">2022-11-27T23:56:00Z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0x0101001C0F9F2625872245964BAA07EA795AC4</vt:lpwstr>
  </property>
</Properties>
</file>