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1273" w14:textId="77777777" w:rsidR="00FC54C4" w:rsidRPr="003E2E2B" w:rsidRDefault="00FC54C4" w:rsidP="00FC54C4">
      <w:pPr>
        <w:spacing w:line="257" w:lineRule="auto"/>
        <w:jc w:val="center"/>
        <w:rPr>
          <w:rFonts w:ascii="Segoe UI" w:eastAsia="Segoe UI" w:hAnsi="Segoe UI" w:cs="Segoe UI"/>
          <w:color w:val="000000" w:themeColor="text1"/>
          <w:u w:val="single"/>
        </w:rPr>
      </w:pPr>
      <w:r w:rsidRPr="003E2E2B">
        <w:rPr>
          <w:rFonts w:ascii="Segoe UI" w:eastAsia="Segoe UI" w:hAnsi="Segoe UI" w:cs="Segoe UI"/>
          <w:b/>
          <w:bCs/>
          <w:color w:val="000000" w:themeColor="text1"/>
          <w:u w:val="single"/>
        </w:rPr>
        <w:t>Commercial Zones – Staff Summary</w:t>
      </w:r>
    </w:p>
    <w:p w14:paraId="4A5B8B3C" w14:textId="77777777" w:rsidR="00FC54C4" w:rsidRDefault="00FC54C4" w:rsidP="00FC54C4">
      <w:pPr>
        <w:rPr>
          <w:rFonts w:ascii="Calibri" w:eastAsia="Calibri" w:hAnsi="Calibri" w:cs="Calibri"/>
          <w:color w:val="000000" w:themeColor="text1"/>
          <w:u w:val="single"/>
        </w:rPr>
      </w:pPr>
      <w:r w:rsidRPr="3BD70D78">
        <w:rPr>
          <w:rFonts w:ascii="Calibri" w:eastAsia="Calibri" w:hAnsi="Calibri" w:cs="Calibri"/>
          <w:color w:val="000000" w:themeColor="text1"/>
          <w:u w:val="single"/>
        </w:rPr>
        <w:t>Schedule of Uses</w:t>
      </w:r>
    </w:p>
    <w:p w14:paraId="34F9653F" w14:textId="77777777" w:rsidR="00FC54C4" w:rsidRDefault="00FC54C4" w:rsidP="00FC54C4">
      <w:pPr>
        <w:jc w:val="both"/>
        <w:rPr>
          <w:rFonts w:ascii="Calibri" w:eastAsia="Calibri" w:hAnsi="Calibri" w:cs="Calibri"/>
          <w:color w:val="000000" w:themeColor="text1"/>
        </w:rPr>
      </w:pPr>
      <w:r w:rsidRPr="3BD70D78">
        <w:rPr>
          <w:rFonts w:ascii="Calibri" w:eastAsia="Calibri" w:hAnsi="Calibri" w:cs="Calibri"/>
          <w:color w:val="000000" w:themeColor="text1"/>
        </w:rPr>
        <w:t xml:space="preserve">There are four commercial zones in the current code, C-1, C-2, C-3 and C-V. These zones each had their own chapter. This model ordinance combines the four commercial zones into one chapter. </w:t>
      </w:r>
      <w:r w:rsidRPr="69222729">
        <w:rPr>
          <w:rFonts w:ascii="Calibri" w:eastAsia="Calibri" w:hAnsi="Calibri" w:cs="Calibri"/>
          <w:color w:val="000000" w:themeColor="text1"/>
        </w:rPr>
        <w:t>The C-V Zone was intended primarily for tourism-support areas near the Canyons and Great Salt Lake. This Zone has been removed from the draft for Kearns.</w:t>
      </w:r>
    </w:p>
    <w:p w14:paraId="5EAE03AB" w14:textId="77777777" w:rsidR="00FC54C4" w:rsidRDefault="00FC54C4" w:rsidP="00FC54C4">
      <w:pPr>
        <w:jc w:val="both"/>
        <w:rPr>
          <w:rFonts w:ascii="Calibri" w:eastAsia="Calibri" w:hAnsi="Calibri" w:cs="Calibri"/>
          <w:color w:val="000000" w:themeColor="text1"/>
        </w:rPr>
      </w:pPr>
      <w:r w:rsidRPr="3BD70D78">
        <w:rPr>
          <w:rFonts w:ascii="Calibri" w:eastAsia="Calibri" w:hAnsi="Calibri" w:cs="Calibri"/>
          <w:color w:val="000000" w:themeColor="text1"/>
        </w:rPr>
        <w:t>There is only one parcel in all of the MSD Service Areas Zoned C-1. The model ordinance takes advantage of this by re-creating the C-1 as a modern commercial zone where buildings are located nearer the street to create a sense of scale and place, openings or at least the impression of doors and windows are placed on the street side of the building, and parking is located in the rear of the building. It is anticipated that most smaller scale commercial development will occur in the C-1 zone.</w:t>
      </w:r>
    </w:p>
    <w:p w14:paraId="54CF9288" w14:textId="77777777" w:rsidR="00FC54C4" w:rsidRDefault="00FC54C4" w:rsidP="00FC54C4">
      <w:pPr>
        <w:jc w:val="both"/>
        <w:rPr>
          <w:rFonts w:ascii="Calibri" w:eastAsia="Calibri" w:hAnsi="Calibri" w:cs="Calibri"/>
          <w:color w:val="000000" w:themeColor="text1"/>
        </w:rPr>
      </w:pPr>
      <w:r w:rsidRPr="3BD70D78">
        <w:rPr>
          <w:rFonts w:ascii="Calibri" w:eastAsia="Calibri" w:hAnsi="Calibri" w:cs="Calibri"/>
          <w:color w:val="000000" w:themeColor="text1"/>
        </w:rPr>
        <w:t>C-2 is the predominant commercial zone within the town, township and county. The C-2 is also modernized but becomes more of a “shopping center commercial” zone. Larger commercial projects will use the C-2 in most cases.</w:t>
      </w:r>
    </w:p>
    <w:p w14:paraId="3A355C53" w14:textId="77777777" w:rsidR="00FC54C4" w:rsidRDefault="00FC54C4" w:rsidP="00FC54C4">
      <w:pPr>
        <w:jc w:val="both"/>
        <w:rPr>
          <w:rFonts w:ascii="Calibri" w:eastAsia="Calibri" w:hAnsi="Calibri" w:cs="Calibri"/>
          <w:color w:val="000000" w:themeColor="text1"/>
        </w:rPr>
      </w:pPr>
      <w:r w:rsidRPr="3BD70D78">
        <w:rPr>
          <w:rFonts w:ascii="Calibri" w:eastAsia="Calibri" w:hAnsi="Calibri" w:cs="Calibri"/>
          <w:color w:val="000000" w:themeColor="text1"/>
        </w:rPr>
        <w:t>The C-3 zone is located almost exclusively along Magna Main, with only one parcel in Kearns and two others near Copperton. Magna has adopted a mixed-use zone tailored to Magna Main and it is anticipated that future development will use this new zone and that all of these parcels will be rezoned to Mixed Use. The C-3 zone was written with warehousing and wholesale businesses in mind. This niche is now filled by the revised M-1, light industrial zone and the C-3 zone has become superfluous. The intent is that C-3 will be phased out and new development will not occur in the current zone. Most of the uses in the use table are prohibited in the C-3 zone.</w:t>
      </w:r>
    </w:p>
    <w:p w14:paraId="2C23ABBA" w14:textId="77777777" w:rsidR="00FC54C4" w:rsidRDefault="00FC54C4" w:rsidP="00FC54C4">
      <w:pPr>
        <w:jc w:val="both"/>
        <w:rPr>
          <w:rFonts w:ascii="Calibri" w:eastAsia="Calibri" w:hAnsi="Calibri" w:cs="Calibri"/>
          <w:color w:val="000000" w:themeColor="text1"/>
        </w:rPr>
      </w:pPr>
      <w:r w:rsidRPr="3BD70D78">
        <w:rPr>
          <w:rFonts w:ascii="Calibri" w:eastAsia="Calibri" w:hAnsi="Calibri" w:cs="Calibri"/>
          <w:color w:val="000000" w:themeColor="text1"/>
        </w:rPr>
        <w:t xml:space="preserve">Among the most important parts of the ordinance project is updating the use tables to combine uses, eliminate obsolete uses, and define uses. The uses defined are typically more general in nature to both shorten the list </w:t>
      </w:r>
      <w:r>
        <w:rPr>
          <w:rFonts w:ascii="Calibri" w:eastAsia="Calibri" w:hAnsi="Calibri" w:cs="Calibri"/>
          <w:color w:val="000000" w:themeColor="text1"/>
        </w:rPr>
        <w:t xml:space="preserve">of uses </w:t>
      </w:r>
      <w:r w:rsidRPr="3BD70D78">
        <w:rPr>
          <w:rFonts w:ascii="Calibri" w:eastAsia="Calibri" w:hAnsi="Calibri" w:cs="Calibri"/>
          <w:color w:val="000000" w:themeColor="text1"/>
        </w:rPr>
        <w:t xml:space="preserve">by combining like uses and to include future like uses.  These uses have been grouped together with similar uses for the ease of the user. </w:t>
      </w:r>
    </w:p>
    <w:p w14:paraId="6F7FD4A9" w14:textId="77777777" w:rsidR="00FC54C4" w:rsidRDefault="00FC54C4" w:rsidP="00FC54C4">
      <w:pPr>
        <w:jc w:val="both"/>
        <w:rPr>
          <w:rFonts w:ascii="Calibri" w:eastAsia="Calibri" w:hAnsi="Calibri" w:cs="Calibri"/>
          <w:color w:val="000000" w:themeColor="text1"/>
        </w:rPr>
      </w:pPr>
      <w:r w:rsidRPr="3BD70D78">
        <w:rPr>
          <w:rFonts w:ascii="Calibri" w:eastAsia="Calibri" w:hAnsi="Calibri" w:cs="Calibri"/>
          <w:color w:val="000000" w:themeColor="text1"/>
        </w:rPr>
        <w:t xml:space="preserve">The use tables now combine permitted and conditional uses into one table. Larger projects such as PUD’s and large commercial projects will require </w:t>
      </w:r>
      <w:r>
        <w:rPr>
          <w:rFonts w:ascii="Calibri" w:eastAsia="Calibri" w:hAnsi="Calibri" w:cs="Calibri"/>
          <w:color w:val="000000" w:themeColor="text1"/>
        </w:rPr>
        <w:t>P</w:t>
      </w:r>
      <w:r w:rsidRPr="3BD70D78">
        <w:rPr>
          <w:rFonts w:ascii="Calibri" w:eastAsia="Calibri" w:hAnsi="Calibri" w:cs="Calibri"/>
          <w:color w:val="000000" w:themeColor="text1"/>
        </w:rPr>
        <w:t xml:space="preserve">lanning </w:t>
      </w:r>
      <w:r>
        <w:rPr>
          <w:rFonts w:ascii="Calibri" w:eastAsia="Calibri" w:hAnsi="Calibri" w:cs="Calibri"/>
          <w:color w:val="000000" w:themeColor="text1"/>
        </w:rPr>
        <w:t>C</w:t>
      </w:r>
      <w:r w:rsidRPr="3BD70D78">
        <w:rPr>
          <w:rFonts w:ascii="Calibri" w:eastAsia="Calibri" w:hAnsi="Calibri" w:cs="Calibri"/>
          <w:color w:val="000000" w:themeColor="text1"/>
        </w:rPr>
        <w:t xml:space="preserve">ommission input and approval, </w:t>
      </w:r>
      <w:r>
        <w:rPr>
          <w:rFonts w:ascii="Calibri" w:eastAsia="Calibri" w:hAnsi="Calibri" w:cs="Calibri"/>
          <w:color w:val="000000" w:themeColor="text1"/>
        </w:rPr>
        <w:t xml:space="preserve">but </w:t>
      </w:r>
      <w:r w:rsidRPr="3BD70D78">
        <w:rPr>
          <w:rFonts w:ascii="Calibri" w:eastAsia="Calibri" w:hAnsi="Calibri" w:cs="Calibri"/>
          <w:color w:val="000000" w:themeColor="text1"/>
        </w:rPr>
        <w:t>most other uses will not. As a result, the Planning Commission will be able to concentrate on the big picture land use management items rather than the small details.</w:t>
      </w:r>
    </w:p>
    <w:p w14:paraId="160E4C49" w14:textId="77777777" w:rsidR="00FC54C4" w:rsidRDefault="00FC54C4" w:rsidP="00FC54C4">
      <w:pPr>
        <w:jc w:val="both"/>
        <w:rPr>
          <w:rFonts w:ascii="Calibri" w:eastAsia="Calibri" w:hAnsi="Calibri" w:cs="Calibri"/>
          <w:color w:val="000000" w:themeColor="text1"/>
        </w:rPr>
      </w:pPr>
      <w:r w:rsidRPr="3BD70D78">
        <w:rPr>
          <w:rFonts w:ascii="Calibri" w:eastAsia="Calibri" w:hAnsi="Calibri" w:cs="Calibri"/>
          <w:color w:val="000000" w:themeColor="text1"/>
        </w:rPr>
        <w:t>Most of the existing use list could be characterized as retail uses, service uses or person</w:t>
      </w:r>
      <w:r>
        <w:rPr>
          <w:rFonts w:ascii="Calibri" w:eastAsia="Calibri" w:hAnsi="Calibri" w:cs="Calibri"/>
          <w:color w:val="000000" w:themeColor="text1"/>
        </w:rPr>
        <w:t>al</w:t>
      </w:r>
      <w:r w:rsidRPr="3BD70D78">
        <w:rPr>
          <w:rFonts w:ascii="Calibri" w:eastAsia="Calibri" w:hAnsi="Calibri" w:cs="Calibri"/>
          <w:color w:val="000000" w:themeColor="text1"/>
        </w:rPr>
        <w:t xml:space="preserve"> services. All of these uses now fall under either “retail and service commercial” or </w:t>
      </w:r>
      <w:r>
        <w:rPr>
          <w:rFonts w:ascii="Calibri" w:eastAsia="Calibri" w:hAnsi="Calibri" w:cs="Calibri"/>
          <w:color w:val="000000" w:themeColor="text1"/>
        </w:rPr>
        <w:t>“</w:t>
      </w:r>
      <w:r w:rsidRPr="3BD70D78">
        <w:rPr>
          <w:rFonts w:ascii="Calibri" w:eastAsia="Calibri" w:hAnsi="Calibri" w:cs="Calibri"/>
          <w:color w:val="000000" w:themeColor="text1"/>
        </w:rPr>
        <w:t xml:space="preserve">personal care services” unless they were of a type that </w:t>
      </w:r>
      <w:r>
        <w:rPr>
          <w:rFonts w:ascii="Calibri" w:eastAsia="Calibri" w:hAnsi="Calibri" w:cs="Calibri"/>
          <w:color w:val="000000" w:themeColor="text1"/>
        </w:rPr>
        <w:t xml:space="preserve">the </w:t>
      </w:r>
      <w:r w:rsidRPr="3BD70D78">
        <w:rPr>
          <w:rFonts w:ascii="Calibri" w:eastAsia="Calibri" w:hAnsi="Calibri" w:cs="Calibri"/>
          <w:color w:val="000000" w:themeColor="text1"/>
        </w:rPr>
        <w:t>council w</w:t>
      </w:r>
      <w:r>
        <w:rPr>
          <w:rFonts w:ascii="Calibri" w:eastAsia="Calibri" w:hAnsi="Calibri" w:cs="Calibri"/>
          <w:color w:val="000000" w:themeColor="text1"/>
        </w:rPr>
        <w:t>as</w:t>
      </w:r>
      <w:r w:rsidRPr="3BD70D78">
        <w:rPr>
          <w:rFonts w:ascii="Calibri" w:eastAsia="Calibri" w:hAnsi="Calibri" w:cs="Calibri"/>
          <w:color w:val="000000" w:themeColor="text1"/>
        </w:rPr>
        <w:t xml:space="preserve"> more wary of. Check cashing, pawn shops, reiki and retail tobacco specialty businesses are not included in the general “retail and service commercial” and are typically either prohibited or allowed as conditional uses. </w:t>
      </w:r>
    </w:p>
    <w:p w14:paraId="3D914DC8" w14:textId="77777777" w:rsidR="00FC54C4" w:rsidRDefault="00FC54C4" w:rsidP="00FC54C4">
      <w:pPr>
        <w:rPr>
          <w:rFonts w:ascii="Calibri" w:eastAsia="Calibri" w:hAnsi="Calibri" w:cs="Calibri"/>
          <w:color w:val="000000" w:themeColor="text1"/>
          <w:u w:val="single"/>
        </w:rPr>
      </w:pPr>
      <w:r>
        <w:rPr>
          <w:rFonts w:ascii="Calibri" w:eastAsia="Calibri" w:hAnsi="Calibri" w:cs="Calibri"/>
          <w:color w:val="000000" w:themeColor="text1"/>
          <w:u w:val="single"/>
        </w:rPr>
        <w:br w:type="page"/>
      </w:r>
    </w:p>
    <w:p w14:paraId="0A61D384" w14:textId="77777777" w:rsidR="00FC54C4" w:rsidRDefault="00FC54C4" w:rsidP="00FC54C4">
      <w:pPr>
        <w:rPr>
          <w:rFonts w:ascii="Calibri" w:eastAsia="Calibri" w:hAnsi="Calibri" w:cs="Calibri"/>
          <w:color w:val="000000" w:themeColor="text1"/>
          <w:u w:val="single"/>
        </w:rPr>
      </w:pPr>
      <w:r w:rsidRPr="3BD70D78">
        <w:rPr>
          <w:rFonts w:ascii="Calibri" w:eastAsia="Calibri" w:hAnsi="Calibri" w:cs="Calibri"/>
          <w:color w:val="000000" w:themeColor="text1"/>
          <w:u w:val="single"/>
        </w:rPr>
        <w:lastRenderedPageBreak/>
        <w:t>Development Standards</w:t>
      </w:r>
    </w:p>
    <w:p w14:paraId="65FC2AF8" w14:textId="77777777" w:rsidR="00FC54C4" w:rsidRDefault="00FC54C4">
      <w:pPr>
        <w:pStyle w:val="ListParagraph"/>
        <w:numPr>
          <w:ilvl w:val="0"/>
          <w:numId w:val="6"/>
        </w:numPr>
        <w:contextualSpacing w:val="0"/>
        <w:jc w:val="both"/>
      </w:pPr>
      <w:r>
        <w:t>There are no minimum lot size, frontage or width standards in any of the commercial zones. Because the intent is that the C-2 zone be used only for larger commercial projects, it has a 3-acre project area requirement.</w:t>
      </w:r>
    </w:p>
    <w:p w14:paraId="160958E4" w14:textId="77777777" w:rsidR="00FC54C4" w:rsidRDefault="00FC54C4">
      <w:pPr>
        <w:pStyle w:val="ListParagraph"/>
        <w:numPr>
          <w:ilvl w:val="0"/>
          <w:numId w:val="6"/>
        </w:numPr>
        <w:contextualSpacing w:val="0"/>
        <w:jc w:val="both"/>
      </w:pPr>
      <w:r>
        <w:t xml:space="preserve">The front setback is also a build to line, meaning that in most cases 50% of the building must be built at the setback line. This front setback is landscaped, and parking is located to the side or rear of the building. This allows the buildings to frame the street, which emphasizes the buildings rather than the parking and gives the streetscape a more human scale. Exceptions for grocery and other larger commercial buildings and drive through windows are built into the ordinance. </w:t>
      </w:r>
    </w:p>
    <w:p w14:paraId="7FA3F2C6" w14:textId="77777777" w:rsidR="00FC54C4" w:rsidRDefault="00FC54C4">
      <w:pPr>
        <w:pStyle w:val="ListParagraph"/>
        <w:numPr>
          <w:ilvl w:val="0"/>
          <w:numId w:val="6"/>
        </w:numPr>
        <w:contextualSpacing w:val="0"/>
        <w:jc w:val="both"/>
      </w:pPr>
      <w:r>
        <w:t>Outdoor dining and pedestrian access are encouraged by requiring walkways and site furnishings.</w:t>
      </w:r>
    </w:p>
    <w:p w14:paraId="4FA58EDD" w14:textId="77777777" w:rsidR="00FC54C4" w:rsidRDefault="00FC54C4">
      <w:pPr>
        <w:pStyle w:val="ListParagraph"/>
        <w:numPr>
          <w:ilvl w:val="0"/>
          <w:numId w:val="6"/>
        </w:numPr>
        <w:contextualSpacing w:val="0"/>
        <w:jc w:val="both"/>
      </w:pPr>
      <w:r>
        <w:t>Architectural standards have been created to improve the built environment. These standards primarily apply to new development. These standards should lead to the creation of buildings that are in line with buildings in the better developments in the region but should not be a significant burden on developers. Most construction in the last 5 years would need only moderate improvements to meet the proposed standards.</w:t>
      </w:r>
    </w:p>
    <w:p w14:paraId="1D6694B8" w14:textId="77777777" w:rsidR="00FC54C4" w:rsidRDefault="00FC54C4">
      <w:pPr>
        <w:pStyle w:val="ListParagraph"/>
        <w:numPr>
          <w:ilvl w:val="0"/>
          <w:numId w:val="6"/>
        </w:numPr>
        <w:contextualSpacing w:val="0"/>
        <w:jc w:val="both"/>
      </w:pPr>
      <w:r>
        <w:t>Entrances and windows will be required on the street facing side of new buildings. This does not preclude other entrances.</w:t>
      </w:r>
    </w:p>
    <w:p w14:paraId="036427EC" w14:textId="77777777" w:rsidR="00FC54C4" w:rsidRDefault="00FC54C4">
      <w:pPr>
        <w:pStyle w:val="ListParagraph"/>
        <w:numPr>
          <w:ilvl w:val="0"/>
          <w:numId w:val="6"/>
        </w:numPr>
        <w:contextualSpacing w:val="0"/>
        <w:jc w:val="both"/>
      </w:pPr>
      <w:r>
        <w:t>Open space and landscaping standards will have a separate chapter. The elements found in this chapter are intended to be an enhancement from the general regulations that apply to industrial and other zoning districts.</w:t>
      </w:r>
    </w:p>
    <w:p w14:paraId="345C2A61" w14:textId="77777777" w:rsidR="00FC54C4" w:rsidRDefault="00FC54C4">
      <w:pPr>
        <w:pStyle w:val="ListParagraph"/>
        <w:numPr>
          <w:ilvl w:val="0"/>
          <w:numId w:val="6"/>
        </w:numPr>
        <w:contextualSpacing w:val="0"/>
        <w:jc w:val="both"/>
      </w:pPr>
      <w:r>
        <w:t>Parking lot lighting standards are included to require lighting that does not trespass on neighboring property, is efficient and relatively uniform so that dark areas are minimized.</w:t>
      </w:r>
    </w:p>
    <w:p w14:paraId="4ED29411" w14:textId="77777777" w:rsidR="00FC54C4" w:rsidRDefault="00FC54C4">
      <w:pPr>
        <w:pStyle w:val="ListParagraph"/>
        <w:numPr>
          <w:ilvl w:val="0"/>
          <w:numId w:val="6"/>
        </w:numPr>
        <w:contextualSpacing w:val="0"/>
        <w:jc w:val="both"/>
      </w:pPr>
      <w:r>
        <w:t>Residential buffering and fencing requirements are created.</w:t>
      </w:r>
    </w:p>
    <w:p w14:paraId="7F873F4A" w14:textId="77777777" w:rsidR="00FC54C4" w:rsidRPr="003E2E2B" w:rsidRDefault="00FC54C4" w:rsidP="00FC54C4">
      <w:pPr>
        <w:rPr>
          <w:u w:val="single"/>
        </w:rPr>
      </w:pPr>
      <w:r w:rsidRPr="003E2E2B">
        <w:rPr>
          <w:u w:val="single"/>
        </w:rPr>
        <w:t>Resources Utilized</w:t>
      </w:r>
    </w:p>
    <w:p w14:paraId="02940867" w14:textId="77777777" w:rsidR="00FC54C4" w:rsidRDefault="00FC54C4">
      <w:pPr>
        <w:pStyle w:val="ListParagraph"/>
        <w:numPr>
          <w:ilvl w:val="0"/>
          <w:numId w:val="5"/>
        </w:numPr>
        <w:rPr>
          <w:rFonts w:eastAsiaTheme="minorEastAsia"/>
        </w:rPr>
      </w:pPr>
      <w:r>
        <w:t>Ogden Zoning Ordinance</w:t>
      </w:r>
    </w:p>
    <w:p w14:paraId="0412F71E" w14:textId="77777777" w:rsidR="00FC54C4" w:rsidRDefault="00FC54C4">
      <w:pPr>
        <w:pStyle w:val="ListParagraph"/>
        <w:numPr>
          <w:ilvl w:val="0"/>
          <w:numId w:val="5"/>
        </w:numPr>
        <w:rPr>
          <w:rFonts w:eastAsiaTheme="minorEastAsia"/>
        </w:rPr>
      </w:pPr>
      <w:r>
        <w:t>Vineyard Zoning Ordinance</w:t>
      </w:r>
    </w:p>
    <w:p w14:paraId="669EE701" w14:textId="77777777" w:rsidR="00FC54C4" w:rsidRDefault="00FC54C4">
      <w:pPr>
        <w:pStyle w:val="ListParagraph"/>
        <w:numPr>
          <w:ilvl w:val="0"/>
          <w:numId w:val="5"/>
        </w:numPr>
        <w:rPr>
          <w:rFonts w:eastAsiaTheme="minorEastAsia"/>
        </w:rPr>
      </w:pPr>
      <w:r>
        <w:t>South Jordan Zoning Ordinance</w:t>
      </w:r>
    </w:p>
    <w:p w14:paraId="79110F88" w14:textId="77777777" w:rsidR="00FC54C4" w:rsidRDefault="00FC54C4">
      <w:pPr>
        <w:pStyle w:val="ListParagraph"/>
        <w:numPr>
          <w:ilvl w:val="0"/>
          <w:numId w:val="5"/>
        </w:numPr>
        <w:spacing w:after="0"/>
        <w:rPr>
          <w:rFonts w:eastAsiaTheme="minorEastAsia"/>
        </w:rPr>
      </w:pPr>
      <w:r>
        <w:t>Midvale Zoning Ordinance</w:t>
      </w:r>
    </w:p>
    <w:p w14:paraId="1E8DC0D4" w14:textId="77777777" w:rsidR="00FC54C4" w:rsidRDefault="00FC54C4">
      <w:pPr>
        <w:pStyle w:val="ListParagraph"/>
        <w:numPr>
          <w:ilvl w:val="0"/>
          <w:numId w:val="5"/>
        </w:numPr>
        <w:spacing w:after="0"/>
      </w:pPr>
      <w:r>
        <w:t>Mapleton Zoning Ordinance</w:t>
      </w:r>
    </w:p>
    <w:p w14:paraId="3F2B5890" w14:textId="77777777" w:rsidR="00FC54C4" w:rsidRDefault="00FC54C4">
      <w:pPr>
        <w:pStyle w:val="ListParagraph"/>
        <w:numPr>
          <w:ilvl w:val="0"/>
          <w:numId w:val="5"/>
        </w:numPr>
        <w:spacing w:after="0"/>
      </w:pPr>
      <w:r>
        <w:t>Spanish Fork Zoning Ordinance</w:t>
      </w:r>
    </w:p>
    <w:p w14:paraId="7CF15417" w14:textId="77777777" w:rsidR="00FC54C4" w:rsidRDefault="00FC54C4" w:rsidP="00FC54C4">
      <w:pPr>
        <w:rPr>
          <w:highlight w:val="yellow"/>
        </w:rPr>
      </w:pPr>
    </w:p>
    <w:p w14:paraId="5133F702" w14:textId="77777777" w:rsidR="00FC54C4" w:rsidRDefault="00FC54C4" w:rsidP="00FC54C4">
      <w:pPr>
        <w:rPr>
          <w:b/>
          <w:bCs/>
        </w:rPr>
      </w:pPr>
      <w:r>
        <w:rPr>
          <w:b/>
          <w:bCs/>
        </w:rPr>
        <w:br w:type="page"/>
      </w:r>
    </w:p>
    <w:p w14:paraId="0EEF863A" w14:textId="77777777" w:rsidR="00E50094" w:rsidRPr="00B27A3A" w:rsidRDefault="00E50094" w:rsidP="00E50094">
      <w:pPr>
        <w:spacing w:after="0"/>
        <w:jc w:val="center"/>
        <w:rPr>
          <w:b/>
          <w:bCs/>
          <w:sz w:val="28"/>
          <w:szCs w:val="28"/>
        </w:rPr>
      </w:pPr>
      <w:r w:rsidRPr="00B27A3A">
        <w:rPr>
          <w:b/>
          <w:bCs/>
          <w:sz w:val="28"/>
          <w:szCs w:val="28"/>
        </w:rPr>
        <w:lastRenderedPageBreak/>
        <w:t>Chapter 19.</w:t>
      </w:r>
      <w:r w:rsidRPr="00B27A3A">
        <w:rPr>
          <w:b/>
          <w:bCs/>
          <w:sz w:val="28"/>
          <w:szCs w:val="28"/>
          <w:highlight w:val="yellow"/>
        </w:rPr>
        <w:t>32</w:t>
      </w:r>
      <w:r w:rsidRPr="00B27A3A">
        <w:rPr>
          <w:b/>
          <w:bCs/>
          <w:sz w:val="28"/>
          <w:szCs w:val="28"/>
        </w:rPr>
        <w:t>: Commercial Zones</w:t>
      </w:r>
    </w:p>
    <w:p w14:paraId="15FD0B6E" w14:textId="271006B3" w:rsidR="00E50094" w:rsidRPr="00C470F1" w:rsidRDefault="00E50094" w:rsidP="00E50094">
      <w:pPr>
        <w:jc w:val="center"/>
        <w:rPr>
          <w:color w:val="FF0000"/>
          <w:sz w:val="24"/>
          <w:szCs w:val="24"/>
        </w:rPr>
      </w:pPr>
      <w:r w:rsidRPr="6A025E2E">
        <w:rPr>
          <w:color w:val="FF0000"/>
          <w:sz w:val="24"/>
          <w:szCs w:val="24"/>
        </w:rPr>
        <w:t>DRAFT for Review Purposes Only – August 5</w:t>
      </w:r>
      <w:r w:rsidRPr="6A025E2E">
        <w:rPr>
          <w:color w:val="FF0000"/>
          <w:sz w:val="24"/>
          <w:szCs w:val="24"/>
          <w:vertAlign w:val="superscript"/>
        </w:rPr>
        <w:t>th</w:t>
      </w:r>
      <w:r w:rsidRPr="6A025E2E">
        <w:rPr>
          <w:color w:val="FF0000"/>
          <w:sz w:val="24"/>
          <w:szCs w:val="24"/>
        </w:rPr>
        <w:t>, 2022</w:t>
      </w:r>
    </w:p>
    <w:sdt>
      <w:sdtPr>
        <w:rPr>
          <w:rFonts w:asciiTheme="minorHAnsi" w:eastAsiaTheme="minorHAnsi" w:hAnsiTheme="minorHAnsi" w:cstheme="minorBidi"/>
          <w:color w:val="auto"/>
          <w:sz w:val="22"/>
          <w:szCs w:val="22"/>
        </w:rPr>
        <w:id w:val="-1185678676"/>
        <w:docPartObj>
          <w:docPartGallery w:val="Table of Contents"/>
          <w:docPartUnique/>
        </w:docPartObj>
      </w:sdtPr>
      <w:sdtEndPr>
        <w:rPr>
          <w:b/>
          <w:bCs/>
          <w:noProof/>
        </w:rPr>
      </w:sdtEndPr>
      <w:sdtContent>
        <w:p w14:paraId="1FB7C099" w14:textId="5B4D6196" w:rsidR="00473CCE" w:rsidRPr="00E765EA" w:rsidRDefault="00E765EA" w:rsidP="00E765EA">
          <w:pPr>
            <w:pStyle w:val="TOCHeading"/>
            <w:spacing w:before="0" w:after="160"/>
            <w:rPr>
              <w:b/>
              <w:bCs/>
              <w:color w:val="auto"/>
              <w:sz w:val="22"/>
              <w:szCs w:val="22"/>
            </w:rPr>
          </w:pPr>
          <w:r w:rsidRPr="00E765EA">
            <w:rPr>
              <w:b/>
              <w:bCs/>
              <w:color w:val="auto"/>
              <w:sz w:val="22"/>
              <w:szCs w:val="22"/>
            </w:rPr>
            <w:t>Chapter 19.32 Contents</w:t>
          </w:r>
        </w:p>
        <w:p w14:paraId="359EE227" w14:textId="56E91470" w:rsidR="00473CCE" w:rsidRPr="00473CCE" w:rsidRDefault="00473CCE" w:rsidP="00473CCE">
          <w:pPr>
            <w:pStyle w:val="TOC2"/>
            <w:tabs>
              <w:tab w:val="right" w:leader="dot" w:pos="9350"/>
            </w:tabs>
            <w:ind w:left="0"/>
            <w:rPr>
              <w:rFonts w:eastAsiaTheme="minorEastAsia"/>
              <w:b/>
              <w:bCs/>
              <w:noProof/>
            </w:rPr>
          </w:pPr>
          <w:r>
            <w:fldChar w:fldCharType="begin"/>
          </w:r>
          <w:r>
            <w:instrText xml:space="preserve"> TOC \o "1-3" \h \z \u </w:instrText>
          </w:r>
          <w:r>
            <w:fldChar w:fldCharType="separate"/>
          </w:r>
          <w:hyperlink w:anchor="_Toc110339644" w:history="1">
            <w:r w:rsidRPr="00473CCE">
              <w:rPr>
                <w:rStyle w:val="Hyperlink"/>
                <w:b/>
                <w:bCs/>
                <w:noProof/>
              </w:rPr>
              <w:t>19.</w:t>
            </w:r>
            <w:r w:rsidRPr="00473CCE">
              <w:rPr>
                <w:rStyle w:val="Hyperlink"/>
                <w:b/>
                <w:bCs/>
                <w:noProof/>
                <w:highlight w:val="yellow"/>
              </w:rPr>
              <w:t>32</w:t>
            </w:r>
            <w:r w:rsidRPr="00473CCE">
              <w:rPr>
                <w:rStyle w:val="Hyperlink"/>
                <w:b/>
                <w:bCs/>
                <w:noProof/>
              </w:rPr>
              <w:t>.010 – Purpose of Provisions.</w:t>
            </w:r>
            <w:r w:rsidRPr="00473CCE">
              <w:rPr>
                <w:b/>
                <w:bCs/>
                <w:noProof/>
                <w:webHidden/>
              </w:rPr>
              <w:tab/>
            </w:r>
            <w:r w:rsidRPr="00473CCE">
              <w:rPr>
                <w:b/>
                <w:bCs/>
                <w:noProof/>
                <w:webHidden/>
              </w:rPr>
              <w:fldChar w:fldCharType="begin"/>
            </w:r>
            <w:r w:rsidRPr="00473CCE">
              <w:rPr>
                <w:b/>
                <w:bCs/>
                <w:noProof/>
                <w:webHidden/>
              </w:rPr>
              <w:instrText xml:space="preserve"> PAGEREF _Toc110339644 \h </w:instrText>
            </w:r>
            <w:r w:rsidRPr="00473CCE">
              <w:rPr>
                <w:b/>
                <w:bCs/>
                <w:noProof/>
                <w:webHidden/>
              </w:rPr>
            </w:r>
            <w:r w:rsidRPr="00473CCE">
              <w:rPr>
                <w:b/>
                <w:bCs/>
                <w:noProof/>
                <w:webHidden/>
              </w:rPr>
              <w:fldChar w:fldCharType="separate"/>
            </w:r>
            <w:r>
              <w:rPr>
                <w:b/>
                <w:bCs/>
                <w:noProof/>
                <w:webHidden/>
              </w:rPr>
              <w:t>3</w:t>
            </w:r>
            <w:r w:rsidRPr="00473CCE">
              <w:rPr>
                <w:b/>
                <w:bCs/>
                <w:noProof/>
                <w:webHidden/>
              </w:rPr>
              <w:fldChar w:fldCharType="end"/>
            </w:r>
          </w:hyperlink>
        </w:p>
        <w:p w14:paraId="2B56CAF6" w14:textId="16A766E0" w:rsidR="00473CCE" w:rsidRPr="00473CCE" w:rsidRDefault="006B48A9" w:rsidP="00473CCE">
          <w:pPr>
            <w:pStyle w:val="TOC2"/>
            <w:tabs>
              <w:tab w:val="right" w:leader="dot" w:pos="9350"/>
            </w:tabs>
            <w:ind w:left="0"/>
            <w:rPr>
              <w:rFonts w:eastAsiaTheme="minorEastAsia"/>
              <w:b/>
              <w:bCs/>
              <w:noProof/>
            </w:rPr>
          </w:pPr>
          <w:hyperlink w:anchor="_Toc110339645" w:history="1">
            <w:r w:rsidR="00473CCE" w:rsidRPr="00473CCE">
              <w:rPr>
                <w:rStyle w:val="Hyperlink"/>
                <w:b/>
                <w:bCs/>
                <w:noProof/>
              </w:rPr>
              <w:t>19.</w:t>
            </w:r>
            <w:r w:rsidR="00473CCE" w:rsidRPr="00473CCE">
              <w:rPr>
                <w:rStyle w:val="Hyperlink"/>
                <w:b/>
                <w:bCs/>
                <w:noProof/>
                <w:highlight w:val="yellow"/>
              </w:rPr>
              <w:t>32</w:t>
            </w:r>
            <w:r w:rsidR="00473CCE" w:rsidRPr="00473CCE">
              <w:rPr>
                <w:rStyle w:val="Hyperlink"/>
                <w:b/>
                <w:bCs/>
                <w:noProof/>
              </w:rPr>
              <w:t>.020 – Establishment of Commercial Zones.</w:t>
            </w:r>
            <w:r w:rsidR="00473CCE" w:rsidRPr="00473CCE">
              <w:rPr>
                <w:b/>
                <w:bCs/>
                <w:noProof/>
                <w:webHidden/>
              </w:rPr>
              <w:tab/>
            </w:r>
            <w:r w:rsidR="00473CCE" w:rsidRPr="00473CCE">
              <w:rPr>
                <w:b/>
                <w:bCs/>
                <w:noProof/>
                <w:webHidden/>
              </w:rPr>
              <w:fldChar w:fldCharType="begin"/>
            </w:r>
            <w:r w:rsidR="00473CCE" w:rsidRPr="00473CCE">
              <w:rPr>
                <w:b/>
                <w:bCs/>
                <w:noProof/>
                <w:webHidden/>
              </w:rPr>
              <w:instrText xml:space="preserve"> PAGEREF _Toc110339645 \h </w:instrText>
            </w:r>
            <w:r w:rsidR="00473CCE" w:rsidRPr="00473CCE">
              <w:rPr>
                <w:b/>
                <w:bCs/>
                <w:noProof/>
                <w:webHidden/>
              </w:rPr>
            </w:r>
            <w:r w:rsidR="00473CCE" w:rsidRPr="00473CCE">
              <w:rPr>
                <w:b/>
                <w:bCs/>
                <w:noProof/>
                <w:webHidden/>
              </w:rPr>
              <w:fldChar w:fldCharType="separate"/>
            </w:r>
            <w:r w:rsidR="00473CCE">
              <w:rPr>
                <w:b/>
                <w:bCs/>
                <w:noProof/>
                <w:webHidden/>
              </w:rPr>
              <w:t>3</w:t>
            </w:r>
            <w:r w:rsidR="00473CCE" w:rsidRPr="00473CCE">
              <w:rPr>
                <w:b/>
                <w:bCs/>
                <w:noProof/>
                <w:webHidden/>
              </w:rPr>
              <w:fldChar w:fldCharType="end"/>
            </w:r>
          </w:hyperlink>
        </w:p>
        <w:p w14:paraId="3BB4FC36" w14:textId="534FC12D" w:rsidR="00473CCE" w:rsidRDefault="006B48A9">
          <w:pPr>
            <w:pStyle w:val="TOC1"/>
            <w:tabs>
              <w:tab w:val="right" w:leader="dot" w:pos="9350"/>
            </w:tabs>
            <w:rPr>
              <w:rFonts w:cstheme="minorBidi"/>
              <w:noProof/>
            </w:rPr>
          </w:pPr>
          <w:hyperlink w:anchor="_Toc110339646" w:history="1">
            <w:r w:rsidR="00473CCE" w:rsidRPr="0009229D">
              <w:rPr>
                <w:rStyle w:val="Hyperlink"/>
                <w:rFonts w:ascii="Calibri" w:eastAsia="Times New Roman" w:hAnsi="Calibri" w:cs="Calibri"/>
                <w:b/>
                <w:bCs/>
                <w:noProof/>
              </w:rPr>
              <w:t>19.</w:t>
            </w:r>
            <w:r w:rsidR="00473CCE" w:rsidRPr="0009229D">
              <w:rPr>
                <w:rStyle w:val="Hyperlink"/>
                <w:rFonts w:ascii="Calibri" w:eastAsia="Times New Roman" w:hAnsi="Calibri" w:cs="Calibri"/>
                <w:b/>
                <w:bCs/>
                <w:noProof/>
                <w:shd w:val="clear" w:color="auto" w:fill="FFFF00"/>
              </w:rPr>
              <w:t>32</w:t>
            </w:r>
            <w:r w:rsidR="00473CCE" w:rsidRPr="0009229D">
              <w:rPr>
                <w:rStyle w:val="Hyperlink"/>
                <w:rFonts w:ascii="Calibri" w:eastAsia="Times New Roman" w:hAnsi="Calibri" w:cs="Calibri"/>
                <w:b/>
                <w:bCs/>
                <w:noProof/>
              </w:rPr>
              <w:t>.030 – Schedule of Permitted Uses.</w:t>
            </w:r>
            <w:r w:rsidR="00473CCE">
              <w:rPr>
                <w:noProof/>
                <w:webHidden/>
              </w:rPr>
              <w:tab/>
            </w:r>
            <w:r w:rsidR="00473CCE">
              <w:rPr>
                <w:noProof/>
                <w:webHidden/>
              </w:rPr>
              <w:fldChar w:fldCharType="begin"/>
            </w:r>
            <w:r w:rsidR="00473CCE">
              <w:rPr>
                <w:noProof/>
                <w:webHidden/>
              </w:rPr>
              <w:instrText xml:space="preserve"> PAGEREF _Toc110339646 \h </w:instrText>
            </w:r>
            <w:r w:rsidR="00473CCE">
              <w:rPr>
                <w:noProof/>
                <w:webHidden/>
              </w:rPr>
            </w:r>
            <w:r w:rsidR="00473CCE">
              <w:rPr>
                <w:noProof/>
                <w:webHidden/>
              </w:rPr>
              <w:fldChar w:fldCharType="separate"/>
            </w:r>
            <w:r w:rsidR="00473CCE">
              <w:rPr>
                <w:noProof/>
                <w:webHidden/>
              </w:rPr>
              <w:t>4</w:t>
            </w:r>
            <w:r w:rsidR="00473CCE">
              <w:rPr>
                <w:noProof/>
                <w:webHidden/>
              </w:rPr>
              <w:fldChar w:fldCharType="end"/>
            </w:r>
          </w:hyperlink>
        </w:p>
        <w:p w14:paraId="293C69FA" w14:textId="255EF2C8" w:rsidR="00473CCE" w:rsidRDefault="006B48A9">
          <w:pPr>
            <w:pStyle w:val="TOC1"/>
            <w:tabs>
              <w:tab w:val="right" w:leader="dot" w:pos="9350"/>
            </w:tabs>
            <w:rPr>
              <w:rFonts w:cstheme="minorBidi"/>
              <w:noProof/>
            </w:rPr>
          </w:pPr>
          <w:hyperlink w:anchor="_Toc110339647" w:history="1">
            <w:r w:rsidR="00473CCE" w:rsidRPr="0009229D">
              <w:rPr>
                <w:rStyle w:val="Hyperlink"/>
                <w:rFonts w:cstheme="minorHAnsi"/>
                <w:b/>
                <w:bCs/>
                <w:noProof/>
              </w:rPr>
              <w:t>19.</w:t>
            </w:r>
            <w:r w:rsidR="00473CCE" w:rsidRPr="0009229D">
              <w:rPr>
                <w:rStyle w:val="Hyperlink"/>
                <w:rFonts w:cstheme="minorHAnsi"/>
                <w:b/>
                <w:bCs/>
                <w:noProof/>
                <w:highlight w:val="yellow"/>
              </w:rPr>
              <w:t>32</w:t>
            </w:r>
            <w:r w:rsidR="00473CCE" w:rsidRPr="0009229D">
              <w:rPr>
                <w:rStyle w:val="Hyperlink"/>
                <w:rFonts w:cstheme="minorHAnsi"/>
                <w:b/>
                <w:bCs/>
                <w:noProof/>
              </w:rPr>
              <w:t>.040 – Lot and Area Standards.</w:t>
            </w:r>
            <w:r w:rsidR="00473CCE">
              <w:rPr>
                <w:noProof/>
                <w:webHidden/>
              </w:rPr>
              <w:tab/>
            </w:r>
            <w:r w:rsidR="00473CCE">
              <w:rPr>
                <w:noProof/>
                <w:webHidden/>
              </w:rPr>
              <w:fldChar w:fldCharType="begin"/>
            </w:r>
            <w:r w:rsidR="00473CCE">
              <w:rPr>
                <w:noProof/>
                <w:webHidden/>
              </w:rPr>
              <w:instrText xml:space="preserve"> PAGEREF _Toc110339647 \h </w:instrText>
            </w:r>
            <w:r w:rsidR="00473CCE">
              <w:rPr>
                <w:noProof/>
                <w:webHidden/>
              </w:rPr>
            </w:r>
            <w:r w:rsidR="00473CCE">
              <w:rPr>
                <w:noProof/>
                <w:webHidden/>
              </w:rPr>
              <w:fldChar w:fldCharType="separate"/>
            </w:r>
            <w:r w:rsidR="00473CCE">
              <w:rPr>
                <w:noProof/>
                <w:webHidden/>
              </w:rPr>
              <w:t>7</w:t>
            </w:r>
            <w:r w:rsidR="00473CCE">
              <w:rPr>
                <w:noProof/>
                <w:webHidden/>
              </w:rPr>
              <w:fldChar w:fldCharType="end"/>
            </w:r>
          </w:hyperlink>
        </w:p>
        <w:p w14:paraId="0DBA64CE" w14:textId="50BA40B5" w:rsidR="00473CCE" w:rsidRDefault="006B48A9">
          <w:pPr>
            <w:pStyle w:val="TOC1"/>
            <w:tabs>
              <w:tab w:val="right" w:leader="dot" w:pos="9350"/>
            </w:tabs>
            <w:rPr>
              <w:rFonts w:cstheme="minorBidi"/>
              <w:noProof/>
            </w:rPr>
          </w:pPr>
          <w:hyperlink w:anchor="_Toc110339648" w:history="1">
            <w:r w:rsidR="00473CCE" w:rsidRPr="0009229D">
              <w:rPr>
                <w:rStyle w:val="Hyperlink"/>
                <w:rFonts w:cstheme="minorHAnsi"/>
                <w:b/>
                <w:bCs/>
                <w:noProof/>
              </w:rPr>
              <w:t>19.</w:t>
            </w:r>
            <w:r w:rsidR="00473CCE" w:rsidRPr="0009229D">
              <w:rPr>
                <w:rStyle w:val="Hyperlink"/>
                <w:rFonts w:cstheme="minorHAnsi"/>
                <w:b/>
                <w:bCs/>
                <w:noProof/>
                <w:highlight w:val="yellow"/>
              </w:rPr>
              <w:t>32</w:t>
            </w:r>
            <w:r w:rsidR="00473CCE" w:rsidRPr="0009229D">
              <w:rPr>
                <w:rStyle w:val="Hyperlink"/>
                <w:rFonts w:cstheme="minorHAnsi"/>
                <w:b/>
                <w:bCs/>
                <w:noProof/>
              </w:rPr>
              <w:t>.050 – Site Standards.</w:t>
            </w:r>
            <w:r w:rsidR="00473CCE">
              <w:rPr>
                <w:noProof/>
                <w:webHidden/>
              </w:rPr>
              <w:tab/>
            </w:r>
            <w:r w:rsidR="00473CCE">
              <w:rPr>
                <w:noProof/>
                <w:webHidden/>
              </w:rPr>
              <w:fldChar w:fldCharType="begin"/>
            </w:r>
            <w:r w:rsidR="00473CCE">
              <w:rPr>
                <w:noProof/>
                <w:webHidden/>
              </w:rPr>
              <w:instrText xml:space="preserve"> PAGEREF _Toc110339648 \h </w:instrText>
            </w:r>
            <w:r w:rsidR="00473CCE">
              <w:rPr>
                <w:noProof/>
                <w:webHidden/>
              </w:rPr>
            </w:r>
            <w:r w:rsidR="00473CCE">
              <w:rPr>
                <w:noProof/>
                <w:webHidden/>
              </w:rPr>
              <w:fldChar w:fldCharType="separate"/>
            </w:r>
            <w:r w:rsidR="00473CCE">
              <w:rPr>
                <w:noProof/>
                <w:webHidden/>
              </w:rPr>
              <w:t>7</w:t>
            </w:r>
            <w:r w:rsidR="00473CCE">
              <w:rPr>
                <w:noProof/>
                <w:webHidden/>
              </w:rPr>
              <w:fldChar w:fldCharType="end"/>
            </w:r>
          </w:hyperlink>
        </w:p>
        <w:p w14:paraId="42B9E32A" w14:textId="0D03F7E9" w:rsidR="00473CCE" w:rsidRDefault="006B48A9">
          <w:pPr>
            <w:pStyle w:val="TOC1"/>
            <w:tabs>
              <w:tab w:val="right" w:leader="dot" w:pos="9350"/>
            </w:tabs>
            <w:rPr>
              <w:rFonts w:cstheme="minorBidi"/>
              <w:noProof/>
            </w:rPr>
          </w:pPr>
          <w:hyperlink w:anchor="_Toc110339649" w:history="1">
            <w:r w:rsidR="00473CCE" w:rsidRPr="0009229D">
              <w:rPr>
                <w:rStyle w:val="Hyperlink"/>
                <w:rFonts w:ascii="Calibri" w:eastAsia="Times New Roman" w:hAnsi="Calibri" w:cs="Calibri"/>
                <w:b/>
                <w:bCs/>
                <w:noProof/>
              </w:rPr>
              <w:t>19.</w:t>
            </w:r>
            <w:r w:rsidR="00473CCE" w:rsidRPr="0009229D">
              <w:rPr>
                <w:rStyle w:val="Hyperlink"/>
                <w:rFonts w:ascii="Calibri" w:eastAsia="Times New Roman" w:hAnsi="Calibri" w:cs="Calibri"/>
                <w:b/>
                <w:bCs/>
                <w:noProof/>
                <w:shd w:val="clear" w:color="auto" w:fill="FFFF00"/>
              </w:rPr>
              <w:t>32</w:t>
            </w:r>
            <w:r w:rsidR="00473CCE" w:rsidRPr="0009229D">
              <w:rPr>
                <w:rStyle w:val="Hyperlink"/>
                <w:rFonts w:ascii="Calibri" w:eastAsia="Times New Roman" w:hAnsi="Calibri" w:cs="Calibri"/>
                <w:b/>
                <w:bCs/>
                <w:noProof/>
              </w:rPr>
              <w:t>.060 – Architectural Standards.</w:t>
            </w:r>
            <w:r w:rsidR="00473CCE">
              <w:rPr>
                <w:noProof/>
                <w:webHidden/>
              </w:rPr>
              <w:tab/>
            </w:r>
            <w:r w:rsidR="00473CCE">
              <w:rPr>
                <w:noProof/>
                <w:webHidden/>
              </w:rPr>
              <w:fldChar w:fldCharType="begin"/>
            </w:r>
            <w:r w:rsidR="00473CCE">
              <w:rPr>
                <w:noProof/>
                <w:webHidden/>
              </w:rPr>
              <w:instrText xml:space="preserve"> PAGEREF _Toc110339649 \h </w:instrText>
            </w:r>
            <w:r w:rsidR="00473CCE">
              <w:rPr>
                <w:noProof/>
                <w:webHidden/>
              </w:rPr>
            </w:r>
            <w:r w:rsidR="00473CCE">
              <w:rPr>
                <w:noProof/>
                <w:webHidden/>
              </w:rPr>
              <w:fldChar w:fldCharType="separate"/>
            </w:r>
            <w:r w:rsidR="00473CCE">
              <w:rPr>
                <w:noProof/>
                <w:webHidden/>
              </w:rPr>
              <w:t>9</w:t>
            </w:r>
            <w:r w:rsidR="00473CCE">
              <w:rPr>
                <w:noProof/>
                <w:webHidden/>
              </w:rPr>
              <w:fldChar w:fldCharType="end"/>
            </w:r>
          </w:hyperlink>
        </w:p>
        <w:p w14:paraId="704CA22A" w14:textId="79B75E09" w:rsidR="00473CCE" w:rsidRDefault="006B48A9" w:rsidP="00473CCE">
          <w:pPr>
            <w:pStyle w:val="TOC2"/>
            <w:tabs>
              <w:tab w:val="right" w:leader="dot" w:pos="9350"/>
            </w:tabs>
            <w:ind w:left="0"/>
            <w:rPr>
              <w:rFonts w:eastAsiaTheme="minorEastAsia"/>
              <w:noProof/>
            </w:rPr>
          </w:pPr>
          <w:hyperlink w:anchor="_Toc110339650" w:history="1">
            <w:r w:rsidR="00473CCE" w:rsidRPr="0009229D">
              <w:rPr>
                <w:rStyle w:val="Hyperlink"/>
                <w:b/>
                <w:bCs/>
                <w:noProof/>
              </w:rPr>
              <w:t>19.</w:t>
            </w:r>
            <w:r w:rsidR="00473CCE" w:rsidRPr="0009229D">
              <w:rPr>
                <w:rStyle w:val="Hyperlink"/>
                <w:b/>
                <w:bCs/>
                <w:noProof/>
                <w:highlight w:val="yellow"/>
              </w:rPr>
              <w:t>32</w:t>
            </w:r>
            <w:r w:rsidR="00473CCE" w:rsidRPr="0009229D">
              <w:rPr>
                <w:rStyle w:val="Hyperlink"/>
                <w:b/>
                <w:bCs/>
                <w:noProof/>
              </w:rPr>
              <w:t>.070 – Off-Street Parking Standards.</w:t>
            </w:r>
            <w:r w:rsidR="00473CCE">
              <w:rPr>
                <w:noProof/>
                <w:webHidden/>
              </w:rPr>
              <w:tab/>
            </w:r>
            <w:r w:rsidR="00473CCE">
              <w:rPr>
                <w:noProof/>
                <w:webHidden/>
              </w:rPr>
              <w:fldChar w:fldCharType="begin"/>
            </w:r>
            <w:r w:rsidR="00473CCE">
              <w:rPr>
                <w:noProof/>
                <w:webHidden/>
              </w:rPr>
              <w:instrText xml:space="preserve"> PAGEREF _Toc110339650 \h </w:instrText>
            </w:r>
            <w:r w:rsidR="00473CCE">
              <w:rPr>
                <w:noProof/>
                <w:webHidden/>
              </w:rPr>
            </w:r>
            <w:r w:rsidR="00473CCE">
              <w:rPr>
                <w:noProof/>
                <w:webHidden/>
              </w:rPr>
              <w:fldChar w:fldCharType="separate"/>
            </w:r>
            <w:r w:rsidR="00473CCE">
              <w:rPr>
                <w:noProof/>
                <w:webHidden/>
              </w:rPr>
              <w:t>12</w:t>
            </w:r>
            <w:r w:rsidR="00473CCE">
              <w:rPr>
                <w:noProof/>
                <w:webHidden/>
              </w:rPr>
              <w:fldChar w:fldCharType="end"/>
            </w:r>
          </w:hyperlink>
        </w:p>
        <w:p w14:paraId="46F61247" w14:textId="241814A3" w:rsidR="00473CCE" w:rsidRDefault="006B48A9" w:rsidP="00473CCE">
          <w:pPr>
            <w:pStyle w:val="TOC2"/>
            <w:tabs>
              <w:tab w:val="right" w:leader="dot" w:pos="9350"/>
            </w:tabs>
            <w:ind w:left="0"/>
            <w:rPr>
              <w:rFonts w:eastAsiaTheme="minorEastAsia"/>
              <w:noProof/>
            </w:rPr>
          </w:pPr>
          <w:hyperlink w:anchor="_Toc110339651" w:history="1">
            <w:r w:rsidR="00473CCE" w:rsidRPr="0009229D">
              <w:rPr>
                <w:rStyle w:val="Hyperlink"/>
                <w:b/>
                <w:bCs/>
                <w:noProof/>
              </w:rPr>
              <w:t>19.</w:t>
            </w:r>
            <w:r w:rsidR="00473CCE" w:rsidRPr="0009229D">
              <w:rPr>
                <w:rStyle w:val="Hyperlink"/>
                <w:b/>
                <w:bCs/>
                <w:noProof/>
                <w:highlight w:val="yellow"/>
              </w:rPr>
              <w:t>32</w:t>
            </w:r>
            <w:r w:rsidR="00473CCE" w:rsidRPr="0009229D">
              <w:rPr>
                <w:rStyle w:val="Hyperlink"/>
                <w:b/>
                <w:bCs/>
                <w:noProof/>
              </w:rPr>
              <w:t>.080 - Open Space and Landscaping.</w:t>
            </w:r>
            <w:r w:rsidR="00473CCE">
              <w:rPr>
                <w:noProof/>
                <w:webHidden/>
              </w:rPr>
              <w:tab/>
            </w:r>
            <w:r w:rsidR="00473CCE">
              <w:rPr>
                <w:noProof/>
                <w:webHidden/>
              </w:rPr>
              <w:fldChar w:fldCharType="begin"/>
            </w:r>
            <w:r w:rsidR="00473CCE">
              <w:rPr>
                <w:noProof/>
                <w:webHidden/>
              </w:rPr>
              <w:instrText xml:space="preserve"> PAGEREF _Toc110339651 \h </w:instrText>
            </w:r>
            <w:r w:rsidR="00473CCE">
              <w:rPr>
                <w:noProof/>
                <w:webHidden/>
              </w:rPr>
            </w:r>
            <w:r w:rsidR="00473CCE">
              <w:rPr>
                <w:noProof/>
                <w:webHidden/>
              </w:rPr>
              <w:fldChar w:fldCharType="separate"/>
            </w:r>
            <w:r w:rsidR="00473CCE">
              <w:rPr>
                <w:noProof/>
                <w:webHidden/>
              </w:rPr>
              <w:t>12</w:t>
            </w:r>
            <w:r w:rsidR="00473CCE">
              <w:rPr>
                <w:noProof/>
                <w:webHidden/>
              </w:rPr>
              <w:fldChar w:fldCharType="end"/>
            </w:r>
          </w:hyperlink>
        </w:p>
        <w:p w14:paraId="692812B8" w14:textId="06A7AE1A" w:rsidR="00473CCE" w:rsidRDefault="006B48A9" w:rsidP="00473CCE">
          <w:pPr>
            <w:pStyle w:val="TOC2"/>
            <w:tabs>
              <w:tab w:val="right" w:leader="dot" w:pos="9350"/>
            </w:tabs>
            <w:ind w:left="0"/>
            <w:rPr>
              <w:rFonts w:eastAsiaTheme="minorEastAsia"/>
              <w:noProof/>
            </w:rPr>
          </w:pPr>
          <w:hyperlink w:anchor="_Toc110339652" w:history="1">
            <w:r w:rsidR="00473CCE" w:rsidRPr="0009229D">
              <w:rPr>
                <w:rStyle w:val="Hyperlink"/>
                <w:b/>
                <w:bCs/>
                <w:noProof/>
              </w:rPr>
              <w:t>19.</w:t>
            </w:r>
            <w:r w:rsidR="00473CCE" w:rsidRPr="0009229D">
              <w:rPr>
                <w:rStyle w:val="Hyperlink"/>
                <w:b/>
                <w:bCs/>
                <w:noProof/>
                <w:highlight w:val="yellow"/>
              </w:rPr>
              <w:t>32</w:t>
            </w:r>
            <w:r w:rsidR="00473CCE" w:rsidRPr="0009229D">
              <w:rPr>
                <w:rStyle w:val="Hyperlink"/>
                <w:b/>
                <w:bCs/>
                <w:noProof/>
              </w:rPr>
              <w:t>.090 – Lighting.</w:t>
            </w:r>
            <w:r w:rsidR="00473CCE">
              <w:rPr>
                <w:noProof/>
                <w:webHidden/>
              </w:rPr>
              <w:tab/>
            </w:r>
            <w:r w:rsidR="00473CCE">
              <w:rPr>
                <w:noProof/>
                <w:webHidden/>
              </w:rPr>
              <w:fldChar w:fldCharType="begin"/>
            </w:r>
            <w:r w:rsidR="00473CCE">
              <w:rPr>
                <w:noProof/>
                <w:webHidden/>
              </w:rPr>
              <w:instrText xml:space="preserve"> PAGEREF _Toc110339652 \h </w:instrText>
            </w:r>
            <w:r w:rsidR="00473CCE">
              <w:rPr>
                <w:noProof/>
                <w:webHidden/>
              </w:rPr>
            </w:r>
            <w:r w:rsidR="00473CCE">
              <w:rPr>
                <w:noProof/>
                <w:webHidden/>
              </w:rPr>
              <w:fldChar w:fldCharType="separate"/>
            </w:r>
            <w:r w:rsidR="00473CCE">
              <w:rPr>
                <w:noProof/>
                <w:webHidden/>
              </w:rPr>
              <w:t>13</w:t>
            </w:r>
            <w:r w:rsidR="00473CCE">
              <w:rPr>
                <w:noProof/>
                <w:webHidden/>
              </w:rPr>
              <w:fldChar w:fldCharType="end"/>
            </w:r>
          </w:hyperlink>
        </w:p>
        <w:p w14:paraId="41631062" w14:textId="3EE4D9E6" w:rsidR="00473CCE" w:rsidRDefault="006B48A9" w:rsidP="00473CCE">
          <w:pPr>
            <w:pStyle w:val="TOC2"/>
            <w:tabs>
              <w:tab w:val="right" w:leader="dot" w:pos="9350"/>
            </w:tabs>
            <w:ind w:left="0"/>
            <w:rPr>
              <w:rFonts w:eastAsiaTheme="minorEastAsia"/>
              <w:noProof/>
            </w:rPr>
          </w:pPr>
          <w:hyperlink w:anchor="_Toc110339653" w:history="1">
            <w:r w:rsidR="00473CCE" w:rsidRPr="0009229D">
              <w:rPr>
                <w:rStyle w:val="Hyperlink"/>
                <w:b/>
                <w:bCs/>
                <w:noProof/>
              </w:rPr>
              <w:t>19.</w:t>
            </w:r>
            <w:r w:rsidR="00473CCE" w:rsidRPr="0009229D">
              <w:rPr>
                <w:rStyle w:val="Hyperlink"/>
                <w:b/>
                <w:bCs/>
                <w:noProof/>
                <w:highlight w:val="yellow"/>
              </w:rPr>
              <w:t>32</w:t>
            </w:r>
            <w:r w:rsidR="00473CCE" w:rsidRPr="0009229D">
              <w:rPr>
                <w:rStyle w:val="Hyperlink"/>
                <w:b/>
                <w:bCs/>
                <w:noProof/>
              </w:rPr>
              <w:t>.100 – Fences Hedges and Walls.</w:t>
            </w:r>
            <w:r w:rsidR="00473CCE">
              <w:rPr>
                <w:noProof/>
                <w:webHidden/>
              </w:rPr>
              <w:tab/>
            </w:r>
            <w:r w:rsidR="00473CCE">
              <w:rPr>
                <w:noProof/>
                <w:webHidden/>
              </w:rPr>
              <w:fldChar w:fldCharType="begin"/>
            </w:r>
            <w:r w:rsidR="00473CCE">
              <w:rPr>
                <w:noProof/>
                <w:webHidden/>
              </w:rPr>
              <w:instrText xml:space="preserve"> PAGEREF _Toc110339653 \h </w:instrText>
            </w:r>
            <w:r w:rsidR="00473CCE">
              <w:rPr>
                <w:noProof/>
                <w:webHidden/>
              </w:rPr>
            </w:r>
            <w:r w:rsidR="00473CCE">
              <w:rPr>
                <w:noProof/>
                <w:webHidden/>
              </w:rPr>
              <w:fldChar w:fldCharType="separate"/>
            </w:r>
            <w:r w:rsidR="00473CCE">
              <w:rPr>
                <w:noProof/>
                <w:webHidden/>
              </w:rPr>
              <w:t>15</w:t>
            </w:r>
            <w:r w:rsidR="00473CCE">
              <w:rPr>
                <w:noProof/>
                <w:webHidden/>
              </w:rPr>
              <w:fldChar w:fldCharType="end"/>
            </w:r>
          </w:hyperlink>
        </w:p>
        <w:p w14:paraId="10785CE4" w14:textId="3AEB8842" w:rsidR="00473CCE" w:rsidRDefault="006B48A9" w:rsidP="00473CCE">
          <w:pPr>
            <w:pStyle w:val="TOC2"/>
            <w:tabs>
              <w:tab w:val="right" w:leader="dot" w:pos="9350"/>
            </w:tabs>
            <w:ind w:left="0"/>
            <w:rPr>
              <w:rFonts w:eastAsiaTheme="minorEastAsia"/>
              <w:noProof/>
            </w:rPr>
          </w:pPr>
          <w:hyperlink w:anchor="_Toc110339654" w:history="1">
            <w:r w:rsidR="00473CCE" w:rsidRPr="0009229D">
              <w:rPr>
                <w:rStyle w:val="Hyperlink"/>
                <w:b/>
                <w:bCs/>
                <w:noProof/>
              </w:rPr>
              <w:t>19.</w:t>
            </w:r>
            <w:r w:rsidR="00473CCE" w:rsidRPr="0009229D">
              <w:rPr>
                <w:rStyle w:val="Hyperlink"/>
                <w:b/>
                <w:bCs/>
                <w:noProof/>
                <w:highlight w:val="yellow"/>
              </w:rPr>
              <w:t>32</w:t>
            </w:r>
            <w:r w:rsidR="00473CCE" w:rsidRPr="0009229D">
              <w:rPr>
                <w:rStyle w:val="Hyperlink"/>
                <w:b/>
                <w:bCs/>
                <w:noProof/>
              </w:rPr>
              <w:t>.110 – General Information.</w:t>
            </w:r>
            <w:r w:rsidR="00473CCE">
              <w:rPr>
                <w:noProof/>
                <w:webHidden/>
              </w:rPr>
              <w:tab/>
            </w:r>
            <w:r w:rsidR="00473CCE">
              <w:rPr>
                <w:noProof/>
                <w:webHidden/>
              </w:rPr>
              <w:fldChar w:fldCharType="begin"/>
            </w:r>
            <w:r w:rsidR="00473CCE">
              <w:rPr>
                <w:noProof/>
                <w:webHidden/>
              </w:rPr>
              <w:instrText xml:space="preserve"> PAGEREF _Toc110339654 \h </w:instrText>
            </w:r>
            <w:r w:rsidR="00473CCE">
              <w:rPr>
                <w:noProof/>
                <w:webHidden/>
              </w:rPr>
            </w:r>
            <w:r w:rsidR="00473CCE">
              <w:rPr>
                <w:noProof/>
                <w:webHidden/>
              </w:rPr>
              <w:fldChar w:fldCharType="separate"/>
            </w:r>
            <w:r w:rsidR="00473CCE">
              <w:rPr>
                <w:noProof/>
                <w:webHidden/>
              </w:rPr>
              <w:t>16</w:t>
            </w:r>
            <w:r w:rsidR="00473CCE">
              <w:rPr>
                <w:noProof/>
                <w:webHidden/>
              </w:rPr>
              <w:fldChar w:fldCharType="end"/>
            </w:r>
          </w:hyperlink>
        </w:p>
        <w:p w14:paraId="67646B9F" w14:textId="6073F15F" w:rsidR="00473CCE" w:rsidRDefault="00473CCE">
          <w:r>
            <w:rPr>
              <w:b/>
              <w:bCs/>
              <w:noProof/>
            </w:rPr>
            <w:fldChar w:fldCharType="end"/>
          </w:r>
        </w:p>
      </w:sdtContent>
    </w:sdt>
    <w:p w14:paraId="27AC42D2" w14:textId="4FAEF1A9" w:rsidR="00E50094" w:rsidRDefault="00E50094" w:rsidP="00E50094">
      <w:pPr>
        <w:rPr>
          <w:b/>
          <w:bCs/>
        </w:rPr>
      </w:pPr>
      <w:r>
        <w:rPr>
          <w:b/>
          <w:bCs/>
        </w:rPr>
        <w:t>Sections:</w:t>
      </w:r>
    </w:p>
    <w:p w14:paraId="168C2D30" w14:textId="77777777" w:rsidR="00E50094" w:rsidRPr="0008587D" w:rsidRDefault="00E50094" w:rsidP="00E50094">
      <w:pPr>
        <w:pStyle w:val="Heading2"/>
      </w:pPr>
      <w:bookmarkStart w:id="0" w:name="_Toc110265541"/>
      <w:bookmarkStart w:id="1" w:name="_Toc110339644"/>
      <w:r w:rsidRPr="0008587D">
        <w:t>19.</w:t>
      </w:r>
      <w:r w:rsidRPr="0008587D">
        <w:rPr>
          <w:highlight w:val="yellow"/>
        </w:rPr>
        <w:t>32</w:t>
      </w:r>
      <w:r w:rsidRPr="0008587D">
        <w:t>.010 – Purpose of Provisions.</w:t>
      </w:r>
      <w:bookmarkEnd w:id="0"/>
      <w:bookmarkEnd w:id="1"/>
    </w:p>
    <w:p w14:paraId="1AAE3513" w14:textId="77777777" w:rsidR="00E50094" w:rsidRDefault="00E50094" w:rsidP="00E50094">
      <w:pPr>
        <w:jc w:val="both"/>
      </w:pPr>
      <w:r>
        <w:t>The purpose of the commercial zones is to provide places in the municipality for a wide range of commercial and retail trades and uses, offices, business and professional services, and other uses that contribute to the economic stability of the community and wellbeing of its employees and residents. The zones are intended to provide employment opportunities and expand the municipal tax base, while also encouraging sustainable development and providing an attractive transition between residential and non-residential uses.</w:t>
      </w:r>
    </w:p>
    <w:p w14:paraId="2836DAF1" w14:textId="77777777" w:rsidR="00E50094" w:rsidRPr="00E36DF8" w:rsidRDefault="00E50094" w:rsidP="00E50094">
      <w:pPr>
        <w:pStyle w:val="Heading2"/>
      </w:pPr>
      <w:bookmarkStart w:id="2" w:name="_Toc110265542"/>
      <w:bookmarkStart w:id="3" w:name="_Toc110339645"/>
      <w:r w:rsidRPr="00E36DF8">
        <w:t>19.</w:t>
      </w:r>
      <w:r w:rsidRPr="006E33EC">
        <w:rPr>
          <w:highlight w:val="yellow"/>
        </w:rPr>
        <w:t>32</w:t>
      </w:r>
      <w:r w:rsidRPr="00E36DF8">
        <w:t xml:space="preserve">.020 – Establishment of </w:t>
      </w:r>
      <w:r>
        <w:t>Commercial</w:t>
      </w:r>
      <w:r w:rsidRPr="00E36DF8">
        <w:t xml:space="preserve"> </w:t>
      </w:r>
      <w:r>
        <w:t>Zones</w:t>
      </w:r>
      <w:r w:rsidRPr="00E36DF8">
        <w:t>.</w:t>
      </w:r>
      <w:bookmarkEnd w:id="2"/>
      <w:bookmarkEnd w:id="3"/>
      <w:r w:rsidRPr="00E36DF8">
        <w:t xml:space="preserve"> </w:t>
      </w:r>
    </w:p>
    <w:p w14:paraId="5B7A1C80" w14:textId="77777777" w:rsidR="00E50094" w:rsidRDefault="00E50094" w:rsidP="00E50094">
      <w:pPr>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w:t>
      </w:r>
      <w:r w:rsidRPr="00CD0DEA">
        <w:rPr>
          <w:rStyle w:val="normaltextrun"/>
          <w:rFonts w:ascii="Calibri" w:hAnsi="Calibri" w:cs="Calibri"/>
          <w:color w:val="000000"/>
          <w:shd w:val="clear" w:color="auto" w:fill="FFFFFF"/>
        </w:rPr>
        <w:t xml:space="preserve">o anticipate and respond to the changing needs of our community and implement commercial node concepts included in the adopted General Plan, the following </w:t>
      </w:r>
      <w:r>
        <w:rPr>
          <w:rStyle w:val="normaltextrun"/>
          <w:rFonts w:ascii="Calibri" w:hAnsi="Calibri" w:cs="Calibri"/>
          <w:color w:val="000000"/>
          <w:shd w:val="clear" w:color="auto" w:fill="FFFFFF"/>
        </w:rPr>
        <w:t>zones</w:t>
      </w:r>
      <w:r w:rsidRPr="00CD0DEA">
        <w:rPr>
          <w:rStyle w:val="normaltextrun"/>
          <w:rFonts w:ascii="Calibri" w:hAnsi="Calibri" w:cs="Calibri"/>
          <w:color w:val="000000"/>
          <w:shd w:val="clear" w:color="auto" w:fill="FFFFFF"/>
        </w:rPr>
        <w:t xml:space="preserve"> are established:</w:t>
      </w:r>
      <w:r>
        <w:rPr>
          <w:rStyle w:val="eop"/>
          <w:rFonts w:ascii="Calibri" w:hAnsi="Calibri" w:cs="Calibri"/>
          <w:color w:val="000000"/>
          <w:shd w:val="clear" w:color="auto" w:fill="FFFFFF"/>
        </w:rPr>
        <w:t> </w:t>
      </w:r>
    </w:p>
    <w:p w14:paraId="76A4493E" w14:textId="77777777" w:rsidR="00E50094" w:rsidRDefault="00E50094">
      <w:pPr>
        <w:pStyle w:val="ListParagraph"/>
        <w:numPr>
          <w:ilvl w:val="0"/>
          <w:numId w:val="2"/>
        </w:numPr>
        <w:ind w:left="360"/>
        <w:contextualSpacing w:val="0"/>
        <w:jc w:val="both"/>
        <w:rPr>
          <w:rFonts w:eastAsiaTheme="minorEastAsia"/>
          <w:i/>
          <w:iCs/>
        </w:rPr>
      </w:pPr>
      <w:r w:rsidRPr="004F528C">
        <w:rPr>
          <w:u w:val="single"/>
        </w:rPr>
        <w:t>Commercial Zone – General Commercial (C-1):</w:t>
      </w:r>
      <w:r w:rsidRPr="47B8AA5E">
        <w:rPr>
          <w:i/>
          <w:iCs/>
        </w:rPr>
        <w:t xml:space="preserve"> </w:t>
      </w:r>
      <w:r>
        <w:t xml:space="preserve">The C-1 Zone is intended to provide a wide range of commercial uses designed to serve neighborhood, community, and regional needs. The commercial use may be freestanding or integrated in a center. </w:t>
      </w:r>
      <w:r w:rsidRPr="47B8AA5E">
        <w:rPr>
          <w:rFonts w:ascii="Calibri" w:eastAsia="Calibri" w:hAnsi="Calibri" w:cs="Calibri"/>
        </w:rPr>
        <w:t xml:space="preserve">Development </w:t>
      </w:r>
      <w:r>
        <w:rPr>
          <w:rFonts w:ascii="Calibri" w:eastAsia="Calibri" w:hAnsi="Calibri" w:cs="Calibri"/>
        </w:rPr>
        <w:t>is</w:t>
      </w:r>
      <w:r w:rsidRPr="47B8AA5E">
        <w:rPr>
          <w:rFonts w:ascii="Calibri" w:eastAsia="Calibri" w:hAnsi="Calibri" w:cs="Calibri"/>
        </w:rPr>
        <w:t xml:space="preserve"> orient</w:t>
      </w:r>
      <w:r>
        <w:rPr>
          <w:rFonts w:ascii="Calibri" w:eastAsia="Calibri" w:hAnsi="Calibri" w:cs="Calibri"/>
        </w:rPr>
        <w:t>ed</w:t>
      </w:r>
      <w:r w:rsidRPr="47B8AA5E">
        <w:rPr>
          <w:rFonts w:ascii="Calibri" w:eastAsia="Calibri" w:hAnsi="Calibri" w:cs="Calibri"/>
        </w:rPr>
        <w:t xml:space="preserve"> to the street to encourage a pedestrian relationship and buildings </w:t>
      </w:r>
      <w:r>
        <w:rPr>
          <w:rFonts w:ascii="Calibri" w:eastAsia="Calibri" w:hAnsi="Calibri" w:cs="Calibri"/>
        </w:rPr>
        <w:t>are</w:t>
      </w:r>
      <w:r w:rsidRPr="47B8AA5E">
        <w:rPr>
          <w:rFonts w:ascii="Calibri" w:eastAsia="Calibri" w:hAnsi="Calibri" w:cs="Calibri"/>
        </w:rPr>
        <w:t xml:space="preserve"> placed to allow interconnected walkways and shared site accesses</w:t>
      </w:r>
      <w:r>
        <w:rPr>
          <w:rFonts w:ascii="Calibri" w:eastAsia="Calibri" w:hAnsi="Calibri" w:cs="Calibri"/>
        </w:rPr>
        <w:t xml:space="preserve"> </w:t>
      </w:r>
      <w:r w:rsidRPr="47B8AA5E">
        <w:rPr>
          <w:rFonts w:ascii="Calibri" w:eastAsia="Calibri" w:hAnsi="Calibri" w:cs="Calibri"/>
        </w:rPr>
        <w:t>for increased convenience, accessibility, and enhanced safety for pedestrians. Development include</w:t>
      </w:r>
      <w:r>
        <w:rPr>
          <w:rFonts w:ascii="Calibri" w:eastAsia="Calibri" w:hAnsi="Calibri" w:cs="Calibri"/>
        </w:rPr>
        <w:t>s</w:t>
      </w:r>
      <w:r w:rsidRPr="47B8AA5E">
        <w:rPr>
          <w:rFonts w:ascii="Calibri" w:eastAsia="Calibri" w:hAnsi="Calibri" w:cs="Calibri"/>
        </w:rPr>
        <w:t xml:space="preserve"> elements and façades at the pedestrian level and </w:t>
      </w:r>
      <w:r>
        <w:rPr>
          <w:rFonts w:ascii="Calibri" w:eastAsia="Calibri" w:hAnsi="Calibri" w:cs="Calibri"/>
        </w:rPr>
        <w:t>achieves</w:t>
      </w:r>
      <w:r w:rsidRPr="47B8AA5E">
        <w:rPr>
          <w:rFonts w:ascii="Calibri" w:eastAsia="Calibri" w:hAnsi="Calibri" w:cs="Calibri"/>
        </w:rPr>
        <w:t xml:space="preserve"> a sense of human scale and create</w:t>
      </w:r>
      <w:r>
        <w:rPr>
          <w:rFonts w:ascii="Calibri" w:eastAsia="Calibri" w:hAnsi="Calibri" w:cs="Calibri"/>
        </w:rPr>
        <w:t>s</w:t>
      </w:r>
      <w:r w:rsidRPr="47B8AA5E">
        <w:rPr>
          <w:rFonts w:ascii="Calibri" w:eastAsia="Calibri" w:hAnsi="Calibri" w:cs="Calibri"/>
        </w:rPr>
        <w:t xml:space="preserve"> visual interest at eye-level.</w:t>
      </w:r>
    </w:p>
    <w:p w14:paraId="179ABB33" w14:textId="77777777" w:rsidR="00E50094" w:rsidRDefault="00E50094">
      <w:pPr>
        <w:pStyle w:val="ListParagraph"/>
        <w:numPr>
          <w:ilvl w:val="0"/>
          <w:numId w:val="2"/>
        </w:numPr>
        <w:ind w:left="360"/>
        <w:contextualSpacing w:val="0"/>
        <w:jc w:val="both"/>
        <w:rPr>
          <w:i/>
          <w:iCs/>
        </w:rPr>
      </w:pPr>
      <w:r w:rsidRPr="004F528C">
        <w:rPr>
          <w:u w:val="single"/>
        </w:rPr>
        <w:t>Commercial Zone – Shopping Center Commercial (C-2):</w:t>
      </w:r>
      <w:r>
        <w:t xml:space="preserve"> The C-2 Zone is intended to provide retail uses, service-oriented businesses, offices, and restaurants in an integrated center. Each center </w:t>
      </w:r>
      <w:r>
        <w:lastRenderedPageBreak/>
        <w:t>shares common architecture, access, parking, signage, and landscape design. Each centers typically includes three (3) or more acres and provides regional or community level destination shopping which incorporates a design that enhances pedestrian orientation within the center.</w:t>
      </w:r>
    </w:p>
    <w:p w14:paraId="2576325A" w14:textId="77777777" w:rsidR="0079201F" w:rsidRDefault="00E50094">
      <w:pPr>
        <w:pStyle w:val="ListParagraph"/>
        <w:numPr>
          <w:ilvl w:val="0"/>
          <w:numId w:val="2"/>
        </w:numPr>
        <w:ind w:left="360"/>
        <w:contextualSpacing w:val="0"/>
        <w:jc w:val="both"/>
      </w:pPr>
      <w:r w:rsidRPr="004F528C">
        <w:rPr>
          <w:u w:val="single"/>
        </w:rPr>
        <w:t>Commercial Zone – Warehousing and Wholesale Commercial (C-3):</w:t>
      </w:r>
      <w:r>
        <w:t xml:space="preserve"> The C-3 Zone is intended to provide a legacy zone, originally intended to provide areas for warehousing and wholesale businesses and general commercial. The warehouse and wholesale business is now developed under the M-1 zoning classification and new commercial uses are developed as appropriate under the C-1 or C-2 zones.</w:t>
      </w:r>
    </w:p>
    <w:p w14:paraId="37178BA3" w14:textId="3ABAAF53" w:rsidR="00A14982" w:rsidRPr="00A90E7D" w:rsidRDefault="3449675B">
      <w:pPr>
        <w:pStyle w:val="ListParagraph"/>
        <w:numPr>
          <w:ilvl w:val="0"/>
          <w:numId w:val="2"/>
        </w:numPr>
        <w:ind w:left="360"/>
        <w:contextualSpacing w:val="0"/>
        <w:jc w:val="both"/>
      </w:pPr>
      <w:r w:rsidRPr="0079201F">
        <w:rPr>
          <w:u w:val="single"/>
        </w:rPr>
        <w:t xml:space="preserve">Commercial Zone </w:t>
      </w:r>
      <w:r w:rsidR="4DF83705" w:rsidRPr="0079201F">
        <w:rPr>
          <w:u w:val="single"/>
        </w:rPr>
        <w:t>–</w:t>
      </w:r>
      <w:r w:rsidRPr="0079201F">
        <w:rPr>
          <w:u w:val="single"/>
        </w:rPr>
        <w:t xml:space="preserve"> </w:t>
      </w:r>
      <w:r w:rsidR="4DF83705" w:rsidRPr="0079201F">
        <w:rPr>
          <w:u w:val="single"/>
        </w:rPr>
        <w:t xml:space="preserve">Visitor and </w:t>
      </w:r>
      <w:r w:rsidRPr="0079201F">
        <w:rPr>
          <w:u w:val="single"/>
        </w:rPr>
        <w:t>Tourism</w:t>
      </w:r>
      <w:r w:rsidR="4DF83705" w:rsidRPr="0079201F">
        <w:rPr>
          <w:u w:val="single"/>
        </w:rPr>
        <w:t xml:space="preserve"> (C-V):</w:t>
      </w:r>
      <w:r w:rsidR="79FE6DB1" w:rsidRPr="0F258FFF">
        <w:rPr>
          <w:i/>
          <w:iCs/>
        </w:rPr>
        <w:t xml:space="preserve"> </w:t>
      </w:r>
      <w:r w:rsidR="79FE6DB1">
        <w:t>The C-V Zone is intended to provide areas in appropriate locations where commercial centers provi</w:t>
      </w:r>
      <w:r w:rsidR="00100C0E">
        <w:t>de</w:t>
      </w:r>
      <w:r w:rsidR="79FE6DB1">
        <w:t xml:space="preserve"> for the needs of tourists and travelers </w:t>
      </w:r>
      <w:r w:rsidR="00100C0E">
        <w:t xml:space="preserve">be </w:t>
      </w:r>
      <w:r w:rsidR="79FE6DB1">
        <w:t>established, maintained</w:t>
      </w:r>
      <w:r w:rsidR="00C14AD1">
        <w:t>,</w:t>
      </w:r>
      <w:r w:rsidR="79FE6DB1">
        <w:t xml:space="preserve"> and protected. The regulations of this zone encourage the provision of transient housing facilities, restaurants, service stations, and other commercial activities providing for the convenience, welfare</w:t>
      </w:r>
      <w:r w:rsidR="00C14AD1">
        <w:t>,</w:t>
      </w:r>
      <w:r w:rsidR="79FE6DB1">
        <w:t xml:space="preserve"> or entertainment of the</w:t>
      </w:r>
      <w:r w:rsidR="00D030B0">
        <w:t xml:space="preserve"> tourist or</w:t>
      </w:r>
      <w:r w:rsidR="79FE6DB1">
        <w:t xml:space="preserve"> traveler.</w:t>
      </w:r>
    </w:p>
    <w:p w14:paraId="0F5E2775" w14:textId="77777777" w:rsidR="00BA61E1" w:rsidRPr="00BA61E1" w:rsidRDefault="00BA61E1" w:rsidP="00473CCE">
      <w:pPr>
        <w:pStyle w:val="Heading1"/>
        <w:rPr>
          <w:rFonts w:ascii="Segoe UI" w:eastAsia="Times New Roman" w:hAnsi="Segoe UI" w:cs="Segoe UI"/>
          <w:b/>
          <w:bCs/>
          <w:color w:val="auto"/>
          <w:sz w:val="22"/>
          <w:szCs w:val="22"/>
        </w:rPr>
      </w:pPr>
      <w:bookmarkStart w:id="4" w:name="_Toc110339646"/>
      <w:r w:rsidRPr="00BA61E1">
        <w:rPr>
          <w:rFonts w:ascii="Calibri" w:eastAsia="Times New Roman" w:hAnsi="Calibri" w:cs="Calibri"/>
          <w:b/>
          <w:bCs/>
          <w:color w:val="auto"/>
          <w:sz w:val="22"/>
          <w:szCs w:val="22"/>
        </w:rPr>
        <w:t>19.</w:t>
      </w:r>
      <w:r w:rsidRPr="00BA61E1">
        <w:rPr>
          <w:rFonts w:ascii="Calibri" w:eastAsia="Times New Roman" w:hAnsi="Calibri" w:cs="Calibri"/>
          <w:b/>
          <w:bCs/>
          <w:color w:val="auto"/>
          <w:sz w:val="22"/>
          <w:szCs w:val="22"/>
          <w:shd w:val="clear" w:color="auto" w:fill="FFFF00"/>
        </w:rPr>
        <w:t>32</w:t>
      </w:r>
      <w:r w:rsidRPr="00BA61E1">
        <w:rPr>
          <w:rFonts w:ascii="Calibri" w:eastAsia="Times New Roman" w:hAnsi="Calibri" w:cs="Calibri"/>
          <w:b/>
          <w:bCs/>
          <w:color w:val="auto"/>
          <w:sz w:val="22"/>
          <w:szCs w:val="22"/>
        </w:rPr>
        <w:t>.030 – Schedule of Permitted Uses.</w:t>
      </w:r>
      <w:bookmarkEnd w:id="4"/>
      <w:r w:rsidRPr="00BA61E1">
        <w:rPr>
          <w:rFonts w:ascii="Calibri" w:eastAsia="Times New Roman" w:hAnsi="Calibri" w:cs="Calibri"/>
          <w:b/>
          <w:bCs/>
          <w:color w:val="auto"/>
          <w:sz w:val="22"/>
          <w:szCs w:val="22"/>
        </w:rPr>
        <w:t> </w:t>
      </w:r>
    </w:p>
    <w:p w14:paraId="2A1C7A2A" w14:textId="77777777" w:rsidR="00BA61E1" w:rsidRPr="00BA61E1" w:rsidRDefault="00BA61E1">
      <w:pPr>
        <w:numPr>
          <w:ilvl w:val="0"/>
          <w:numId w:val="7"/>
        </w:numPr>
        <w:tabs>
          <w:tab w:val="clear" w:pos="720"/>
        </w:tabs>
        <w:spacing w:after="0" w:line="240" w:lineRule="auto"/>
        <w:ind w:left="360"/>
        <w:jc w:val="both"/>
        <w:textAlignment w:val="baseline"/>
        <w:rPr>
          <w:rFonts w:ascii="Calibri" w:eastAsia="Times New Roman" w:hAnsi="Calibri" w:cs="Calibri"/>
        </w:rPr>
      </w:pPr>
      <w:r w:rsidRPr="00BA61E1">
        <w:rPr>
          <w:rFonts w:ascii="Calibri" w:eastAsia="Times New Roman" w:hAnsi="Calibri" w:cs="Calibri"/>
          <w:u w:val="single"/>
        </w:rPr>
        <w:t>Schedule of Permitted Uses.</w:t>
      </w:r>
      <w:r w:rsidRPr="00BA61E1">
        <w:rPr>
          <w:rFonts w:ascii="Calibri" w:eastAsia="Times New Roman" w:hAnsi="Calibri" w:cs="Calibri"/>
        </w:rPr>
        <w:t xml:space="preserve"> The specific uses listed in the following schedule are permitted in the zones as indicated, subject to the general provisions, special conditions, additional restrictions, and exceptions set forth in this Title.      </w:t>
      </w:r>
    </w:p>
    <w:p w14:paraId="21875BC0" w14:textId="77777777" w:rsidR="00BA61E1" w:rsidRPr="00BA61E1" w:rsidRDefault="00BA61E1">
      <w:pPr>
        <w:numPr>
          <w:ilvl w:val="0"/>
          <w:numId w:val="8"/>
        </w:numPr>
        <w:tabs>
          <w:tab w:val="clear" w:pos="720"/>
        </w:tabs>
        <w:spacing w:after="0" w:line="240" w:lineRule="auto"/>
        <w:ind w:left="360"/>
        <w:jc w:val="both"/>
        <w:textAlignment w:val="baseline"/>
        <w:rPr>
          <w:rFonts w:ascii="Calibri" w:eastAsia="Times New Roman" w:hAnsi="Calibri" w:cs="Calibri"/>
        </w:rPr>
      </w:pPr>
      <w:r w:rsidRPr="00BA61E1">
        <w:rPr>
          <w:rFonts w:ascii="Calibri" w:eastAsia="Times New Roman" w:hAnsi="Calibri" w:cs="Calibri"/>
          <w:u w:val="single"/>
        </w:rPr>
        <w:t>Procedure for Multiple Uses (Combination of Uses).</w:t>
      </w:r>
      <w:r w:rsidRPr="00BA61E1">
        <w:rPr>
          <w:rFonts w:ascii="Calibri" w:eastAsia="Times New Roman" w:hAnsi="Calibri" w:cs="Calibri"/>
        </w:rPr>
        <w:t xml:space="preserve"> If a development proposal involves a combination of uses other than accessory uses as identified in Table 19.</w:t>
      </w:r>
      <w:r w:rsidRPr="00BA61E1">
        <w:rPr>
          <w:rFonts w:ascii="Calibri" w:eastAsia="Times New Roman" w:hAnsi="Calibri" w:cs="Calibri"/>
          <w:shd w:val="clear" w:color="auto" w:fill="FFFF00"/>
        </w:rPr>
        <w:t>XX</w:t>
      </w:r>
      <w:r w:rsidRPr="00BA61E1">
        <w:rPr>
          <w:rFonts w:ascii="Calibri" w:eastAsia="Times New Roman" w:hAnsi="Calibri" w:cs="Calibri"/>
        </w:rPr>
        <w:t>.030,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p>
    <w:p w14:paraId="60D79AF5" w14:textId="77777777" w:rsidR="00BA61E1" w:rsidRPr="00BA61E1" w:rsidRDefault="00BA61E1">
      <w:pPr>
        <w:numPr>
          <w:ilvl w:val="0"/>
          <w:numId w:val="9"/>
        </w:numPr>
        <w:tabs>
          <w:tab w:val="clear" w:pos="720"/>
        </w:tabs>
        <w:spacing w:after="0" w:line="240" w:lineRule="auto"/>
        <w:ind w:left="360"/>
        <w:jc w:val="both"/>
        <w:textAlignment w:val="baseline"/>
        <w:rPr>
          <w:rFonts w:ascii="Calibri" w:eastAsia="Times New Roman" w:hAnsi="Calibri" w:cs="Calibri"/>
        </w:rPr>
      </w:pPr>
      <w:r w:rsidRPr="00BA61E1">
        <w:rPr>
          <w:rFonts w:ascii="Calibri" w:eastAsia="Times New Roman" w:hAnsi="Calibri" w:cs="Calibri"/>
          <w:u w:val="single"/>
        </w:rPr>
        <w:t>Abbreviations</w:t>
      </w:r>
      <w:r w:rsidRPr="00BA61E1">
        <w:rPr>
          <w:rFonts w:ascii="Calibri" w:eastAsia="Times New Roman" w:hAnsi="Calibri" w:cs="Calibri"/>
        </w:rPr>
        <w:t>. The abbreviations used in the schedule mean:      </w:t>
      </w:r>
    </w:p>
    <w:p w14:paraId="4A608A69" w14:textId="77777777" w:rsidR="00BA61E1" w:rsidRPr="00BA61E1" w:rsidRDefault="00BA61E1">
      <w:pPr>
        <w:numPr>
          <w:ilvl w:val="0"/>
          <w:numId w:val="10"/>
        </w:numPr>
        <w:tabs>
          <w:tab w:val="clear" w:pos="720"/>
        </w:tabs>
        <w:spacing w:after="0" w:line="240" w:lineRule="auto"/>
        <w:jc w:val="both"/>
        <w:textAlignment w:val="baseline"/>
        <w:rPr>
          <w:rFonts w:ascii="Calibri" w:eastAsia="Times New Roman" w:hAnsi="Calibri" w:cs="Calibri"/>
        </w:rPr>
      </w:pPr>
      <w:r w:rsidRPr="00BA61E1">
        <w:rPr>
          <w:rFonts w:ascii="Calibri" w:eastAsia="Times New Roman" w:hAnsi="Calibri" w:cs="Calibri"/>
          <w:u w:val="single"/>
        </w:rPr>
        <w:t>P = Permitted Use</w:t>
      </w:r>
      <w:r w:rsidRPr="00BA61E1">
        <w:rPr>
          <w:rFonts w:ascii="Calibri" w:eastAsia="Times New Roman" w:hAnsi="Calibri" w:cs="Calibri"/>
        </w:rPr>
        <w:t>. This use is allowed in the zone but may be subject to additional restrictions and approval processes as provided in this Title.     </w:t>
      </w:r>
    </w:p>
    <w:p w14:paraId="74AABD13" w14:textId="77777777" w:rsidR="00BA61E1" w:rsidRPr="00BA61E1" w:rsidRDefault="00BA61E1">
      <w:pPr>
        <w:numPr>
          <w:ilvl w:val="0"/>
          <w:numId w:val="11"/>
        </w:numPr>
        <w:tabs>
          <w:tab w:val="clear" w:pos="720"/>
        </w:tabs>
        <w:spacing w:after="0" w:line="240" w:lineRule="auto"/>
        <w:jc w:val="both"/>
        <w:textAlignment w:val="baseline"/>
        <w:rPr>
          <w:rFonts w:ascii="Calibri" w:eastAsia="Times New Roman" w:hAnsi="Calibri" w:cs="Calibri"/>
        </w:rPr>
      </w:pPr>
      <w:r w:rsidRPr="00BA61E1">
        <w:rPr>
          <w:rFonts w:ascii="Calibri" w:eastAsia="Times New Roman" w:hAnsi="Calibri" w:cs="Calibri"/>
          <w:u w:val="single"/>
        </w:rPr>
        <w:t>C = Conditional Use</w:t>
      </w:r>
      <w:r w:rsidRPr="00BA61E1">
        <w:rPr>
          <w:rFonts w:ascii="Calibri" w:eastAsia="Times New Roman" w:hAnsi="Calibri" w:cs="Calibri"/>
        </w:rPr>
        <w:t>.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p>
    <w:p w14:paraId="5524876C" w14:textId="77777777" w:rsidR="00BA61E1" w:rsidRPr="00BA61E1" w:rsidRDefault="00BA61E1">
      <w:pPr>
        <w:numPr>
          <w:ilvl w:val="0"/>
          <w:numId w:val="12"/>
        </w:numPr>
        <w:tabs>
          <w:tab w:val="clear" w:pos="720"/>
        </w:tabs>
        <w:spacing w:line="240" w:lineRule="auto"/>
        <w:jc w:val="both"/>
        <w:textAlignment w:val="baseline"/>
        <w:rPr>
          <w:rFonts w:ascii="Calibri" w:eastAsia="Times New Roman" w:hAnsi="Calibri" w:cs="Calibri"/>
        </w:rPr>
      </w:pPr>
      <w:r w:rsidRPr="00BA61E1">
        <w:rPr>
          <w:rFonts w:ascii="Calibri" w:eastAsia="Times New Roman" w:hAnsi="Calibri" w:cs="Calibri"/>
          <w:u w:val="single"/>
        </w:rPr>
        <w:t>X = Prohibited Use</w:t>
      </w:r>
      <w:r w:rsidRPr="00BA61E1">
        <w:rPr>
          <w:rFonts w:ascii="Calibri" w:eastAsia="Times New Roman" w:hAnsi="Calibri" w:cs="Calibri"/>
        </w:rPr>
        <w:t>. This use is prohibited in this zone. Any use not specifically identified in Table 19.</w:t>
      </w:r>
      <w:r w:rsidRPr="00BA61E1">
        <w:rPr>
          <w:rFonts w:ascii="Calibri" w:eastAsia="Times New Roman" w:hAnsi="Calibri" w:cs="Calibri"/>
          <w:shd w:val="clear" w:color="auto" w:fill="FFFF00"/>
        </w:rPr>
        <w:t>XX</w:t>
      </w:r>
      <w:r w:rsidRPr="00BA61E1">
        <w:rPr>
          <w:rFonts w:ascii="Calibri" w:eastAsia="Times New Roman" w:hAnsi="Calibri" w:cs="Calibri"/>
        </w:rPr>
        <w:t>.030 is prohibited in this zone.     </w:t>
      </w:r>
    </w:p>
    <w:tbl>
      <w:tblPr>
        <w:tblW w:w="9595" w:type="dxa"/>
        <w:jc w:val="center"/>
        <w:tblLook w:val="04A0" w:firstRow="1" w:lastRow="0" w:firstColumn="1" w:lastColumn="0" w:noHBand="0" w:noVBand="1"/>
      </w:tblPr>
      <w:tblGrid>
        <w:gridCol w:w="6655"/>
        <w:gridCol w:w="720"/>
        <w:gridCol w:w="720"/>
        <w:gridCol w:w="720"/>
        <w:gridCol w:w="780"/>
      </w:tblGrid>
      <w:tr w:rsidR="00CB171D" w:rsidRPr="00CB171D" w14:paraId="75441034" w14:textId="77777777" w:rsidTr="675E44C1">
        <w:trPr>
          <w:trHeight w:val="300"/>
          <w:jc w:val="center"/>
        </w:trPr>
        <w:tc>
          <w:tcPr>
            <w:tcW w:w="881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63F0B39" w14:textId="66F9138D" w:rsidR="00CB171D" w:rsidRPr="00CB171D" w:rsidRDefault="00CB171D" w:rsidP="00CB171D">
            <w:pPr>
              <w:spacing w:after="0" w:line="240" w:lineRule="auto"/>
              <w:jc w:val="center"/>
              <w:rPr>
                <w:rFonts w:ascii="Calibri" w:eastAsia="Times New Roman" w:hAnsi="Calibri" w:cs="Calibri"/>
                <w:b/>
                <w:bCs/>
                <w:color w:val="000000"/>
                <w:u w:val="single"/>
              </w:rPr>
            </w:pPr>
            <w:r w:rsidRPr="00CB171D">
              <w:rPr>
                <w:rFonts w:ascii="Calibri" w:eastAsia="Times New Roman" w:hAnsi="Calibri" w:cs="Calibri"/>
                <w:b/>
                <w:bCs/>
                <w:color w:val="000000"/>
                <w:u w:val="single"/>
              </w:rPr>
              <w:t>Table 19.32.0</w:t>
            </w:r>
            <w:r w:rsidR="00537248">
              <w:rPr>
                <w:rFonts w:ascii="Calibri" w:eastAsia="Times New Roman" w:hAnsi="Calibri" w:cs="Calibri"/>
                <w:b/>
                <w:bCs/>
                <w:color w:val="000000"/>
                <w:u w:val="single"/>
              </w:rPr>
              <w:t>3</w:t>
            </w:r>
            <w:r w:rsidRPr="00CB171D">
              <w:rPr>
                <w:rFonts w:ascii="Calibri" w:eastAsia="Times New Roman" w:hAnsi="Calibri" w:cs="Calibri"/>
                <w:b/>
                <w:bCs/>
                <w:color w:val="000000"/>
                <w:u w:val="single"/>
              </w:rPr>
              <w:t xml:space="preserve">0 - Uses Allowed in Commercial </w:t>
            </w:r>
            <w:r w:rsidR="006B771B">
              <w:rPr>
                <w:rFonts w:ascii="Calibri" w:eastAsia="Times New Roman" w:hAnsi="Calibri" w:cs="Calibri"/>
                <w:b/>
                <w:bCs/>
                <w:color w:val="000000"/>
                <w:u w:val="single"/>
              </w:rPr>
              <w:t>Zones.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B9E5C34"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 </w:t>
            </w:r>
          </w:p>
        </w:tc>
      </w:tr>
      <w:tr w:rsidR="00CB171D" w:rsidRPr="00CB171D" w14:paraId="4B4730CB"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vAlign w:val="bottom"/>
            <w:hideMark/>
          </w:tcPr>
          <w:p w14:paraId="4F2E8883" w14:textId="77777777" w:rsidR="00CB171D" w:rsidRPr="00CB171D" w:rsidRDefault="00CB171D" w:rsidP="00CB171D">
            <w:pPr>
              <w:spacing w:after="0" w:line="240" w:lineRule="auto"/>
              <w:rPr>
                <w:rFonts w:ascii="Calibri" w:eastAsia="Times New Roman" w:hAnsi="Calibri" w:cs="Calibri"/>
                <w:b/>
                <w:bCs/>
                <w:color w:val="000000"/>
              </w:rPr>
            </w:pPr>
            <w:r w:rsidRPr="00CB171D">
              <w:rPr>
                <w:rFonts w:ascii="Calibri" w:eastAsia="Times New Roman" w:hAnsi="Calibri" w:cs="Calibri"/>
                <w:b/>
                <w:bCs/>
                <w:color w:val="000000"/>
              </w:rPr>
              <w:t>Use Categories</w:t>
            </w:r>
          </w:p>
        </w:tc>
        <w:tc>
          <w:tcPr>
            <w:tcW w:w="720" w:type="dxa"/>
            <w:tcBorders>
              <w:top w:val="nil"/>
              <w:left w:val="nil"/>
              <w:bottom w:val="single" w:sz="4" w:space="0" w:color="auto"/>
              <w:right w:val="single" w:sz="4" w:space="0" w:color="auto"/>
            </w:tcBorders>
            <w:shd w:val="clear" w:color="auto" w:fill="auto"/>
            <w:noWrap/>
            <w:vAlign w:val="center"/>
            <w:hideMark/>
          </w:tcPr>
          <w:p w14:paraId="4737D98A" w14:textId="15DB9294" w:rsidR="00CB171D" w:rsidRPr="00CB171D" w:rsidRDefault="00CB171D" w:rsidP="00CB171D">
            <w:pPr>
              <w:spacing w:after="0" w:line="240" w:lineRule="auto"/>
              <w:jc w:val="center"/>
              <w:rPr>
                <w:rFonts w:ascii="Calibri" w:eastAsia="Times New Roman" w:hAnsi="Calibri" w:cs="Calibri"/>
                <w:b/>
                <w:bCs/>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14:paraId="44A155B4" w14:textId="6178E30C" w:rsidR="00CB171D" w:rsidRPr="00CB171D" w:rsidRDefault="00CB171D" w:rsidP="00CB171D">
            <w:pPr>
              <w:spacing w:after="0" w:line="240" w:lineRule="auto"/>
              <w:jc w:val="center"/>
              <w:rPr>
                <w:rFonts w:ascii="Calibri" w:eastAsia="Times New Roman" w:hAnsi="Calibri" w:cs="Calibri"/>
                <w:b/>
                <w:bCs/>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14:paraId="7C61BAAC" w14:textId="75AB2E47" w:rsidR="00CB171D" w:rsidRPr="00CB171D" w:rsidRDefault="00CB171D" w:rsidP="00CB171D">
            <w:pPr>
              <w:spacing w:after="0" w:line="240" w:lineRule="auto"/>
              <w:jc w:val="center"/>
              <w:rPr>
                <w:rFonts w:ascii="Calibri" w:eastAsia="Times New Roman" w:hAnsi="Calibri" w:cs="Calibri"/>
                <w:b/>
                <w:bCs/>
                <w:color w:val="000000"/>
              </w:rPr>
            </w:pPr>
          </w:p>
        </w:tc>
        <w:tc>
          <w:tcPr>
            <w:tcW w:w="780" w:type="dxa"/>
            <w:tcBorders>
              <w:top w:val="nil"/>
              <w:left w:val="nil"/>
              <w:bottom w:val="single" w:sz="4" w:space="0" w:color="auto"/>
              <w:right w:val="single" w:sz="4" w:space="0" w:color="auto"/>
            </w:tcBorders>
            <w:shd w:val="clear" w:color="auto" w:fill="auto"/>
            <w:noWrap/>
            <w:vAlign w:val="center"/>
            <w:hideMark/>
          </w:tcPr>
          <w:p w14:paraId="4C4341FC" w14:textId="431B61B7" w:rsidR="00CB171D" w:rsidRPr="00CB171D" w:rsidRDefault="00CB171D" w:rsidP="00CB171D">
            <w:pPr>
              <w:spacing w:after="0" w:line="240" w:lineRule="auto"/>
              <w:jc w:val="center"/>
              <w:rPr>
                <w:rFonts w:ascii="Calibri" w:eastAsia="Times New Roman" w:hAnsi="Calibri" w:cs="Calibri"/>
                <w:b/>
                <w:bCs/>
                <w:color w:val="000000"/>
              </w:rPr>
            </w:pPr>
          </w:p>
        </w:tc>
      </w:tr>
      <w:tr w:rsidR="00CB171D" w:rsidRPr="00CB171D" w14:paraId="14471825"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E7E6E6" w:themeFill="background2"/>
            <w:vAlign w:val="bottom"/>
            <w:hideMark/>
          </w:tcPr>
          <w:p w14:paraId="0527CA32" w14:textId="77777777" w:rsidR="00CB171D" w:rsidRPr="00CB171D" w:rsidRDefault="00CB171D" w:rsidP="00CB171D">
            <w:pPr>
              <w:spacing w:after="0" w:line="240" w:lineRule="auto"/>
              <w:rPr>
                <w:rFonts w:ascii="Calibri" w:eastAsia="Times New Roman" w:hAnsi="Calibri" w:cs="Calibri"/>
                <w:u w:val="single"/>
              </w:rPr>
            </w:pPr>
            <w:r w:rsidRPr="00CB171D">
              <w:rPr>
                <w:rFonts w:ascii="Calibri" w:eastAsia="Times New Roman" w:hAnsi="Calibri" w:cs="Calibri"/>
                <w:u w:val="single"/>
              </w:rPr>
              <w:t>RETAIL AND SERVICE:</w:t>
            </w:r>
          </w:p>
        </w:tc>
        <w:tc>
          <w:tcPr>
            <w:tcW w:w="720" w:type="dxa"/>
            <w:tcBorders>
              <w:top w:val="nil"/>
              <w:left w:val="nil"/>
              <w:bottom w:val="single" w:sz="4" w:space="0" w:color="auto"/>
              <w:right w:val="single" w:sz="4" w:space="0" w:color="auto"/>
            </w:tcBorders>
            <w:shd w:val="clear" w:color="auto" w:fill="E7E6E6" w:themeFill="background2"/>
            <w:noWrap/>
            <w:vAlign w:val="center"/>
            <w:hideMark/>
          </w:tcPr>
          <w:p w14:paraId="62848999" w14:textId="27F47E65" w:rsidR="00CB171D" w:rsidRPr="00CB171D" w:rsidRDefault="002425C1" w:rsidP="00CB171D">
            <w:pPr>
              <w:spacing w:after="0" w:line="240" w:lineRule="auto"/>
              <w:jc w:val="center"/>
              <w:rPr>
                <w:rFonts w:ascii="Calibri" w:eastAsia="Times New Roman" w:hAnsi="Calibri" w:cs="Calibri"/>
                <w:color w:val="000000"/>
              </w:rPr>
            </w:pPr>
            <w:r w:rsidRPr="00CB171D">
              <w:rPr>
                <w:rFonts w:ascii="Calibri" w:eastAsia="Times New Roman" w:hAnsi="Calibri" w:cs="Calibri"/>
                <w:b/>
                <w:bCs/>
                <w:color w:val="000000"/>
              </w:rPr>
              <w:t>C-1</w:t>
            </w:r>
            <w:r w:rsidR="00CB171D" w:rsidRPr="00CB171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center"/>
            <w:hideMark/>
          </w:tcPr>
          <w:p w14:paraId="119F9D95" w14:textId="546F3823" w:rsidR="00CB171D" w:rsidRPr="00CB171D" w:rsidRDefault="002425C1" w:rsidP="00CB171D">
            <w:pPr>
              <w:spacing w:after="0" w:line="240" w:lineRule="auto"/>
              <w:jc w:val="center"/>
              <w:rPr>
                <w:rFonts w:ascii="Calibri" w:eastAsia="Times New Roman" w:hAnsi="Calibri" w:cs="Calibri"/>
                <w:color w:val="000000"/>
              </w:rPr>
            </w:pPr>
            <w:r w:rsidRPr="00CB171D">
              <w:rPr>
                <w:rFonts w:ascii="Calibri" w:eastAsia="Times New Roman" w:hAnsi="Calibri" w:cs="Calibri"/>
                <w:b/>
                <w:bCs/>
                <w:color w:val="000000"/>
              </w:rPr>
              <w:t>C-2</w:t>
            </w:r>
            <w:r w:rsidR="00CB171D" w:rsidRPr="00CB171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E7E6E6" w:themeFill="background2"/>
            <w:noWrap/>
            <w:vAlign w:val="center"/>
            <w:hideMark/>
          </w:tcPr>
          <w:p w14:paraId="336D1F4B" w14:textId="2E995B96" w:rsidR="00CB171D" w:rsidRPr="00CB171D" w:rsidRDefault="002425C1" w:rsidP="00CB171D">
            <w:pPr>
              <w:spacing w:after="0" w:line="240" w:lineRule="auto"/>
              <w:jc w:val="center"/>
              <w:rPr>
                <w:rFonts w:ascii="Calibri" w:eastAsia="Times New Roman" w:hAnsi="Calibri" w:cs="Calibri"/>
                <w:color w:val="000000"/>
              </w:rPr>
            </w:pPr>
            <w:r w:rsidRPr="00CB171D">
              <w:rPr>
                <w:rFonts w:ascii="Calibri" w:eastAsia="Times New Roman" w:hAnsi="Calibri" w:cs="Calibri"/>
                <w:b/>
                <w:bCs/>
                <w:color w:val="000000"/>
              </w:rPr>
              <w:t>C-3</w:t>
            </w:r>
            <w:r w:rsidR="00CB171D" w:rsidRPr="00CB171D">
              <w:rPr>
                <w:rFonts w:ascii="Calibri" w:eastAsia="Times New Roman" w:hAnsi="Calibri" w:cs="Calibri"/>
                <w:color w:val="000000"/>
              </w:rPr>
              <w:t> </w:t>
            </w:r>
          </w:p>
        </w:tc>
        <w:tc>
          <w:tcPr>
            <w:tcW w:w="780" w:type="dxa"/>
            <w:tcBorders>
              <w:top w:val="nil"/>
              <w:left w:val="nil"/>
              <w:bottom w:val="single" w:sz="4" w:space="0" w:color="auto"/>
              <w:right w:val="single" w:sz="4" w:space="0" w:color="auto"/>
            </w:tcBorders>
            <w:shd w:val="clear" w:color="auto" w:fill="E7E6E6" w:themeFill="background2"/>
            <w:noWrap/>
            <w:vAlign w:val="center"/>
            <w:hideMark/>
          </w:tcPr>
          <w:p w14:paraId="7C5642A1" w14:textId="54998CF5" w:rsidR="00CB171D" w:rsidRPr="00CB171D" w:rsidRDefault="002425C1" w:rsidP="00CB171D">
            <w:pPr>
              <w:spacing w:after="0" w:line="240" w:lineRule="auto"/>
              <w:jc w:val="center"/>
              <w:rPr>
                <w:rFonts w:ascii="Calibri" w:eastAsia="Times New Roman" w:hAnsi="Calibri" w:cs="Calibri"/>
                <w:color w:val="000000"/>
              </w:rPr>
            </w:pPr>
            <w:r w:rsidRPr="00CB171D">
              <w:rPr>
                <w:rFonts w:ascii="Calibri" w:eastAsia="Times New Roman" w:hAnsi="Calibri" w:cs="Calibri"/>
                <w:b/>
                <w:bCs/>
                <w:color w:val="000000"/>
              </w:rPr>
              <w:t>C-V</w:t>
            </w:r>
            <w:r w:rsidR="00CB171D" w:rsidRPr="00CB171D">
              <w:rPr>
                <w:rFonts w:ascii="Calibri" w:eastAsia="Times New Roman" w:hAnsi="Calibri" w:cs="Calibri"/>
                <w:color w:val="000000"/>
              </w:rPr>
              <w:t> </w:t>
            </w:r>
          </w:p>
        </w:tc>
      </w:tr>
      <w:tr w:rsidR="00CB171D" w:rsidRPr="00CB171D" w14:paraId="34549B1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6760E73"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Car and Light Truck Wash</w:t>
            </w:r>
          </w:p>
        </w:tc>
        <w:tc>
          <w:tcPr>
            <w:tcW w:w="720" w:type="dxa"/>
            <w:tcBorders>
              <w:top w:val="nil"/>
              <w:left w:val="nil"/>
              <w:bottom w:val="single" w:sz="4" w:space="0" w:color="auto"/>
              <w:right w:val="single" w:sz="4" w:space="0" w:color="auto"/>
            </w:tcBorders>
            <w:shd w:val="clear" w:color="auto" w:fill="auto"/>
            <w:noWrap/>
            <w:vAlign w:val="bottom"/>
            <w:hideMark/>
          </w:tcPr>
          <w:p w14:paraId="7A14FE6E" w14:textId="6FE4D5CF"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271CC0F" w14:textId="38EB576B"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2AE05EF" w14:textId="09CA9EA0"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59267B4A" w14:textId="4DE4EA1B"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7E831B7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CCE15E6"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Child Care Center</w:t>
            </w:r>
          </w:p>
        </w:tc>
        <w:tc>
          <w:tcPr>
            <w:tcW w:w="720" w:type="dxa"/>
            <w:tcBorders>
              <w:top w:val="nil"/>
              <w:left w:val="nil"/>
              <w:bottom w:val="single" w:sz="4" w:space="0" w:color="auto"/>
              <w:right w:val="single" w:sz="4" w:space="0" w:color="auto"/>
            </w:tcBorders>
            <w:shd w:val="clear" w:color="auto" w:fill="auto"/>
            <w:noWrap/>
            <w:vAlign w:val="bottom"/>
            <w:hideMark/>
          </w:tcPr>
          <w:p w14:paraId="792AE4E7" w14:textId="37856908"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D9C75A3" w14:textId="141B247C"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659FB01" w14:textId="3D3413C0"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74FF3AE3" w14:textId="474556C9"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2819531B"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6C16798"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Check Cashing</w:t>
            </w:r>
          </w:p>
        </w:tc>
        <w:tc>
          <w:tcPr>
            <w:tcW w:w="720" w:type="dxa"/>
            <w:tcBorders>
              <w:top w:val="nil"/>
              <w:left w:val="nil"/>
              <w:bottom w:val="single" w:sz="4" w:space="0" w:color="auto"/>
              <w:right w:val="single" w:sz="4" w:space="0" w:color="auto"/>
            </w:tcBorders>
            <w:shd w:val="clear" w:color="auto" w:fill="auto"/>
            <w:noWrap/>
            <w:vAlign w:val="bottom"/>
            <w:hideMark/>
          </w:tcPr>
          <w:p w14:paraId="44AFF115" w14:textId="0B1A473B" w:rsidR="00CB171D" w:rsidRPr="00CB171D" w:rsidRDefault="00580302" w:rsidP="4D942F74">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CC09BAE" w14:textId="2352E092" w:rsidR="00CB171D" w:rsidRPr="00CB171D" w:rsidRDefault="00580302" w:rsidP="4D942F74">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4212F02" w14:textId="11E68C5D"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81566E6" w14:textId="280BD936" w:rsidR="00CB171D" w:rsidRPr="00CB171D" w:rsidRDefault="4D5DFCB0" w:rsidP="4D942F74">
            <w:pPr>
              <w:spacing w:after="0" w:line="240" w:lineRule="auto"/>
              <w:jc w:val="center"/>
              <w:rPr>
                <w:rFonts w:ascii="Calibri" w:eastAsia="Times New Roman" w:hAnsi="Calibri" w:cs="Calibri"/>
                <w:color w:val="000000"/>
              </w:rPr>
            </w:pPr>
            <w:r w:rsidRPr="0F258FFF">
              <w:rPr>
                <w:rFonts w:ascii="Calibri" w:eastAsia="Times New Roman" w:hAnsi="Calibri" w:cs="Calibri"/>
                <w:color w:val="000000" w:themeColor="text1"/>
              </w:rPr>
              <w:t>X</w:t>
            </w:r>
          </w:p>
        </w:tc>
      </w:tr>
      <w:tr w:rsidR="00CB171D" w:rsidRPr="00CB171D" w14:paraId="69499FFA"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E960C92"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Commercial Plant Nursery</w:t>
            </w:r>
          </w:p>
        </w:tc>
        <w:tc>
          <w:tcPr>
            <w:tcW w:w="720" w:type="dxa"/>
            <w:tcBorders>
              <w:top w:val="nil"/>
              <w:left w:val="nil"/>
              <w:bottom w:val="single" w:sz="4" w:space="0" w:color="auto"/>
              <w:right w:val="single" w:sz="4" w:space="0" w:color="auto"/>
            </w:tcBorders>
            <w:shd w:val="clear" w:color="auto" w:fill="auto"/>
            <w:noWrap/>
            <w:vAlign w:val="bottom"/>
            <w:hideMark/>
          </w:tcPr>
          <w:p w14:paraId="0D6D2E1C" w14:textId="4CBA6831"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08E9F65" w14:textId="263BF871"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A85BA82" w14:textId="54A37691"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2750FEBF" w14:textId="0739EEBA"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73C0943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88B3BAC"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Financial Institution</w:t>
            </w:r>
          </w:p>
        </w:tc>
        <w:tc>
          <w:tcPr>
            <w:tcW w:w="720" w:type="dxa"/>
            <w:tcBorders>
              <w:top w:val="nil"/>
              <w:left w:val="nil"/>
              <w:bottom w:val="single" w:sz="4" w:space="0" w:color="auto"/>
              <w:right w:val="single" w:sz="4" w:space="0" w:color="auto"/>
            </w:tcBorders>
            <w:shd w:val="clear" w:color="auto" w:fill="auto"/>
            <w:noWrap/>
            <w:vAlign w:val="bottom"/>
            <w:hideMark/>
          </w:tcPr>
          <w:p w14:paraId="207D0702" w14:textId="65B6DC51"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782A32D" w14:textId="332F0464"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9BAF22D" w14:textId="1E088E04"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43E999DD" w14:textId="4EDDE134"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713EF66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E03EA03"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Kennel, Commercial</w:t>
            </w:r>
          </w:p>
        </w:tc>
        <w:tc>
          <w:tcPr>
            <w:tcW w:w="720" w:type="dxa"/>
            <w:tcBorders>
              <w:top w:val="nil"/>
              <w:left w:val="nil"/>
              <w:bottom w:val="single" w:sz="4" w:space="0" w:color="auto"/>
              <w:right w:val="single" w:sz="4" w:space="0" w:color="auto"/>
            </w:tcBorders>
            <w:shd w:val="clear" w:color="auto" w:fill="auto"/>
            <w:noWrap/>
            <w:vAlign w:val="bottom"/>
            <w:hideMark/>
          </w:tcPr>
          <w:p w14:paraId="373546B0" w14:textId="2DC8388F"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1E5A05D" w14:textId="752EA3AE"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145BBC5" w14:textId="493CF42A"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5B413FF1" w14:textId="448ED9C2"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42AC55C7"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7800FA3"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Laundry Cleaning, Automatic Self-Help and/or Drop Off</w:t>
            </w:r>
          </w:p>
        </w:tc>
        <w:tc>
          <w:tcPr>
            <w:tcW w:w="720" w:type="dxa"/>
            <w:tcBorders>
              <w:top w:val="nil"/>
              <w:left w:val="nil"/>
              <w:bottom w:val="single" w:sz="4" w:space="0" w:color="auto"/>
              <w:right w:val="single" w:sz="4" w:space="0" w:color="auto"/>
            </w:tcBorders>
            <w:shd w:val="clear" w:color="auto" w:fill="auto"/>
            <w:noWrap/>
            <w:vAlign w:val="bottom"/>
            <w:hideMark/>
          </w:tcPr>
          <w:p w14:paraId="26E48C80" w14:textId="194A5355"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8EECB64" w14:textId="536BA6F0"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BFD7A57" w14:textId="426FB863"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764B5297" w14:textId="3A4F0383"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15D1C3C1"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86394EC"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lastRenderedPageBreak/>
              <w:t>Liquor and/or Wine Store and Package Agency</w:t>
            </w:r>
          </w:p>
        </w:tc>
        <w:tc>
          <w:tcPr>
            <w:tcW w:w="720" w:type="dxa"/>
            <w:tcBorders>
              <w:top w:val="nil"/>
              <w:left w:val="nil"/>
              <w:bottom w:val="single" w:sz="4" w:space="0" w:color="auto"/>
              <w:right w:val="single" w:sz="4" w:space="0" w:color="auto"/>
            </w:tcBorders>
            <w:shd w:val="clear" w:color="auto" w:fill="auto"/>
            <w:noWrap/>
            <w:vAlign w:val="bottom"/>
            <w:hideMark/>
          </w:tcPr>
          <w:p w14:paraId="4F551593" w14:textId="63F034D4"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0E297B34" w14:textId="11279B96"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868225A" w14:textId="53019298"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7DFAB3D4" w14:textId="2963EA54"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38F92E13"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B4F80C8"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Mobile Store</w:t>
            </w:r>
          </w:p>
        </w:tc>
        <w:tc>
          <w:tcPr>
            <w:tcW w:w="720" w:type="dxa"/>
            <w:tcBorders>
              <w:top w:val="nil"/>
              <w:left w:val="nil"/>
              <w:bottom w:val="single" w:sz="4" w:space="0" w:color="auto"/>
              <w:right w:val="single" w:sz="4" w:space="0" w:color="auto"/>
            </w:tcBorders>
            <w:shd w:val="clear" w:color="auto" w:fill="auto"/>
            <w:noWrap/>
            <w:vAlign w:val="bottom"/>
            <w:hideMark/>
          </w:tcPr>
          <w:p w14:paraId="240C3EF1" w14:textId="3788728E"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04D76591" w14:textId="089F79BF"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6602020" w14:textId="7E61A8E2"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40BD4B29" w14:textId="3E26DA54"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250DEF53"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A6961FF"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Pawn Shop</w:t>
            </w:r>
          </w:p>
        </w:tc>
        <w:tc>
          <w:tcPr>
            <w:tcW w:w="720" w:type="dxa"/>
            <w:tcBorders>
              <w:top w:val="nil"/>
              <w:left w:val="nil"/>
              <w:bottom w:val="single" w:sz="4" w:space="0" w:color="auto"/>
              <w:right w:val="single" w:sz="4" w:space="0" w:color="auto"/>
            </w:tcBorders>
            <w:shd w:val="clear" w:color="auto" w:fill="auto"/>
            <w:noWrap/>
            <w:vAlign w:val="bottom"/>
            <w:hideMark/>
          </w:tcPr>
          <w:p w14:paraId="47E15E56" w14:textId="69DF1FD6" w:rsidR="00CB171D" w:rsidRPr="00CB171D" w:rsidRDefault="0058030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hideMark/>
          </w:tcPr>
          <w:p w14:paraId="2BECD5E5" w14:textId="3B1C2539" w:rsidR="00CB171D" w:rsidRPr="00CB171D" w:rsidRDefault="00580302" w:rsidP="4D942F74">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7D68510" w14:textId="0398D3E0"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BBB8C9B" w14:textId="7C02EDEF" w:rsidR="00CB171D" w:rsidRPr="00CB171D"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CB171D" w:rsidRPr="00CB171D" w14:paraId="5F281A42"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2A314E7"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Personal Care Services</w:t>
            </w:r>
          </w:p>
        </w:tc>
        <w:tc>
          <w:tcPr>
            <w:tcW w:w="720" w:type="dxa"/>
            <w:tcBorders>
              <w:top w:val="nil"/>
              <w:left w:val="nil"/>
              <w:bottom w:val="single" w:sz="4" w:space="0" w:color="auto"/>
              <w:right w:val="single" w:sz="4" w:space="0" w:color="auto"/>
            </w:tcBorders>
            <w:shd w:val="clear" w:color="auto" w:fill="auto"/>
            <w:noWrap/>
            <w:vAlign w:val="bottom"/>
            <w:hideMark/>
          </w:tcPr>
          <w:p w14:paraId="65659BE9" w14:textId="3CA69010"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061B2A1E" w14:textId="22B52CE1"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B2B66A9" w14:textId="1904EFE6"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2B0E5037" w14:textId="41F52DA9"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1987AFC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0842C5F"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Personal Instruction Services</w:t>
            </w:r>
          </w:p>
        </w:tc>
        <w:tc>
          <w:tcPr>
            <w:tcW w:w="720" w:type="dxa"/>
            <w:tcBorders>
              <w:top w:val="nil"/>
              <w:left w:val="nil"/>
              <w:bottom w:val="single" w:sz="4" w:space="0" w:color="auto"/>
              <w:right w:val="single" w:sz="4" w:space="0" w:color="auto"/>
            </w:tcBorders>
            <w:shd w:val="clear" w:color="auto" w:fill="auto"/>
            <w:noWrap/>
            <w:vAlign w:val="bottom"/>
            <w:hideMark/>
          </w:tcPr>
          <w:p w14:paraId="09A6FC8D" w14:textId="62470C69"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66335E00" w14:textId="1B87729B"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BAA095B" w14:textId="6D7414E2"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2535BC5B" w14:textId="69E1FBBC"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14A712F7"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56FFC8E"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Reception Hall, Reception Center</w:t>
            </w:r>
          </w:p>
        </w:tc>
        <w:tc>
          <w:tcPr>
            <w:tcW w:w="720" w:type="dxa"/>
            <w:tcBorders>
              <w:top w:val="nil"/>
              <w:left w:val="nil"/>
              <w:bottom w:val="single" w:sz="4" w:space="0" w:color="auto"/>
              <w:right w:val="single" w:sz="4" w:space="0" w:color="auto"/>
            </w:tcBorders>
            <w:shd w:val="clear" w:color="auto" w:fill="auto"/>
            <w:noWrap/>
            <w:vAlign w:val="bottom"/>
            <w:hideMark/>
          </w:tcPr>
          <w:p w14:paraId="34388617" w14:textId="70D1286A"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777CE42A" w14:textId="364466FF"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0D4A07DC" w14:textId="19520323"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6C1C4C46" w14:textId="53E19948"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24B7E122"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88F592E"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Reiki</w:t>
            </w:r>
          </w:p>
        </w:tc>
        <w:tc>
          <w:tcPr>
            <w:tcW w:w="720" w:type="dxa"/>
            <w:tcBorders>
              <w:top w:val="nil"/>
              <w:left w:val="nil"/>
              <w:bottom w:val="single" w:sz="4" w:space="0" w:color="auto"/>
              <w:right w:val="single" w:sz="4" w:space="0" w:color="auto"/>
            </w:tcBorders>
            <w:shd w:val="clear" w:color="auto" w:fill="auto"/>
            <w:noWrap/>
            <w:vAlign w:val="bottom"/>
            <w:hideMark/>
          </w:tcPr>
          <w:p w14:paraId="5E5D368A" w14:textId="1D8B1DDA" w:rsidR="00CB171D" w:rsidRPr="00CB171D" w:rsidRDefault="0058030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hideMark/>
          </w:tcPr>
          <w:p w14:paraId="39023D80" w14:textId="0A347A42" w:rsidR="00CB171D" w:rsidRPr="00CB171D" w:rsidRDefault="0058030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hideMark/>
          </w:tcPr>
          <w:p w14:paraId="25FE2A86" w14:textId="7A4F11E1"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22B2140C" w14:textId="026D049E" w:rsidR="00CB171D" w:rsidRPr="00CB171D"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CB171D" w:rsidRPr="00CB171D" w14:paraId="53C2848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D44A7D9"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Retail and Service Commercial</w:t>
            </w:r>
          </w:p>
        </w:tc>
        <w:tc>
          <w:tcPr>
            <w:tcW w:w="720" w:type="dxa"/>
            <w:tcBorders>
              <w:top w:val="nil"/>
              <w:left w:val="nil"/>
              <w:bottom w:val="single" w:sz="4" w:space="0" w:color="auto"/>
              <w:right w:val="single" w:sz="4" w:space="0" w:color="auto"/>
            </w:tcBorders>
            <w:shd w:val="clear" w:color="auto" w:fill="auto"/>
            <w:noWrap/>
            <w:vAlign w:val="bottom"/>
            <w:hideMark/>
          </w:tcPr>
          <w:p w14:paraId="0DE80926" w14:textId="12E4C02C" w:rsidR="00CB171D" w:rsidRPr="00CB171D" w:rsidRDefault="4D942F74" w:rsidP="4D942F74">
            <w:pPr>
              <w:spacing w:after="0" w:line="240" w:lineRule="auto"/>
              <w:jc w:val="center"/>
              <w:rPr>
                <w:rFonts w:ascii="Calibri" w:eastAsia="Times New Roman" w:hAnsi="Calibri" w:cs="Calibri"/>
                <w:color w:val="000000" w:themeColor="text1"/>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9B3BE10" w14:textId="4419D67F"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F8F3BB0" w14:textId="466DDF79"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54F19A8A" w14:textId="7D8CD9BC"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71B6176A"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86364E4"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Retail Shops or Galleries where Primary Product is Produced On-Site</w:t>
            </w:r>
          </w:p>
        </w:tc>
        <w:tc>
          <w:tcPr>
            <w:tcW w:w="720" w:type="dxa"/>
            <w:tcBorders>
              <w:top w:val="nil"/>
              <w:left w:val="nil"/>
              <w:bottom w:val="single" w:sz="4" w:space="0" w:color="auto"/>
              <w:right w:val="single" w:sz="4" w:space="0" w:color="auto"/>
            </w:tcBorders>
            <w:shd w:val="clear" w:color="auto" w:fill="auto"/>
            <w:noWrap/>
            <w:vAlign w:val="bottom"/>
            <w:hideMark/>
          </w:tcPr>
          <w:p w14:paraId="482278F6" w14:textId="2E4693B0"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D87520D" w14:textId="649CA0B3"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B63B102" w14:textId="0022ECD1"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A8A9655" w14:textId="52E6BA4C"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7A87527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71AD23DB"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Retail Tobacco Specialty Business</w:t>
            </w:r>
          </w:p>
        </w:tc>
        <w:tc>
          <w:tcPr>
            <w:tcW w:w="720" w:type="dxa"/>
            <w:tcBorders>
              <w:top w:val="nil"/>
              <w:left w:val="nil"/>
              <w:bottom w:val="single" w:sz="4" w:space="0" w:color="auto"/>
              <w:right w:val="single" w:sz="4" w:space="0" w:color="auto"/>
            </w:tcBorders>
            <w:shd w:val="clear" w:color="auto" w:fill="auto"/>
            <w:noWrap/>
            <w:vAlign w:val="bottom"/>
            <w:hideMark/>
          </w:tcPr>
          <w:p w14:paraId="1A458D8F" w14:textId="76F31BD3" w:rsidR="00CB171D" w:rsidRPr="00CB171D" w:rsidRDefault="00580302" w:rsidP="4D942F74">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9546A4E" w14:textId="754D3841" w:rsidR="00CB171D" w:rsidRPr="00CB171D" w:rsidRDefault="0058030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hideMark/>
          </w:tcPr>
          <w:p w14:paraId="367F3DDA" w14:textId="56E3C8D1"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4A74B66D" w14:textId="57A5CBB7" w:rsidR="00CB171D" w:rsidRPr="00CB171D"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CB171D" w:rsidRPr="00CB171D" w14:paraId="4A33B9E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4732AB2"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Self-Service Fuel Station</w:t>
            </w:r>
          </w:p>
        </w:tc>
        <w:tc>
          <w:tcPr>
            <w:tcW w:w="720" w:type="dxa"/>
            <w:tcBorders>
              <w:top w:val="nil"/>
              <w:left w:val="nil"/>
              <w:bottom w:val="single" w:sz="4" w:space="0" w:color="auto"/>
              <w:right w:val="single" w:sz="4" w:space="0" w:color="auto"/>
            </w:tcBorders>
            <w:shd w:val="clear" w:color="auto" w:fill="auto"/>
            <w:noWrap/>
            <w:vAlign w:val="bottom"/>
            <w:hideMark/>
          </w:tcPr>
          <w:p w14:paraId="4139C090" w14:textId="7F908748"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F9D1C3E" w14:textId="66A2CACB"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9515EC0" w14:textId="7B9BF149"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1ACB8A1" w14:textId="7F791B87"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CB171D" w:rsidRPr="00CB171D" w14:paraId="5B8AF407"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D6F9C59"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Sexually Oriented Business or Activity</w:t>
            </w:r>
          </w:p>
        </w:tc>
        <w:tc>
          <w:tcPr>
            <w:tcW w:w="720" w:type="dxa"/>
            <w:tcBorders>
              <w:top w:val="nil"/>
              <w:left w:val="nil"/>
              <w:bottom w:val="single" w:sz="4" w:space="0" w:color="auto"/>
              <w:right w:val="single" w:sz="4" w:space="0" w:color="auto"/>
            </w:tcBorders>
            <w:shd w:val="clear" w:color="auto" w:fill="auto"/>
            <w:noWrap/>
            <w:vAlign w:val="bottom"/>
            <w:hideMark/>
          </w:tcPr>
          <w:p w14:paraId="7DCDDC78" w14:textId="0AB4AD7A"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20" w:type="dxa"/>
            <w:tcBorders>
              <w:top w:val="nil"/>
              <w:left w:val="nil"/>
              <w:bottom w:val="single" w:sz="4" w:space="0" w:color="auto"/>
              <w:right w:val="single" w:sz="4" w:space="0" w:color="auto"/>
            </w:tcBorders>
            <w:shd w:val="clear" w:color="auto" w:fill="auto"/>
            <w:noWrap/>
            <w:vAlign w:val="bottom"/>
            <w:hideMark/>
          </w:tcPr>
          <w:p w14:paraId="5D8FD523" w14:textId="573DD2B2"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20" w:type="dxa"/>
            <w:tcBorders>
              <w:top w:val="nil"/>
              <w:left w:val="nil"/>
              <w:bottom w:val="single" w:sz="4" w:space="0" w:color="auto"/>
              <w:right w:val="single" w:sz="4" w:space="0" w:color="auto"/>
            </w:tcBorders>
            <w:shd w:val="clear" w:color="auto" w:fill="auto"/>
            <w:noWrap/>
            <w:vAlign w:val="bottom"/>
            <w:hideMark/>
          </w:tcPr>
          <w:p w14:paraId="71F08F21" w14:textId="6C3042A4" w:rsidR="00CB171D" w:rsidRPr="00CB171D" w:rsidRDefault="4D942F74" w:rsidP="4D942F74">
            <w:pPr>
              <w:spacing w:after="0" w:line="240" w:lineRule="auto"/>
              <w:jc w:val="center"/>
              <w:rPr>
                <w:rFonts w:ascii="Calibri" w:eastAsia="Times New Roman" w:hAnsi="Calibri" w:cs="Calibri"/>
                <w:color w:val="000000" w:themeColor="text1"/>
              </w:rPr>
            </w:pPr>
            <w:r w:rsidRPr="4D942F74">
              <w:rPr>
                <w:rFonts w:ascii="Calibri" w:eastAsia="Times New Roman" w:hAnsi="Calibri" w:cs="Calibri"/>
                <w:color w:val="000000" w:themeColor="text1"/>
              </w:rPr>
              <w:t>P</w:t>
            </w:r>
          </w:p>
        </w:tc>
        <w:tc>
          <w:tcPr>
            <w:tcW w:w="780" w:type="dxa"/>
            <w:tcBorders>
              <w:top w:val="nil"/>
              <w:left w:val="nil"/>
              <w:bottom w:val="single" w:sz="4" w:space="0" w:color="auto"/>
              <w:right w:val="single" w:sz="4" w:space="0" w:color="auto"/>
            </w:tcBorders>
            <w:shd w:val="clear" w:color="auto" w:fill="auto"/>
            <w:noWrap/>
            <w:vAlign w:val="bottom"/>
            <w:hideMark/>
          </w:tcPr>
          <w:p w14:paraId="34AFE903" w14:textId="025ADB33"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r>
      <w:tr w:rsidR="00CB171D" w:rsidRPr="00CB171D" w14:paraId="54E6992A"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7CC08582"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Shopping Center</w:t>
            </w:r>
          </w:p>
        </w:tc>
        <w:tc>
          <w:tcPr>
            <w:tcW w:w="720" w:type="dxa"/>
            <w:tcBorders>
              <w:top w:val="nil"/>
              <w:left w:val="nil"/>
              <w:bottom w:val="single" w:sz="4" w:space="0" w:color="auto"/>
              <w:right w:val="single" w:sz="4" w:space="0" w:color="auto"/>
            </w:tcBorders>
            <w:shd w:val="clear" w:color="auto" w:fill="auto"/>
            <w:noWrap/>
            <w:vAlign w:val="bottom"/>
            <w:hideMark/>
          </w:tcPr>
          <w:p w14:paraId="00CECBAF" w14:textId="41B1F8FB" w:rsidR="00CB171D" w:rsidRPr="00CB171D" w:rsidRDefault="009D619C"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1868AB01" w14:textId="63A97D0A" w:rsidR="00CB171D" w:rsidRPr="00CB171D" w:rsidRDefault="46E870C5" w:rsidP="4D942F74">
            <w:pPr>
              <w:spacing w:after="0" w:line="240" w:lineRule="auto"/>
              <w:jc w:val="center"/>
              <w:rPr>
                <w:rFonts w:ascii="Calibri" w:eastAsia="Times New Roman" w:hAnsi="Calibri" w:cs="Calibri"/>
                <w:color w:val="000000"/>
              </w:rPr>
            </w:pPr>
            <w:r w:rsidRPr="47B8AA5E">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02750236" w14:textId="7C4865DA"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5DE27D1D" w14:textId="782EC9E3" w:rsidR="00CB171D" w:rsidRPr="00CB171D" w:rsidRDefault="1F079D0B" w:rsidP="4D942F74">
            <w:pPr>
              <w:spacing w:after="0" w:line="240" w:lineRule="auto"/>
              <w:jc w:val="center"/>
              <w:rPr>
                <w:rFonts w:ascii="Calibri" w:eastAsia="Times New Roman" w:hAnsi="Calibri" w:cs="Calibri"/>
                <w:color w:val="000000"/>
              </w:rPr>
            </w:pPr>
            <w:r w:rsidRPr="47B8AA5E">
              <w:rPr>
                <w:rFonts w:ascii="Calibri" w:eastAsia="Times New Roman" w:hAnsi="Calibri" w:cs="Calibri"/>
                <w:color w:val="000000" w:themeColor="text1"/>
              </w:rPr>
              <w:t> C</w:t>
            </w:r>
          </w:p>
        </w:tc>
      </w:tr>
      <w:tr w:rsidR="00CB171D" w:rsidRPr="00CB171D" w14:paraId="0D012AE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D8ECE54"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Vehicle and Equipment Repair, Minor</w:t>
            </w:r>
          </w:p>
        </w:tc>
        <w:tc>
          <w:tcPr>
            <w:tcW w:w="720" w:type="dxa"/>
            <w:tcBorders>
              <w:top w:val="nil"/>
              <w:left w:val="nil"/>
              <w:bottom w:val="single" w:sz="4" w:space="0" w:color="auto"/>
              <w:right w:val="single" w:sz="4" w:space="0" w:color="auto"/>
            </w:tcBorders>
            <w:shd w:val="clear" w:color="auto" w:fill="auto"/>
            <w:noWrap/>
            <w:vAlign w:val="bottom"/>
            <w:hideMark/>
          </w:tcPr>
          <w:p w14:paraId="5A8E3FD6" w14:textId="705CC416"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E33CDFC" w14:textId="66EE18E4"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471FCD6" w14:textId="698C87FD"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63FD71BC" w14:textId="145C9EA2"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CB171D" w:rsidRPr="00CB171D" w14:paraId="767370C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0D72E65"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Vehicle Rental</w:t>
            </w:r>
          </w:p>
        </w:tc>
        <w:tc>
          <w:tcPr>
            <w:tcW w:w="720" w:type="dxa"/>
            <w:tcBorders>
              <w:top w:val="nil"/>
              <w:left w:val="nil"/>
              <w:bottom w:val="single" w:sz="4" w:space="0" w:color="auto"/>
              <w:right w:val="single" w:sz="4" w:space="0" w:color="auto"/>
            </w:tcBorders>
            <w:shd w:val="clear" w:color="auto" w:fill="auto"/>
            <w:noWrap/>
            <w:vAlign w:val="bottom"/>
            <w:hideMark/>
          </w:tcPr>
          <w:p w14:paraId="5A1B89B1" w14:textId="31DB66DF"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D7E438F" w14:textId="0E72D8A6"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FF2BEB6" w14:textId="4F49D27F"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E8B060A" w14:textId="403E59A9"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CB171D" w:rsidRPr="00CB171D" w14:paraId="421BFBA1"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5BA05D1"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Vehicle Sales and Service</w:t>
            </w:r>
          </w:p>
        </w:tc>
        <w:tc>
          <w:tcPr>
            <w:tcW w:w="720" w:type="dxa"/>
            <w:tcBorders>
              <w:top w:val="nil"/>
              <w:left w:val="nil"/>
              <w:bottom w:val="single" w:sz="4" w:space="0" w:color="auto"/>
              <w:right w:val="single" w:sz="4" w:space="0" w:color="auto"/>
            </w:tcBorders>
            <w:shd w:val="clear" w:color="auto" w:fill="auto"/>
            <w:noWrap/>
            <w:vAlign w:val="bottom"/>
            <w:hideMark/>
          </w:tcPr>
          <w:p w14:paraId="0C7DEB16" w14:textId="7601C686"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5B05B65" w14:textId="79C8D7C5"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9AF1891" w14:textId="5E1D26F4"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7D4E5B92" w14:textId="2AD6F8CE" w:rsidR="00CB171D" w:rsidRPr="00CB171D"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CB171D" w:rsidRPr="00CB171D" w14:paraId="68AE38AF"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691389D" w14:textId="77777777" w:rsidR="00CB171D" w:rsidRPr="00CB171D" w:rsidRDefault="00CB171D" w:rsidP="00CB171D">
            <w:pPr>
              <w:spacing w:after="0" w:line="240" w:lineRule="auto"/>
              <w:rPr>
                <w:rFonts w:ascii="Calibri" w:eastAsia="Times New Roman" w:hAnsi="Calibri" w:cs="Calibri"/>
                <w:color w:val="000000"/>
              </w:rPr>
            </w:pPr>
            <w:r w:rsidRPr="00CB171D">
              <w:rPr>
                <w:rFonts w:ascii="Calibri" w:eastAsia="Times New Roman" w:hAnsi="Calibri" w:cs="Calibri"/>
                <w:color w:val="000000"/>
              </w:rPr>
              <w:t>Vehicle Sales, Small Dealership</w:t>
            </w:r>
          </w:p>
        </w:tc>
        <w:tc>
          <w:tcPr>
            <w:tcW w:w="720" w:type="dxa"/>
            <w:tcBorders>
              <w:top w:val="nil"/>
              <w:left w:val="nil"/>
              <w:bottom w:val="single" w:sz="4" w:space="0" w:color="auto"/>
              <w:right w:val="single" w:sz="4" w:space="0" w:color="auto"/>
            </w:tcBorders>
            <w:shd w:val="clear" w:color="auto" w:fill="auto"/>
            <w:noWrap/>
            <w:vAlign w:val="bottom"/>
            <w:hideMark/>
          </w:tcPr>
          <w:p w14:paraId="4C35B2CE" w14:textId="3D29FA44"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3196586" w14:textId="290A89FE"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058939B" w14:textId="1F6C5029" w:rsidR="00CB171D" w:rsidRPr="00CB171D"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2123778E" w14:textId="001D6290" w:rsidR="00CB171D" w:rsidRPr="00CB171D" w:rsidRDefault="00CB171D"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425C1" w:rsidRPr="00FE3755" w14:paraId="0DFB540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78B075AB" w14:textId="77777777" w:rsidR="002425C1" w:rsidRPr="00FE3755" w:rsidRDefault="002425C1"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249F20F3" w14:textId="77777777" w:rsidR="002425C1" w:rsidRPr="00FE3755" w:rsidRDefault="002425C1"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07BFDFA0" w14:textId="77777777" w:rsidR="002425C1" w:rsidRPr="00FE3755" w:rsidRDefault="002425C1"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66F2AC54" w14:textId="35E35C2B" w:rsidR="002425C1" w:rsidRPr="00FE3755" w:rsidRDefault="002425C1" w:rsidP="00A36BC4">
            <w:pPr>
              <w:spacing w:after="0" w:line="240" w:lineRule="auto"/>
              <w:jc w:val="center"/>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tcPr>
          <w:p w14:paraId="06C9FCFE" w14:textId="77777777" w:rsidR="002425C1" w:rsidRPr="00FE3755" w:rsidRDefault="002425C1" w:rsidP="00FE3755">
            <w:pPr>
              <w:spacing w:after="0" w:line="240" w:lineRule="auto"/>
              <w:rPr>
                <w:rFonts w:ascii="Calibri" w:eastAsia="Times New Roman" w:hAnsi="Calibri" w:cs="Calibri"/>
                <w:color w:val="000000"/>
              </w:rPr>
            </w:pPr>
          </w:p>
        </w:tc>
      </w:tr>
      <w:tr w:rsidR="00FE3755" w:rsidRPr="00FE3755" w14:paraId="5AB47308"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23A94BB"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FOOD AND DRINK:</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C688881" w14:textId="7EF86D93" w:rsidR="00FE3755" w:rsidRPr="00FE3755" w:rsidRDefault="002425C1" w:rsidP="00FE3755">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14963AE" w14:textId="49C98490"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781C123" w14:textId="4C5B62BB"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7DB14A9" w14:textId="21C17BD5"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C-V</w:t>
            </w:r>
          </w:p>
        </w:tc>
      </w:tr>
      <w:tr w:rsidR="00FE3755" w:rsidRPr="00FE3755" w14:paraId="5190DAD0"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7ADD95D"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Bars and Clubs</w:t>
            </w:r>
          </w:p>
        </w:tc>
        <w:tc>
          <w:tcPr>
            <w:tcW w:w="720" w:type="dxa"/>
            <w:tcBorders>
              <w:top w:val="nil"/>
              <w:left w:val="nil"/>
              <w:bottom w:val="single" w:sz="4" w:space="0" w:color="auto"/>
              <w:right w:val="single" w:sz="4" w:space="0" w:color="auto"/>
            </w:tcBorders>
            <w:shd w:val="clear" w:color="auto" w:fill="auto"/>
            <w:noWrap/>
            <w:vAlign w:val="bottom"/>
            <w:hideMark/>
          </w:tcPr>
          <w:p w14:paraId="4378AE5C" w14:textId="7031AC69" w:rsidR="00FE3755" w:rsidRPr="00FE3755" w:rsidRDefault="4C09D70D" w:rsidP="4D942F74">
            <w:pPr>
              <w:spacing w:after="0" w:line="240" w:lineRule="auto"/>
              <w:jc w:val="center"/>
              <w:rPr>
                <w:rFonts w:ascii="Calibri" w:eastAsia="Times New Roman" w:hAnsi="Calibri" w:cs="Calibri"/>
                <w:color w:val="000000"/>
              </w:rPr>
            </w:pPr>
            <w:r w:rsidRPr="675E44C1">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07C5D6A4" w14:textId="24F1199C" w:rsidR="00FE3755" w:rsidRPr="00FE3755" w:rsidRDefault="4D942F74"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BC8158A" w14:textId="194BEF7E"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55EF1F4E" w14:textId="23A36282"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3ECD3DC0"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D27317C"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Breweries and Distilleries in association with a Restaurant</w:t>
            </w:r>
          </w:p>
        </w:tc>
        <w:tc>
          <w:tcPr>
            <w:tcW w:w="720" w:type="dxa"/>
            <w:tcBorders>
              <w:top w:val="nil"/>
              <w:left w:val="nil"/>
              <w:bottom w:val="single" w:sz="4" w:space="0" w:color="auto"/>
              <w:right w:val="single" w:sz="4" w:space="0" w:color="auto"/>
            </w:tcBorders>
            <w:shd w:val="clear" w:color="auto" w:fill="auto"/>
            <w:noWrap/>
            <w:vAlign w:val="bottom"/>
            <w:hideMark/>
          </w:tcPr>
          <w:p w14:paraId="23A2264F" w14:textId="6D9C6762"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EA46A63" w14:textId="1B65BBD5"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4920898" w14:textId="112F69E7"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116084A4" w14:textId="60226C58"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34C36E53"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2C6D51A"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Food truck / mobile restaurant / food cart</w:t>
            </w:r>
          </w:p>
        </w:tc>
        <w:tc>
          <w:tcPr>
            <w:tcW w:w="720" w:type="dxa"/>
            <w:tcBorders>
              <w:top w:val="nil"/>
              <w:left w:val="nil"/>
              <w:bottom w:val="single" w:sz="4" w:space="0" w:color="auto"/>
              <w:right w:val="single" w:sz="4" w:space="0" w:color="auto"/>
            </w:tcBorders>
            <w:shd w:val="clear" w:color="auto" w:fill="auto"/>
            <w:noWrap/>
            <w:vAlign w:val="bottom"/>
            <w:hideMark/>
          </w:tcPr>
          <w:p w14:paraId="00EA24EF" w14:textId="450861CA"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1979A2D" w14:textId="6EF0B1AF" w:rsidR="00FE3755" w:rsidRPr="00FE3755" w:rsidRDefault="4D942F74"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002706A" w14:textId="62FE6E13"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189F5D1A" w14:textId="681A9DBE"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55A3BA1B"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86C2701"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Restaurant, Fast Food</w:t>
            </w:r>
          </w:p>
        </w:tc>
        <w:tc>
          <w:tcPr>
            <w:tcW w:w="720" w:type="dxa"/>
            <w:tcBorders>
              <w:top w:val="nil"/>
              <w:left w:val="nil"/>
              <w:bottom w:val="single" w:sz="4" w:space="0" w:color="auto"/>
              <w:right w:val="single" w:sz="4" w:space="0" w:color="auto"/>
            </w:tcBorders>
            <w:shd w:val="clear" w:color="auto" w:fill="auto"/>
            <w:noWrap/>
            <w:vAlign w:val="bottom"/>
            <w:hideMark/>
          </w:tcPr>
          <w:p w14:paraId="78212013" w14:textId="07EDB368"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9D85ECE" w14:textId="28E38FA8"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CB9DFDF" w14:textId="55D1C0B8"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1CE6274" w14:textId="64388A32"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7BEEA44C"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5277FF8"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Restaurant, Sit-Down with or Without Alcohol</w:t>
            </w:r>
          </w:p>
        </w:tc>
        <w:tc>
          <w:tcPr>
            <w:tcW w:w="720" w:type="dxa"/>
            <w:tcBorders>
              <w:top w:val="nil"/>
              <w:left w:val="nil"/>
              <w:bottom w:val="single" w:sz="4" w:space="0" w:color="auto"/>
              <w:right w:val="single" w:sz="4" w:space="0" w:color="auto"/>
            </w:tcBorders>
            <w:shd w:val="clear" w:color="auto" w:fill="auto"/>
            <w:noWrap/>
            <w:vAlign w:val="bottom"/>
            <w:hideMark/>
          </w:tcPr>
          <w:p w14:paraId="5764FE9F" w14:textId="53C35701"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888F612" w14:textId="67EBF46F"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955085A" w14:textId="6ADB294F"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6E2E292D" w14:textId="3D0AD921"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1D1B2CF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D21E8AE"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E8126E" w14:textId="2392FD27" w:rsidR="00FE3755" w:rsidRPr="00FE3755" w:rsidRDefault="00FE3755"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2A180125" w14:textId="77A99B7C" w:rsidR="00FE3755" w:rsidRPr="00FE3755" w:rsidRDefault="00FE3755"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75F0B397" w14:textId="74CCAD10" w:rsidR="00FE3755" w:rsidRPr="00FE3755" w:rsidRDefault="00FE3755" w:rsidP="00A36BC4">
            <w:pPr>
              <w:spacing w:after="0" w:line="240" w:lineRule="auto"/>
              <w:jc w:val="center"/>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hideMark/>
          </w:tcPr>
          <w:p w14:paraId="2E26AF2D" w14:textId="73CED972" w:rsidR="00FE3755" w:rsidRPr="00FE3755" w:rsidRDefault="00FE3755" w:rsidP="00FE3755">
            <w:pPr>
              <w:spacing w:after="0" w:line="240" w:lineRule="auto"/>
              <w:rPr>
                <w:rFonts w:ascii="Calibri" w:eastAsia="Times New Roman" w:hAnsi="Calibri" w:cs="Calibri"/>
                <w:color w:val="000000"/>
              </w:rPr>
            </w:pPr>
          </w:p>
        </w:tc>
      </w:tr>
      <w:tr w:rsidR="00FE3755" w:rsidRPr="00FE3755" w14:paraId="31299B65"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AEEE36"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LODGING:</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0F569EF" w14:textId="169C2306" w:rsidR="00FE3755" w:rsidRPr="00FE3755" w:rsidRDefault="002425C1" w:rsidP="00FE3755">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1EDA0E9" w14:textId="52EF5231"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442CF22" w14:textId="68E78695"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210FF94" w14:textId="16B8524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C-V</w:t>
            </w:r>
          </w:p>
        </w:tc>
      </w:tr>
      <w:tr w:rsidR="00FE3755" w:rsidRPr="00FE3755" w14:paraId="6095421A"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43B483C"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Bed and Breakfast Inn</w:t>
            </w:r>
          </w:p>
        </w:tc>
        <w:tc>
          <w:tcPr>
            <w:tcW w:w="720" w:type="dxa"/>
            <w:tcBorders>
              <w:top w:val="nil"/>
              <w:left w:val="nil"/>
              <w:bottom w:val="single" w:sz="4" w:space="0" w:color="auto"/>
              <w:right w:val="single" w:sz="4" w:space="0" w:color="auto"/>
            </w:tcBorders>
            <w:shd w:val="clear" w:color="auto" w:fill="auto"/>
            <w:noWrap/>
            <w:vAlign w:val="bottom"/>
            <w:hideMark/>
          </w:tcPr>
          <w:p w14:paraId="114EF7C6" w14:textId="3CB01ECC"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D840F78" w14:textId="46E4DBFA"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E522C55" w14:textId="6B183845"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617BAC7E" w14:textId="41218A98"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277F1C3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915C19A" w14:textId="77777777" w:rsidR="00FE3755" w:rsidRPr="00FE3755" w:rsidRDefault="4C09D70D" w:rsidP="00FE3755">
            <w:pPr>
              <w:spacing w:after="0" w:line="240" w:lineRule="auto"/>
              <w:rPr>
                <w:rFonts w:ascii="Calibri" w:eastAsia="Times New Roman" w:hAnsi="Calibri" w:cs="Calibri"/>
                <w:color w:val="000000"/>
              </w:rPr>
            </w:pPr>
            <w:r w:rsidRPr="675E44C1">
              <w:rPr>
                <w:rFonts w:ascii="Calibri" w:eastAsia="Times New Roman" w:hAnsi="Calibri" w:cs="Calibri"/>
                <w:color w:val="000000" w:themeColor="text1"/>
              </w:rPr>
              <w:t>Hotel/Motel</w:t>
            </w:r>
          </w:p>
        </w:tc>
        <w:tc>
          <w:tcPr>
            <w:tcW w:w="720" w:type="dxa"/>
            <w:tcBorders>
              <w:top w:val="nil"/>
              <w:left w:val="nil"/>
              <w:bottom w:val="single" w:sz="4" w:space="0" w:color="auto"/>
              <w:right w:val="single" w:sz="4" w:space="0" w:color="auto"/>
            </w:tcBorders>
            <w:shd w:val="clear" w:color="auto" w:fill="auto"/>
            <w:noWrap/>
            <w:vAlign w:val="bottom"/>
            <w:hideMark/>
          </w:tcPr>
          <w:p w14:paraId="32B108D6" w14:textId="4B9A4C41"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CACD60E" w14:textId="796C32C6"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D9CA889" w14:textId="1B3399D8"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1DFA5442" w14:textId="14D0CA6A"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4F9E781E"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269C185"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E31E1DC" w14:textId="59067C49" w:rsidR="00FE3755" w:rsidRPr="00FE3755" w:rsidRDefault="00FE3755"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1AB286E5" w14:textId="0C807024" w:rsidR="00FE3755" w:rsidRPr="00FE3755" w:rsidRDefault="00FE3755"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4DEDCE17" w14:textId="25A1A0CD" w:rsidR="00FE3755" w:rsidRPr="00FE3755" w:rsidRDefault="00FE3755" w:rsidP="00A36BC4">
            <w:pPr>
              <w:spacing w:after="0" w:line="240" w:lineRule="auto"/>
              <w:jc w:val="center"/>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hideMark/>
          </w:tcPr>
          <w:p w14:paraId="37082C76" w14:textId="55734E3F" w:rsidR="00FE3755" w:rsidRPr="00FE3755" w:rsidRDefault="00FE3755" w:rsidP="00FE3755">
            <w:pPr>
              <w:spacing w:after="0" w:line="240" w:lineRule="auto"/>
              <w:rPr>
                <w:rFonts w:ascii="Calibri" w:eastAsia="Times New Roman" w:hAnsi="Calibri" w:cs="Calibri"/>
                <w:color w:val="000000"/>
              </w:rPr>
            </w:pPr>
          </w:p>
        </w:tc>
      </w:tr>
      <w:tr w:rsidR="00FE3755" w:rsidRPr="00FE3755" w14:paraId="3959330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781F4C"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OFFICE:</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D5561E0" w14:textId="1B909CC9" w:rsidR="00FE3755" w:rsidRPr="00FE3755" w:rsidRDefault="002425C1" w:rsidP="002425C1">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98C237" w14:textId="4230FF63"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25F8AC8" w14:textId="1522FC7D"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65BC31D" w14:textId="3839349A"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C-V</w:t>
            </w:r>
          </w:p>
        </w:tc>
      </w:tr>
      <w:tr w:rsidR="00FE3755" w:rsidRPr="00FE3755" w14:paraId="03C0F54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E07B1B8"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Office, General</w:t>
            </w:r>
          </w:p>
        </w:tc>
        <w:tc>
          <w:tcPr>
            <w:tcW w:w="720" w:type="dxa"/>
            <w:tcBorders>
              <w:top w:val="nil"/>
              <w:left w:val="nil"/>
              <w:bottom w:val="single" w:sz="4" w:space="0" w:color="auto"/>
              <w:right w:val="single" w:sz="4" w:space="0" w:color="auto"/>
            </w:tcBorders>
            <w:shd w:val="clear" w:color="auto" w:fill="auto"/>
            <w:noWrap/>
            <w:vAlign w:val="bottom"/>
            <w:hideMark/>
          </w:tcPr>
          <w:p w14:paraId="7839A453" w14:textId="365F3F20"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662051A" w14:textId="0F226A93"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096AA784" w14:textId="44A2AE31"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5BA92A19" w14:textId="3ECEC947"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44AC5FA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C8F33E3"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Office, Intensive</w:t>
            </w:r>
          </w:p>
        </w:tc>
        <w:tc>
          <w:tcPr>
            <w:tcW w:w="720" w:type="dxa"/>
            <w:tcBorders>
              <w:top w:val="nil"/>
              <w:left w:val="nil"/>
              <w:bottom w:val="single" w:sz="4" w:space="0" w:color="auto"/>
              <w:right w:val="single" w:sz="4" w:space="0" w:color="auto"/>
            </w:tcBorders>
            <w:shd w:val="clear" w:color="auto" w:fill="auto"/>
            <w:noWrap/>
            <w:vAlign w:val="bottom"/>
            <w:hideMark/>
          </w:tcPr>
          <w:p w14:paraId="3CC645AF" w14:textId="7F059187"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D6C2996" w14:textId="23B5C3BA"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9841F41" w14:textId="30015FD9"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CAFF08F" w14:textId="1E0C7D64"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65DA091B"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3DEBBB3"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Office, Medical</w:t>
            </w:r>
          </w:p>
        </w:tc>
        <w:tc>
          <w:tcPr>
            <w:tcW w:w="720" w:type="dxa"/>
            <w:tcBorders>
              <w:top w:val="nil"/>
              <w:left w:val="nil"/>
              <w:bottom w:val="single" w:sz="4" w:space="0" w:color="auto"/>
              <w:right w:val="single" w:sz="4" w:space="0" w:color="auto"/>
            </w:tcBorders>
            <w:shd w:val="clear" w:color="auto" w:fill="auto"/>
            <w:noWrap/>
            <w:vAlign w:val="bottom"/>
            <w:hideMark/>
          </w:tcPr>
          <w:p w14:paraId="32D38BAF" w14:textId="13ACDF42"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8A28140" w14:textId="60331B93"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0D457BCC" w14:textId="3FC6DDB3"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DAB0B37" w14:textId="5FF686F1" w:rsidR="00FE3755" w:rsidRPr="00FE3755" w:rsidRDefault="4D942F74"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FE3755" w:rsidRPr="00FE3755" w14:paraId="0E87325C"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789C3FA0"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D41CFC5" w14:textId="68DAE26B" w:rsidR="00FE3755" w:rsidRPr="00FE3755" w:rsidRDefault="00FE3755"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00CC68C0" w14:textId="0D5713E7" w:rsidR="00FE3755" w:rsidRPr="00FE3755" w:rsidRDefault="00FE3755"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3CDB395C" w14:textId="60A34C2C" w:rsidR="00FE3755" w:rsidRPr="00FE3755" w:rsidRDefault="00FE3755" w:rsidP="00FE3755">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hideMark/>
          </w:tcPr>
          <w:p w14:paraId="41344D53" w14:textId="73AE2A38" w:rsidR="00FE3755" w:rsidRPr="00FE3755" w:rsidRDefault="00FE3755" w:rsidP="00FE3755">
            <w:pPr>
              <w:spacing w:after="0" w:line="240" w:lineRule="auto"/>
              <w:rPr>
                <w:rFonts w:ascii="Calibri" w:eastAsia="Times New Roman" w:hAnsi="Calibri" w:cs="Calibri"/>
                <w:color w:val="000000"/>
              </w:rPr>
            </w:pPr>
          </w:p>
        </w:tc>
      </w:tr>
      <w:tr w:rsidR="00FE3755" w:rsidRPr="00FE3755" w14:paraId="3A82B47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2A5E5FC"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RECREATIONAL:</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174EE75" w14:textId="0BE3C638" w:rsidR="00FE3755" w:rsidRPr="00FE3755" w:rsidRDefault="002425C1" w:rsidP="00FE3755">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DECC649" w14:textId="6CC24DC8"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F7FB8D0" w14:textId="7A3D12A3"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1E1B252" w14:textId="05A3C460"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002425C1" w:rsidRPr="00CB171D">
              <w:rPr>
                <w:rFonts w:ascii="Calibri" w:eastAsia="Times New Roman" w:hAnsi="Calibri" w:cs="Calibri"/>
                <w:b/>
                <w:bCs/>
                <w:color w:val="000000"/>
              </w:rPr>
              <w:t>C-V</w:t>
            </w:r>
          </w:p>
        </w:tc>
      </w:tr>
      <w:tr w:rsidR="00FE3755" w:rsidRPr="00FE3755" w14:paraId="3F14B93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351969D"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Athletic Clubs</w:t>
            </w:r>
          </w:p>
        </w:tc>
        <w:tc>
          <w:tcPr>
            <w:tcW w:w="720" w:type="dxa"/>
            <w:tcBorders>
              <w:top w:val="nil"/>
              <w:left w:val="nil"/>
              <w:bottom w:val="single" w:sz="4" w:space="0" w:color="auto"/>
              <w:right w:val="single" w:sz="4" w:space="0" w:color="auto"/>
            </w:tcBorders>
            <w:shd w:val="clear" w:color="auto" w:fill="auto"/>
            <w:noWrap/>
            <w:vAlign w:val="bottom"/>
            <w:hideMark/>
          </w:tcPr>
          <w:p w14:paraId="2C0BE206" w14:textId="0C51A070"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5EEAC39D" w14:textId="4BB6D36F"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 </w:t>
            </w:r>
          </w:p>
        </w:tc>
        <w:tc>
          <w:tcPr>
            <w:tcW w:w="720" w:type="dxa"/>
            <w:tcBorders>
              <w:top w:val="nil"/>
              <w:left w:val="nil"/>
              <w:bottom w:val="single" w:sz="4" w:space="0" w:color="auto"/>
              <w:right w:val="single" w:sz="4" w:space="0" w:color="auto"/>
            </w:tcBorders>
            <w:shd w:val="clear" w:color="auto" w:fill="auto"/>
            <w:noWrap/>
            <w:vAlign w:val="bottom"/>
            <w:hideMark/>
          </w:tcPr>
          <w:p w14:paraId="6F5F4A27" w14:textId="4B33FC03"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5ACBE7E" w14:textId="518D2F3D"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FE3755" w:rsidRPr="00FE3755" w14:paraId="0BA66F48"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9128432"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Commercial Recreation</w:t>
            </w:r>
          </w:p>
        </w:tc>
        <w:tc>
          <w:tcPr>
            <w:tcW w:w="720" w:type="dxa"/>
            <w:tcBorders>
              <w:top w:val="nil"/>
              <w:left w:val="nil"/>
              <w:bottom w:val="single" w:sz="4" w:space="0" w:color="auto"/>
              <w:right w:val="single" w:sz="4" w:space="0" w:color="auto"/>
            </w:tcBorders>
            <w:shd w:val="clear" w:color="auto" w:fill="auto"/>
            <w:noWrap/>
            <w:vAlign w:val="bottom"/>
            <w:hideMark/>
          </w:tcPr>
          <w:p w14:paraId="76662663" w14:textId="7E3BD865"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47DB94F5" w14:textId="546FCF3F"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 </w:t>
            </w:r>
          </w:p>
        </w:tc>
        <w:tc>
          <w:tcPr>
            <w:tcW w:w="720" w:type="dxa"/>
            <w:tcBorders>
              <w:top w:val="nil"/>
              <w:left w:val="nil"/>
              <w:bottom w:val="single" w:sz="4" w:space="0" w:color="auto"/>
              <w:right w:val="single" w:sz="4" w:space="0" w:color="auto"/>
            </w:tcBorders>
            <w:shd w:val="clear" w:color="auto" w:fill="auto"/>
            <w:noWrap/>
            <w:vAlign w:val="bottom"/>
            <w:hideMark/>
          </w:tcPr>
          <w:p w14:paraId="4DEE518C" w14:textId="2457CCB8"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4ABB39D5" w14:textId="180690C2"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FE3755" w:rsidRPr="00FE3755" w14:paraId="7FA4E12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B07DAE7" w14:textId="77777777" w:rsidR="00FE3755" w:rsidRPr="00FE3755" w:rsidRDefault="4C09D70D" w:rsidP="00FE3755">
            <w:pPr>
              <w:spacing w:after="0" w:line="240" w:lineRule="auto"/>
              <w:rPr>
                <w:rFonts w:ascii="Calibri" w:eastAsia="Times New Roman" w:hAnsi="Calibri" w:cs="Calibri"/>
                <w:color w:val="000000"/>
              </w:rPr>
            </w:pPr>
            <w:r w:rsidRPr="675E44C1">
              <w:rPr>
                <w:rFonts w:ascii="Calibri" w:eastAsia="Times New Roman" w:hAnsi="Calibri" w:cs="Calibri"/>
                <w:color w:val="000000" w:themeColor="text1"/>
              </w:rPr>
              <w:t>Recreation Facility, Commercial</w:t>
            </w:r>
          </w:p>
        </w:tc>
        <w:tc>
          <w:tcPr>
            <w:tcW w:w="720" w:type="dxa"/>
            <w:tcBorders>
              <w:top w:val="nil"/>
              <w:left w:val="nil"/>
              <w:bottom w:val="single" w:sz="4" w:space="0" w:color="auto"/>
              <w:right w:val="single" w:sz="4" w:space="0" w:color="auto"/>
            </w:tcBorders>
            <w:shd w:val="clear" w:color="auto" w:fill="auto"/>
            <w:noWrap/>
            <w:vAlign w:val="bottom"/>
            <w:hideMark/>
          </w:tcPr>
          <w:p w14:paraId="476576CE" w14:textId="0B55F687"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1A8BA118" w14:textId="37448EDF"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 </w:t>
            </w:r>
          </w:p>
        </w:tc>
        <w:tc>
          <w:tcPr>
            <w:tcW w:w="720" w:type="dxa"/>
            <w:tcBorders>
              <w:top w:val="nil"/>
              <w:left w:val="nil"/>
              <w:bottom w:val="single" w:sz="4" w:space="0" w:color="auto"/>
              <w:right w:val="single" w:sz="4" w:space="0" w:color="auto"/>
            </w:tcBorders>
            <w:shd w:val="clear" w:color="auto" w:fill="auto"/>
            <w:noWrap/>
            <w:vAlign w:val="bottom"/>
            <w:hideMark/>
          </w:tcPr>
          <w:p w14:paraId="79AFCA8A" w14:textId="57556936"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67FA1282" w14:textId="3D65ED91"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FE3755" w:rsidRPr="00FE3755" w14:paraId="0ED2A42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735EDD39"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Recreation Facility, Public</w:t>
            </w:r>
          </w:p>
        </w:tc>
        <w:tc>
          <w:tcPr>
            <w:tcW w:w="720" w:type="dxa"/>
            <w:tcBorders>
              <w:top w:val="nil"/>
              <w:left w:val="nil"/>
              <w:bottom w:val="single" w:sz="4" w:space="0" w:color="auto"/>
              <w:right w:val="single" w:sz="4" w:space="0" w:color="auto"/>
            </w:tcBorders>
            <w:shd w:val="clear" w:color="auto" w:fill="auto"/>
            <w:noWrap/>
            <w:vAlign w:val="bottom"/>
            <w:hideMark/>
          </w:tcPr>
          <w:p w14:paraId="1959D350" w14:textId="1606225B"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260C646E" w14:textId="73E730ED"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4758490" w14:textId="71A5394C" w:rsidR="00FE3755" w:rsidRPr="00FE3755" w:rsidRDefault="00AB330D"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6B6B4F6B" w14:textId="42DA924C"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FE3755" w:rsidRPr="00FE3755" w14:paraId="523A64D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1F0FFD4" w14:textId="77777777" w:rsidR="00FE3755" w:rsidRPr="00FE3755" w:rsidRDefault="00FE3755"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Theatres and Concert Halls (Indoor)</w:t>
            </w:r>
          </w:p>
        </w:tc>
        <w:tc>
          <w:tcPr>
            <w:tcW w:w="720" w:type="dxa"/>
            <w:tcBorders>
              <w:top w:val="nil"/>
              <w:left w:val="nil"/>
              <w:bottom w:val="single" w:sz="4" w:space="0" w:color="auto"/>
              <w:right w:val="single" w:sz="4" w:space="0" w:color="auto"/>
            </w:tcBorders>
            <w:shd w:val="clear" w:color="auto" w:fill="auto"/>
            <w:noWrap/>
            <w:vAlign w:val="bottom"/>
            <w:hideMark/>
          </w:tcPr>
          <w:p w14:paraId="55934BAB" w14:textId="7C9A6086"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0ECACF4B" w14:textId="3774DEB3"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57F2081" w14:textId="07F15734" w:rsidR="00FE3755" w:rsidRPr="00FE3755" w:rsidRDefault="00A36BC4" w:rsidP="00A36BC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490EA771" w14:textId="7C146A8C" w:rsidR="00FE3755" w:rsidRPr="00FE3755" w:rsidRDefault="00FE3755"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011352" w:rsidRPr="00FE3755" w14:paraId="5EE9AC8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00A9FD3B" w14:textId="77777777" w:rsidR="00011352" w:rsidRPr="00FE3755" w:rsidRDefault="00011352"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146464C7" w14:textId="77777777" w:rsidR="00011352" w:rsidRPr="00FE3755" w:rsidRDefault="00011352"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6A7ADD70" w14:textId="77777777" w:rsidR="00011352" w:rsidRPr="00FE3755" w:rsidRDefault="00011352"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068E1168" w14:textId="77777777" w:rsidR="00011352" w:rsidRPr="00FE3755" w:rsidRDefault="00011352" w:rsidP="00FE3755">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tcPr>
          <w:p w14:paraId="133E7A62" w14:textId="77777777" w:rsidR="00011352" w:rsidRPr="00FE3755" w:rsidRDefault="00011352" w:rsidP="00FE3755">
            <w:pPr>
              <w:spacing w:after="0" w:line="240" w:lineRule="auto"/>
              <w:rPr>
                <w:rFonts w:ascii="Calibri" w:eastAsia="Times New Roman" w:hAnsi="Calibri" w:cs="Calibri"/>
                <w:color w:val="000000"/>
              </w:rPr>
            </w:pPr>
          </w:p>
        </w:tc>
      </w:tr>
      <w:tr w:rsidR="00011352" w:rsidRPr="00FE3755" w14:paraId="766B1170"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EF4577" w14:textId="38DEA813" w:rsidR="00011352" w:rsidRPr="00FE3755" w:rsidRDefault="00011352" w:rsidP="00011352">
            <w:pPr>
              <w:spacing w:after="0" w:line="240" w:lineRule="auto"/>
              <w:rPr>
                <w:rFonts w:ascii="Calibri" w:eastAsia="Times New Roman" w:hAnsi="Calibri" w:cs="Calibri"/>
                <w:color w:val="000000"/>
              </w:rPr>
            </w:pPr>
            <w:r w:rsidRPr="00FE3755">
              <w:rPr>
                <w:rFonts w:ascii="Calibri" w:eastAsia="Times New Roman" w:hAnsi="Calibri" w:cs="Calibri"/>
                <w:color w:val="000000"/>
              </w:rPr>
              <w:lastRenderedPageBreak/>
              <w:t>RE</w:t>
            </w:r>
            <w:r>
              <w:rPr>
                <w:rFonts w:ascii="Calibri" w:eastAsia="Times New Roman" w:hAnsi="Calibri" w:cs="Calibri"/>
                <w:color w:val="000000"/>
              </w:rPr>
              <w:t>SIDENTIA</w:t>
            </w:r>
            <w:r w:rsidRPr="00FE3755">
              <w:rPr>
                <w:rFonts w:ascii="Calibri" w:eastAsia="Times New Roman" w:hAnsi="Calibri" w:cs="Calibri"/>
                <w:color w:val="000000"/>
              </w:rPr>
              <w:t>L</w:t>
            </w:r>
            <w:r>
              <w:rPr>
                <w:rFonts w:ascii="Calibri" w:eastAsia="Times New Roman" w:hAnsi="Calibri" w:cs="Calibri"/>
                <w:color w:val="000000"/>
              </w:rPr>
              <w:t xml:space="preserve"> USES</w:t>
            </w:r>
            <w:r w:rsidRPr="00FE3755">
              <w:rPr>
                <w:rFonts w:ascii="Calibri" w:eastAsia="Times New Roman" w:hAnsi="Calibri" w:cs="Calibri"/>
                <w:color w:val="000000"/>
              </w:rPr>
              <w:t>:</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14:paraId="01489CB5" w14:textId="3BB6A51C" w:rsidR="00011352" w:rsidRPr="00FE3755" w:rsidRDefault="00011352" w:rsidP="00011352">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14:paraId="59B08140" w14:textId="68E909AC" w:rsidR="00011352" w:rsidRPr="00FE3755" w:rsidRDefault="00011352" w:rsidP="00011352">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14:paraId="635B689D" w14:textId="4F24F7E8" w:rsidR="00011352" w:rsidRPr="00FE3755" w:rsidRDefault="00011352" w:rsidP="00011352">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tcPr>
          <w:p w14:paraId="44C937B6" w14:textId="584752C0" w:rsidR="00011352" w:rsidRPr="00FE3755" w:rsidRDefault="00011352" w:rsidP="00011352">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C-V</w:t>
            </w:r>
          </w:p>
        </w:tc>
      </w:tr>
      <w:tr w:rsidR="00011352" w:rsidRPr="00FE3755" w14:paraId="0A27BD3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3ECD1975" w14:textId="78F241C2" w:rsidR="00011352" w:rsidRPr="00FE3755" w:rsidRDefault="00011352" w:rsidP="00FE3755">
            <w:pPr>
              <w:spacing w:after="0" w:line="240" w:lineRule="auto"/>
              <w:rPr>
                <w:rFonts w:ascii="Calibri" w:eastAsia="Times New Roman" w:hAnsi="Calibri" w:cs="Calibri"/>
                <w:color w:val="000000"/>
              </w:rPr>
            </w:pPr>
            <w:r w:rsidRPr="4D942F74">
              <w:rPr>
                <w:rFonts w:ascii="Calibri" w:eastAsia="Times New Roman" w:hAnsi="Calibri" w:cs="Calibri"/>
                <w:color w:val="000000" w:themeColor="text1"/>
              </w:rPr>
              <w:t xml:space="preserve">Planned Unit Development, subject to Chapter </w:t>
            </w:r>
            <w:r w:rsidRPr="4D942F74">
              <w:rPr>
                <w:rFonts w:ascii="Calibri" w:eastAsia="Times New Roman" w:hAnsi="Calibri" w:cs="Calibri"/>
                <w:color w:val="000000" w:themeColor="text1"/>
                <w:highlight w:val="yellow"/>
              </w:rPr>
              <w:t>19.18</w:t>
            </w:r>
          </w:p>
        </w:tc>
        <w:tc>
          <w:tcPr>
            <w:tcW w:w="720" w:type="dxa"/>
            <w:tcBorders>
              <w:top w:val="nil"/>
              <w:left w:val="nil"/>
              <w:bottom w:val="single" w:sz="4" w:space="0" w:color="auto"/>
              <w:right w:val="single" w:sz="4" w:space="0" w:color="auto"/>
            </w:tcBorders>
            <w:shd w:val="clear" w:color="auto" w:fill="auto"/>
            <w:noWrap/>
            <w:vAlign w:val="bottom"/>
          </w:tcPr>
          <w:p w14:paraId="5D56735F" w14:textId="2E73FD8A" w:rsidR="00011352" w:rsidRPr="00FE3755" w:rsidRDefault="4D942F74" w:rsidP="00011352">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tcPr>
          <w:p w14:paraId="5894FA7F" w14:textId="32D26E93" w:rsidR="00011352" w:rsidRPr="00FE3755" w:rsidRDefault="4D942F74" w:rsidP="00011352">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tcPr>
          <w:p w14:paraId="665AC50F" w14:textId="00D1B1A2" w:rsidR="00011352" w:rsidRPr="00FE3755" w:rsidRDefault="00011352" w:rsidP="00011352">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tcPr>
          <w:p w14:paraId="4346B202" w14:textId="4DE8D644" w:rsidR="00011352" w:rsidRPr="00FE3755" w:rsidRDefault="4D942F74" w:rsidP="00011352">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r>
      <w:tr w:rsidR="00254D6C" w:rsidRPr="00FE3755" w14:paraId="3826BE25"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5C97DD77" w14:textId="3614750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tcPr>
          <w:p w14:paraId="4917F9A5" w14:textId="49DA345B" w:rsidR="00254D6C" w:rsidRPr="00FE3755" w:rsidRDefault="00254D6C" w:rsidP="00254D6C">
            <w:pPr>
              <w:spacing w:after="0" w:line="240" w:lineRule="auto"/>
              <w:jc w:val="center"/>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37D0F97F" w14:textId="53176458" w:rsidR="00254D6C" w:rsidRPr="00FE3755" w:rsidRDefault="00254D6C" w:rsidP="00254D6C">
            <w:pPr>
              <w:spacing w:after="0" w:line="240" w:lineRule="auto"/>
              <w:jc w:val="center"/>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67004CB5" w14:textId="43716347" w:rsidR="00254D6C" w:rsidRPr="00FE3755" w:rsidRDefault="00254D6C" w:rsidP="00254D6C">
            <w:pPr>
              <w:spacing w:after="0" w:line="240" w:lineRule="auto"/>
              <w:jc w:val="center"/>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tcPr>
          <w:p w14:paraId="118BB837" w14:textId="6FFA766D" w:rsidR="00254D6C" w:rsidRPr="00FE3755" w:rsidRDefault="00254D6C" w:rsidP="00254D6C">
            <w:pPr>
              <w:spacing w:after="0" w:line="240" w:lineRule="auto"/>
              <w:jc w:val="center"/>
              <w:rPr>
                <w:rFonts w:ascii="Calibri" w:eastAsia="Times New Roman" w:hAnsi="Calibri" w:cs="Calibri"/>
                <w:color w:val="000000"/>
              </w:rPr>
            </w:pPr>
          </w:p>
        </w:tc>
      </w:tr>
      <w:tr w:rsidR="00254D6C" w:rsidRPr="00FE3755" w14:paraId="73DABA7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3AFD7F" w14:textId="2F0DA799"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INSTITUTIONAL USES:</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31BBADD" w14:textId="39E35773" w:rsidR="00254D6C" w:rsidRPr="00FE3755" w:rsidRDefault="00254D6C" w:rsidP="00FE3755">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9DCA64C" w14:textId="619E997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0E48EAB" w14:textId="1C723709"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hideMark/>
          </w:tcPr>
          <w:p w14:paraId="3B4226E4" w14:textId="64B60EB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C-V</w:t>
            </w:r>
          </w:p>
        </w:tc>
      </w:tr>
      <w:tr w:rsidR="00254D6C" w:rsidRPr="00FE3755" w14:paraId="258ACB7A"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4BAB752" w14:textId="5E8E1CAB"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Animal Control or Rescue Facility</w:t>
            </w:r>
          </w:p>
        </w:tc>
        <w:tc>
          <w:tcPr>
            <w:tcW w:w="720" w:type="dxa"/>
            <w:tcBorders>
              <w:top w:val="nil"/>
              <w:left w:val="nil"/>
              <w:bottom w:val="single" w:sz="4" w:space="0" w:color="auto"/>
              <w:right w:val="single" w:sz="4" w:space="0" w:color="auto"/>
            </w:tcBorders>
            <w:shd w:val="clear" w:color="auto" w:fill="auto"/>
            <w:noWrap/>
            <w:vAlign w:val="bottom"/>
            <w:hideMark/>
          </w:tcPr>
          <w:p w14:paraId="7A17896C" w14:textId="00CEE01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73FFDCC2" w14:textId="058116A5" w:rsidR="00254D6C" w:rsidRPr="00FE3755" w:rsidRDefault="4D942F74"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9C4E74D" w14:textId="047492ED"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51EA534E" w14:textId="39DCD29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254D6C" w:rsidRPr="00FE3755" w14:paraId="1E6DC5BF"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8ACCFA0" w14:textId="692CF97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Animal Hospital or Clinic</w:t>
            </w:r>
          </w:p>
        </w:tc>
        <w:tc>
          <w:tcPr>
            <w:tcW w:w="720" w:type="dxa"/>
            <w:tcBorders>
              <w:top w:val="nil"/>
              <w:left w:val="nil"/>
              <w:bottom w:val="single" w:sz="4" w:space="0" w:color="auto"/>
              <w:right w:val="single" w:sz="4" w:space="0" w:color="auto"/>
            </w:tcBorders>
            <w:shd w:val="clear" w:color="auto" w:fill="auto"/>
            <w:noWrap/>
            <w:vAlign w:val="bottom"/>
            <w:hideMark/>
          </w:tcPr>
          <w:p w14:paraId="78A611D3" w14:textId="6B71EA5E"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1606D0A7" w14:textId="39B88E6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1E7F5A08" w14:textId="7E4863D0"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16ADA3B3" w14:textId="223E85F6"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254D6C" w:rsidRPr="00FE3755" w14:paraId="74BF3B0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7448014E" w14:textId="2F7EDC93"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Animal Hospital or Clinic with Outdoor Holding Facilities</w:t>
            </w:r>
          </w:p>
        </w:tc>
        <w:tc>
          <w:tcPr>
            <w:tcW w:w="720" w:type="dxa"/>
            <w:tcBorders>
              <w:top w:val="nil"/>
              <w:left w:val="nil"/>
              <w:bottom w:val="single" w:sz="4" w:space="0" w:color="auto"/>
              <w:right w:val="single" w:sz="4" w:space="0" w:color="auto"/>
            </w:tcBorders>
            <w:shd w:val="clear" w:color="auto" w:fill="auto"/>
            <w:noWrap/>
            <w:vAlign w:val="bottom"/>
            <w:hideMark/>
          </w:tcPr>
          <w:p w14:paraId="09671423" w14:textId="25AE553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527C2D80" w14:textId="2D272C27"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00EA567B" w14:textId="154CEBD2"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9044B08" w14:textId="79E294B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254D6C" w:rsidRPr="00FE3755" w14:paraId="78E1EBCA"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748B85C" w14:textId="0CA4A4DC"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Cemetery</w:t>
            </w:r>
          </w:p>
        </w:tc>
        <w:tc>
          <w:tcPr>
            <w:tcW w:w="720" w:type="dxa"/>
            <w:tcBorders>
              <w:top w:val="nil"/>
              <w:left w:val="nil"/>
              <w:bottom w:val="single" w:sz="4" w:space="0" w:color="auto"/>
              <w:right w:val="single" w:sz="4" w:space="0" w:color="auto"/>
            </w:tcBorders>
            <w:shd w:val="clear" w:color="auto" w:fill="auto"/>
            <w:noWrap/>
            <w:vAlign w:val="bottom"/>
            <w:hideMark/>
          </w:tcPr>
          <w:p w14:paraId="6BD5976E" w14:textId="1A4B2843"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CU</w:t>
            </w:r>
          </w:p>
        </w:tc>
        <w:tc>
          <w:tcPr>
            <w:tcW w:w="720" w:type="dxa"/>
            <w:tcBorders>
              <w:top w:val="nil"/>
              <w:left w:val="nil"/>
              <w:bottom w:val="single" w:sz="4" w:space="0" w:color="auto"/>
              <w:right w:val="single" w:sz="4" w:space="0" w:color="auto"/>
            </w:tcBorders>
            <w:shd w:val="clear" w:color="auto" w:fill="auto"/>
            <w:noWrap/>
            <w:vAlign w:val="bottom"/>
            <w:hideMark/>
          </w:tcPr>
          <w:p w14:paraId="7C1F5A62" w14:textId="4CED2A4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CU</w:t>
            </w:r>
          </w:p>
        </w:tc>
        <w:tc>
          <w:tcPr>
            <w:tcW w:w="720" w:type="dxa"/>
            <w:tcBorders>
              <w:top w:val="nil"/>
              <w:left w:val="nil"/>
              <w:bottom w:val="single" w:sz="4" w:space="0" w:color="auto"/>
              <w:right w:val="single" w:sz="4" w:space="0" w:color="auto"/>
            </w:tcBorders>
            <w:shd w:val="clear" w:color="auto" w:fill="auto"/>
            <w:noWrap/>
            <w:vAlign w:val="bottom"/>
            <w:hideMark/>
          </w:tcPr>
          <w:p w14:paraId="59DB5284" w14:textId="1D79F0E8"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4DF987F7" w14:textId="5F943751"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65D07C83"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E1F9527" w14:textId="48CB706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Church, Synagogue, Mosque, Temple, Cathedral, or other religious buildings</w:t>
            </w:r>
          </w:p>
        </w:tc>
        <w:tc>
          <w:tcPr>
            <w:tcW w:w="720" w:type="dxa"/>
            <w:tcBorders>
              <w:top w:val="nil"/>
              <w:left w:val="nil"/>
              <w:bottom w:val="single" w:sz="4" w:space="0" w:color="auto"/>
              <w:right w:val="single" w:sz="4" w:space="0" w:color="auto"/>
            </w:tcBorders>
            <w:shd w:val="clear" w:color="auto" w:fill="auto"/>
            <w:noWrap/>
            <w:vAlign w:val="bottom"/>
            <w:hideMark/>
          </w:tcPr>
          <w:p w14:paraId="6CA9BAE1" w14:textId="102E9468"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46732F0B" w14:textId="4E925561"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4BE082A6" w14:textId="5D22A4D6"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7F010958" w14:textId="7E4960E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254D6C" w:rsidRPr="00FE3755" w14:paraId="52960B9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A459E10" w14:textId="2227494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Hospital</w:t>
            </w:r>
          </w:p>
        </w:tc>
        <w:tc>
          <w:tcPr>
            <w:tcW w:w="720" w:type="dxa"/>
            <w:tcBorders>
              <w:top w:val="nil"/>
              <w:left w:val="nil"/>
              <w:bottom w:val="single" w:sz="4" w:space="0" w:color="auto"/>
              <w:right w:val="single" w:sz="4" w:space="0" w:color="auto"/>
            </w:tcBorders>
            <w:shd w:val="clear" w:color="auto" w:fill="auto"/>
            <w:noWrap/>
            <w:vAlign w:val="bottom"/>
            <w:hideMark/>
          </w:tcPr>
          <w:p w14:paraId="2BCD7194" w14:textId="3774747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038B033A" w14:textId="6DD5FBDA"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07076DFD" w14:textId="15159F0B"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431332F0" w14:textId="24FCF20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254D6C" w:rsidRPr="00FE3755" w14:paraId="57FB1E10"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14750A2" w14:textId="6A1D1C78"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Libraries</w:t>
            </w:r>
          </w:p>
        </w:tc>
        <w:tc>
          <w:tcPr>
            <w:tcW w:w="720" w:type="dxa"/>
            <w:tcBorders>
              <w:top w:val="nil"/>
              <w:left w:val="nil"/>
              <w:bottom w:val="single" w:sz="4" w:space="0" w:color="auto"/>
              <w:right w:val="single" w:sz="4" w:space="0" w:color="auto"/>
            </w:tcBorders>
            <w:shd w:val="clear" w:color="auto" w:fill="auto"/>
            <w:noWrap/>
            <w:vAlign w:val="bottom"/>
            <w:hideMark/>
          </w:tcPr>
          <w:p w14:paraId="07ED3A36" w14:textId="7BB69FA3"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32DED78D" w14:textId="780791F9"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29FFFCF6" w14:textId="1F608F96"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5C9840CF" w14:textId="7E3047ED"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254D6C" w:rsidRPr="00FE3755" w14:paraId="24B56E4B"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7BD35FC" w14:textId="63F97319"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Parks/Open Space</w:t>
            </w:r>
          </w:p>
        </w:tc>
        <w:tc>
          <w:tcPr>
            <w:tcW w:w="720" w:type="dxa"/>
            <w:tcBorders>
              <w:top w:val="nil"/>
              <w:left w:val="nil"/>
              <w:bottom w:val="single" w:sz="4" w:space="0" w:color="auto"/>
              <w:right w:val="single" w:sz="4" w:space="0" w:color="auto"/>
            </w:tcBorders>
            <w:shd w:val="clear" w:color="auto" w:fill="auto"/>
            <w:noWrap/>
            <w:vAlign w:val="bottom"/>
            <w:hideMark/>
          </w:tcPr>
          <w:p w14:paraId="10CCED26" w14:textId="5DED8372"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20B29429" w14:textId="74162831"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c>
          <w:tcPr>
            <w:tcW w:w="720" w:type="dxa"/>
            <w:tcBorders>
              <w:top w:val="nil"/>
              <w:left w:val="nil"/>
              <w:bottom w:val="single" w:sz="4" w:space="0" w:color="auto"/>
              <w:right w:val="single" w:sz="4" w:space="0" w:color="auto"/>
            </w:tcBorders>
            <w:shd w:val="clear" w:color="auto" w:fill="auto"/>
            <w:noWrap/>
            <w:vAlign w:val="bottom"/>
            <w:hideMark/>
          </w:tcPr>
          <w:p w14:paraId="7DEABC10" w14:textId="552CC9E9"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313DA37B" w14:textId="5BBEA5AB"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P</w:t>
            </w:r>
          </w:p>
        </w:tc>
      </w:tr>
      <w:tr w:rsidR="00254D6C" w:rsidRPr="00FE3755" w14:paraId="2D22B8CF"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F54E718" w14:textId="292E5279"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Public Uses</w:t>
            </w:r>
          </w:p>
        </w:tc>
        <w:tc>
          <w:tcPr>
            <w:tcW w:w="720" w:type="dxa"/>
            <w:tcBorders>
              <w:top w:val="nil"/>
              <w:left w:val="nil"/>
              <w:bottom w:val="single" w:sz="4" w:space="0" w:color="auto"/>
              <w:right w:val="single" w:sz="4" w:space="0" w:color="auto"/>
            </w:tcBorders>
            <w:shd w:val="clear" w:color="auto" w:fill="auto"/>
            <w:noWrap/>
            <w:vAlign w:val="bottom"/>
            <w:hideMark/>
          </w:tcPr>
          <w:p w14:paraId="5732783B" w14:textId="41B9F5C2"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63B5A95" w14:textId="647174BF"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E0ED63A" w14:textId="52328DEC"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4A3D4F94" w14:textId="36495EA8"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386A2DD3"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818A116" w14:textId="077EC8B9"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Public Utilities, Major</w:t>
            </w:r>
          </w:p>
        </w:tc>
        <w:tc>
          <w:tcPr>
            <w:tcW w:w="720" w:type="dxa"/>
            <w:tcBorders>
              <w:top w:val="nil"/>
              <w:left w:val="nil"/>
              <w:bottom w:val="single" w:sz="4" w:space="0" w:color="auto"/>
              <w:right w:val="single" w:sz="4" w:space="0" w:color="auto"/>
            </w:tcBorders>
            <w:shd w:val="clear" w:color="auto" w:fill="auto"/>
            <w:noWrap/>
            <w:vAlign w:val="bottom"/>
            <w:hideMark/>
          </w:tcPr>
          <w:p w14:paraId="53E89232" w14:textId="7870D8E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1C3D73C3" w14:textId="1C3CF1FA"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7C8ED362" w14:textId="5489EA3C"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0E5044C0" w14:textId="4D24772E"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02BB7405"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C6CDAB5" w14:textId="63A88950"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Public Utilities, Minor</w:t>
            </w:r>
          </w:p>
        </w:tc>
        <w:tc>
          <w:tcPr>
            <w:tcW w:w="720" w:type="dxa"/>
            <w:tcBorders>
              <w:top w:val="nil"/>
              <w:left w:val="nil"/>
              <w:bottom w:val="single" w:sz="4" w:space="0" w:color="auto"/>
              <w:right w:val="single" w:sz="4" w:space="0" w:color="auto"/>
            </w:tcBorders>
            <w:shd w:val="clear" w:color="auto" w:fill="auto"/>
            <w:noWrap/>
            <w:vAlign w:val="bottom"/>
            <w:hideMark/>
          </w:tcPr>
          <w:p w14:paraId="570F308A" w14:textId="09D2F7AB"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CC5EF5A" w14:textId="66640C2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07C4C00" w14:textId="61337891"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4B7C8307" w14:textId="761BE269"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609A91F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C5E9A70" w14:textId="25064A8D"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Schools, Public</w:t>
            </w:r>
          </w:p>
        </w:tc>
        <w:tc>
          <w:tcPr>
            <w:tcW w:w="720" w:type="dxa"/>
            <w:tcBorders>
              <w:top w:val="nil"/>
              <w:left w:val="nil"/>
              <w:bottom w:val="single" w:sz="4" w:space="0" w:color="auto"/>
              <w:right w:val="single" w:sz="4" w:space="0" w:color="auto"/>
            </w:tcBorders>
            <w:shd w:val="clear" w:color="auto" w:fill="auto"/>
            <w:noWrap/>
            <w:vAlign w:val="bottom"/>
            <w:hideMark/>
          </w:tcPr>
          <w:p w14:paraId="0457A47E" w14:textId="6B25040C"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14E2C3F" w14:textId="0F1CC51A"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F0448C0" w14:textId="7C8737A3"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hideMark/>
          </w:tcPr>
          <w:p w14:paraId="0267BBC1" w14:textId="26C8982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30332A8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4DE62B6" w14:textId="19518BD5"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Schools, Private/Charter</w:t>
            </w:r>
          </w:p>
        </w:tc>
        <w:tc>
          <w:tcPr>
            <w:tcW w:w="720" w:type="dxa"/>
            <w:tcBorders>
              <w:top w:val="nil"/>
              <w:left w:val="nil"/>
              <w:bottom w:val="single" w:sz="4" w:space="0" w:color="auto"/>
              <w:right w:val="single" w:sz="4" w:space="0" w:color="auto"/>
            </w:tcBorders>
            <w:shd w:val="clear" w:color="auto" w:fill="auto"/>
            <w:noWrap/>
            <w:vAlign w:val="bottom"/>
            <w:hideMark/>
          </w:tcPr>
          <w:p w14:paraId="027DB085" w14:textId="6A9B0A8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2AE98DF9" w14:textId="691BCD2C"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5CF85104" w14:textId="37E9782D"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D48E2D7" w14:textId="33A8F43D"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7EB6AFF1"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5F3170B" w14:textId="089E15DE"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9C7DBF5" w14:textId="33B9A8DC" w:rsidR="00254D6C" w:rsidRPr="00FE3755" w:rsidRDefault="00254D6C"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134E337A" w14:textId="748FD723" w:rsidR="00254D6C" w:rsidRPr="00FE3755" w:rsidRDefault="00254D6C"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3A199142" w14:textId="4D3D440A" w:rsidR="00254D6C" w:rsidRPr="00FE3755" w:rsidRDefault="00254D6C" w:rsidP="00AB330D">
            <w:pPr>
              <w:spacing w:after="0" w:line="240" w:lineRule="auto"/>
              <w:jc w:val="center"/>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hideMark/>
          </w:tcPr>
          <w:p w14:paraId="01E664D3" w14:textId="426803E2" w:rsidR="00254D6C" w:rsidRPr="00FE3755" w:rsidRDefault="00254D6C" w:rsidP="00FE3755">
            <w:pPr>
              <w:spacing w:after="0" w:line="240" w:lineRule="auto"/>
              <w:rPr>
                <w:rFonts w:ascii="Calibri" w:eastAsia="Times New Roman" w:hAnsi="Calibri" w:cs="Calibri"/>
                <w:color w:val="000000"/>
              </w:rPr>
            </w:pPr>
          </w:p>
        </w:tc>
      </w:tr>
      <w:tr w:rsidR="00254D6C" w:rsidRPr="00FE3755" w14:paraId="7C49ABFB"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188A0B9" w14:textId="128B83E0"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SPECIALTY:</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18AA077" w14:textId="0D4EED03" w:rsidR="00254D6C" w:rsidRPr="00FE3755" w:rsidRDefault="00254D6C" w:rsidP="00FE3755">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E3AC51B" w14:textId="27E74E41"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FA8686A" w14:textId="6FB1D5FF"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ABA688D" w14:textId="146B954B"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C-V</w:t>
            </w:r>
          </w:p>
        </w:tc>
      </w:tr>
      <w:tr w:rsidR="00254D6C" w:rsidRPr="00FE3755" w14:paraId="243E048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CE62658" w14:textId="247A4F4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Crematorium</w:t>
            </w:r>
          </w:p>
        </w:tc>
        <w:tc>
          <w:tcPr>
            <w:tcW w:w="720" w:type="dxa"/>
            <w:tcBorders>
              <w:top w:val="nil"/>
              <w:left w:val="nil"/>
              <w:bottom w:val="single" w:sz="4" w:space="0" w:color="auto"/>
              <w:right w:val="single" w:sz="4" w:space="0" w:color="auto"/>
            </w:tcBorders>
            <w:shd w:val="clear" w:color="auto" w:fill="auto"/>
            <w:noWrap/>
            <w:vAlign w:val="bottom"/>
            <w:hideMark/>
          </w:tcPr>
          <w:p w14:paraId="3459CEAB" w14:textId="6678E72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45A41A5" w14:textId="47484D1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5955ABE" w14:textId="2DBEAEBE" w:rsidR="00254D6C" w:rsidRPr="00FE3755" w:rsidRDefault="00254D6C" w:rsidP="00DF5302">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0DC6F1FC" w14:textId="7477BA21"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55D58DF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7A414AF1" w14:textId="74387E08"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Laboratory, Medical or Dental</w:t>
            </w:r>
          </w:p>
        </w:tc>
        <w:tc>
          <w:tcPr>
            <w:tcW w:w="720" w:type="dxa"/>
            <w:tcBorders>
              <w:top w:val="nil"/>
              <w:left w:val="nil"/>
              <w:bottom w:val="single" w:sz="4" w:space="0" w:color="auto"/>
              <w:right w:val="single" w:sz="4" w:space="0" w:color="auto"/>
            </w:tcBorders>
            <w:shd w:val="clear" w:color="auto" w:fill="auto"/>
            <w:noWrap/>
            <w:vAlign w:val="bottom"/>
            <w:hideMark/>
          </w:tcPr>
          <w:p w14:paraId="35E508D2" w14:textId="7C376C66"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E903123" w14:textId="754690B8"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CB9E52D" w14:textId="0887BB02" w:rsidR="00254D6C" w:rsidRPr="00FE3755" w:rsidRDefault="00254D6C" w:rsidP="00AB330D">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3299EAE8" w14:textId="22B277EA"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2D92861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7CB4F63A" w14:textId="312E5971"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Laboratory, Research and Development</w:t>
            </w:r>
          </w:p>
        </w:tc>
        <w:tc>
          <w:tcPr>
            <w:tcW w:w="720" w:type="dxa"/>
            <w:tcBorders>
              <w:top w:val="nil"/>
              <w:left w:val="nil"/>
              <w:bottom w:val="single" w:sz="4" w:space="0" w:color="auto"/>
              <w:right w:val="single" w:sz="4" w:space="0" w:color="auto"/>
            </w:tcBorders>
            <w:shd w:val="clear" w:color="auto" w:fill="auto"/>
            <w:noWrap/>
            <w:vAlign w:val="bottom"/>
            <w:hideMark/>
          </w:tcPr>
          <w:p w14:paraId="45570EAC" w14:textId="18E8310B"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7DAC336" w14:textId="1EAE34C9"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E7FC994" w14:textId="79B93158" w:rsidR="00254D6C" w:rsidRPr="00FE3755" w:rsidRDefault="00254D6C" w:rsidP="00AB330D">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6765203C" w14:textId="4C2989AB"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76A904F9"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92F40ED" w14:textId="2CC70DB9"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Mortuary or Funeral Home</w:t>
            </w:r>
          </w:p>
        </w:tc>
        <w:tc>
          <w:tcPr>
            <w:tcW w:w="720" w:type="dxa"/>
            <w:tcBorders>
              <w:top w:val="nil"/>
              <w:left w:val="nil"/>
              <w:bottom w:val="single" w:sz="4" w:space="0" w:color="auto"/>
              <w:right w:val="single" w:sz="4" w:space="0" w:color="auto"/>
            </w:tcBorders>
            <w:shd w:val="clear" w:color="auto" w:fill="auto"/>
            <w:noWrap/>
            <w:vAlign w:val="bottom"/>
            <w:hideMark/>
          </w:tcPr>
          <w:p w14:paraId="54DAA7C0" w14:textId="56C817FE"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36260EA" w14:textId="554D5AB1"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502CEDFD" w14:textId="52FB34B9" w:rsidR="00254D6C" w:rsidRPr="00FE3755" w:rsidRDefault="00254D6C" w:rsidP="00AB330D">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66B2DBD9" w14:textId="6A34FD60"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1AA04573"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D30A8EF" w14:textId="43D96923"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Nursing Home, Convalescent Care Center</w:t>
            </w:r>
          </w:p>
        </w:tc>
        <w:tc>
          <w:tcPr>
            <w:tcW w:w="720" w:type="dxa"/>
            <w:tcBorders>
              <w:top w:val="nil"/>
              <w:left w:val="nil"/>
              <w:bottom w:val="single" w:sz="4" w:space="0" w:color="auto"/>
              <w:right w:val="single" w:sz="4" w:space="0" w:color="auto"/>
            </w:tcBorders>
            <w:shd w:val="clear" w:color="auto" w:fill="auto"/>
            <w:noWrap/>
            <w:vAlign w:val="bottom"/>
            <w:hideMark/>
          </w:tcPr>
          <w:p w14:paraId="5ECDC8FE" w14:textId="0C605A28"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7A48EE5" w14:textId="676F779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F0A99C5" w14:textId="2D471EAB" w:rsidR="00254D6C" w:rsidRPr="00FE3755" w:rsidRDefault="00254D6C" w:rsidP="00AB330D">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74B9E558" w14:textId="45F1EB7B"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04BA8F0C"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1951696" w14:textId="6906CDC8"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Rehabilitation/Treatment Facilities</w:t>
            </w:r>
          </w:p>
        </w:tc>
        <w:tc>
          <w:tcPr>
            <w:tcW w:w="720" w:type="dxa"/>
            <w:tcBorders>
              <w:top w:val="nil"/>
              <w:left w:val="nil"/>
              <w:bottom w:val="single" w:sz="4" w:space="0" w:color="auto"/>
              <w:right w:val="single" w:sz="4" w:space="0" w:color="auto"/>
            </w:tcBorders>
            <w:shd w:val="clear" w:color="auto" w:fill="auto"/>
            <w:noWrap/>
            <w:vAlign w:val="bottom"/>
            <w:hideMark/>
          </w:tcPr>
          <w:p w14:paraId="1F9028C0" w14:textId="5E6781E8"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8780053" w14:textId="43EF849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2EB1614C" w14:textId="23DD68B3" w:rsidR="00254D6C" w:rsidRPr="00FE3755" w:rsidRDefault="00254D6C" w:rsidP="00AB330D">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65EE5EDF" w14:textId="7175249B"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0C41222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40E6068" w14:textId="30B55423"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Self-Service Storage Facilities, Enclosed</w:t>
            </w:r>
          </w:p>
        </w:tc>
        <w:tc>
          <w:tcPr>
            <w:tcW w:w="720" w:type="dxa"/>
            <w:tcBorders>
              <w:top w:val="nil"/>
              <w:left w:val="nil"/>
              <w:bottom w:val="single" w:sz="4" w:space="0" w:color="auto"/>
              <w:right w:val="single" w:sz="4" w:space="0" w:color="auto"/>
            </w:tcBorders>
            <w:shd w:val="clear" w:color="auto" w:fill="auto"/>
            <w:noWrap/>
            <w:vAlign w:val="bottom"/>
            <w:hideMark/>
          </w:tcPr>
          <w:p w14:paraId="36952D3B" w14:textId="3896D68F"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 </w:t>
            </w:r>
            <w:r w:rsidR="00F553E2">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3F4F3CC" w14:textId="7792DC2E" w:rsidR="00254D6C" w:rsidRPr="00FE3755" w:rsidRDefault="00F553E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themeColor="text1"/>
              </w:rPr>
              <w:t>P</w:t>
            </w:r>
            <w:r w:rsidR="00254D6C" w:rsidRPr="4D942F74">
              <w:rPr>
                <w:rFonts w:ascii="Calibri" w:eastAsia="Times New Roman" w:hAnsi="Calibri" w:cs="Calibri"/>
                <w:color w:val="000000" w:themeColor="text1"/>
              </w:rPr>
              <w:t> </w:t>
            </w:r>
          </w:p>
        </w:tc>
        <w:tc>
          <w:tcPr>
            <w:tcW w:w="720" w:type="dxa"/>
            <w:tcBorders>
              <w:top w:val="nil"/>
              <w:left w:val="nil"/>
              <w:bottom w:val="single" w:sz="4" w:space="0" w:color="auto"/>
              <w:right w:val="single" w:sz="4" w:space="0" w:color="auto"/>
            </w:tcBorders>
            <w:shd w:val="clear" w:color="auto" w:fill="auto"/>
            <w:noWrap/>
            <w:vAlign w:val="bottom"/>
            <w:hideMark/>
          </w:tcPr>
          <w:p w14:paraId="373997E6" w14:textId="7C95ADC6" w:rsidR="00254D6C" w:rsidRPr="00FE3755" w:rsidRDefault="00254D6C" w:rsidP="00AB330D">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X</w:t>
            </w:r>
          </w:p>
        </w:tc>
        <w:tc>
          <w:tcPr>
            <w:tcW w:w="780" w:type="dxa"/>
            <w:tcBorders>
              <w:top w:val="nil"/>
              <w:left w:val="nil"/>
              <w:bottom w:val="single" w:sz="4" w:space="0" w:color="auto"/>
              <w:right w:val="single" w:sz="4" w:space="0" w:color="auto"/>
            </w:tcBorders>
            <w:shd w:val="clear" w:color="auto" w:fill="auto"/>
            <w:noWrap/>
            <w:vAlign w:val="bottom"/>
            <w:hideMark/>
          </w:tcPr>
          <w:p w14:paraId="378534A3" w14:textId="07DD362C" w:rsidR="00254D6C" w:rsidRPr="00FE3755" w:rsidRDefault="0F258FFF" w:rsidP="0F258FFF">
            <w:pPr>
              <w:spacing w:after="0" w:line="240" w:lineRule="auto"/>
              <w:jc w:val="center"/>
              <w:rPr>
                <w:rFonts w:ascii="Calibri" w:eastAsia="Calibri" w:hAnsi="Calibri" w:cs="Calibri"/>
              </w:rPr>
            </w:pPr>
            <w:r w:rsidRPr="0F258FFF">
              <w:rPr>
                <w:rFonts w:ascii="Calibri" w:eastAsia="Times New Roman" w:hAnsi="Calibri" w:cs="Calibri"/>
                <w:color w:val="000000" w:themeColor="text1"/>
              </w:rPr>
              <w:t>X</w:t>
            </w:r>
          </w:p>
        </w:tc>
      </w:tr>
      <w:tr w:rsidR="00254D6C" w:rsidRPr="00FE3755" w14:paraId="20CC4A4F"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9C77926" w14:textId="31C650B4"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47F77E1" w14:textId="2012E003" w:rsidR="00254D6C" w:rsidRPr="00FE3755" w:rsidRDefault="00254D6C"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1926BABF" w14:textId="0F2885AB" w:rsidR="00254D6C" w:rsidRPr="00FE3755" w:rsidRDefault="00254D6C"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14:paraId="7DD6FA37" w14:textId="209CBBE7" w:rsidR="00254D6C" w:rsidRPr="00FE3755" w:rsidRDefault="00254D6C" w:rsidP="00AB330D">
            <w:pPr>
              <w:spacing w:after="0" w:line="240" w:lineRule="auto"/>
              <w:jc w:val="center"/>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hideMark/>
          </w:tcPr>
          <w:p w14:paraId="3B49FF1A" w14:textId="37E14B09" w:rsidR="00254D6C" w:rsidRPr="00FE3755" w:rsidRDefault="00254D6C" w:rsidP="00FE3755">
            <w:pPr>
              <w:spacing w:after="0" w:line="240" w:lineRule="auto"/>
              <w:rPr>
                <w:rFonts w:ascii="Calibri" w:eastAsia="Times New Roman" w:hAnsi="Calibri" w:cs="Calibri"/>
                <w:color w:val="000000"/>
              </w:rPr>
            </w:pPr>
          </w:p>
        </w:tc>
      </w:tr>
      <w:tr w:rsidR="00254D6C" w:rsidRPr="00FE3755" w14:paraId="69D0BCFE"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F406626" w14:textId="31A469A6"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ACCESSORY USES:</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49BA421" w14:textId="0B75E25F" w:rsidR="00254D6C" w:rsidRPr="00FE3755" w:rsidRDefault="00254D6C" w:rsidP="00FE3755">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1F48E83" w14:textId="4479FA8D"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E0BE944" w14:textId="168DDB3A"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A00BFF3" w14:textId="5B1FF80A"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C-V</w:t>
            </w:r>
          </w:p>
        </w:tc>
      </w:tr>
      <w:tr w:rsidR="00254D6C" w:rsidRPr="00FE3755" w14:paraId="66433228"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623C0EC7" w14:textId="42ADF33C"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Accessory Outside Storage</w:t>
            </w:r>
          </w:p>
        </w:tc>
        <w:tc>
          <w:tcPr>
            <w:tcW w:w="720" w:type="dxa"/>
            <w:tcBorders>
              <w:top w:val="nil"/>
              <w:left w:val="nil"/>
              <w:bottom w:val="single" w:sz="4" w:space="0" w:color="auto"/>
              <w:right w:val="single" w:sz="4" w:space="0" w:color="auto"/>
            </w:tcBorders>
            <w:shd w:val="clear" w:color="auto" w:fill="auto"/>
            <w:noWrap/>
            <w:vAlign w:val="bottom"/>
            <w:hideMark/>
          </w:tcPr>
          <w:p w14:paraId="350FD251" w14:textId="5815D6C2"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3B044817" w14:textId="58DCBF98"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c>
          <w:tcPr>
            <w:tcW w:w="720" w:type="dxa"/>
            <w:tcBorders>
              <w:top w:val="nil"/>
              <w:left w:val="nil"/>
              <w:bottom w:val="single" w:sz="4" w:space="0" w:color="auto"/>
              <w:right w:val="single" w:sz="4" w:space="0" w:color="auto"/>
            </w:tcBorders>
            <w:shd w:val="clear" w:color="auto" w:fill="auto"/>
            <w:noWrap/>
            <w:vAlign w:val="bottom"/>
            <w:hideMark/>
          </w:tcPr>
          <w:p w14:paraId="2E4E6BF4" w14:textId="50792E52" w:rsidR="00254D6C" w:rsidRPr="00FE3755" w:rsidRDefault="00254D6C" w:rsidP="00094AB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11904211" w14:textId="27AF125F" w:rsidR="00254D6C" w:rsidRPr="00FE3755" w:rsidRDefault="4D942F74"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C</w:t>
            </w:r>
          </w:p>
        </w:tc>
      </w:tr>
      <w:tr w:rsidR="00254D6C" w:rsidRPr="00FE3755" w14:paraId="3AE34A1C"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AE81A46" w14:textId="5558A687" w:rsidR="00254D6C" w:rsidRPr="00FE3755" w:rsidRDefault="00254D6C" w:rsidP="00FE3755">
            <w:pPr>
              <w:spacing w:after="0" w:line="240" w:lineRule="auto"/>
              <w:rPr>
                <w:rFonts w:ascii="Calibri" w:eastAsia="Times New Roman" w:hAnsi="Calibri" w:cs="Calibri"/>
                <w:color w:val="000000"/>
              </w:rPr>
            </w:pPr>
            <w:r w:rsidRPr="4D942F74">
              <w:rPr>
                <w:rFonts w:ascii="Calibri" w:eastAsia="Times New Roman" w:hAnsi="Calibri" w:cs="Calibri"/>
                <w:color w:val="000000" w:themeColor="text1"/>
              </w:rPr>
              <w:t xml:space="preserve">Home Business, subject to chapter </w:t>
            </w:r>
            <w:r w:rsidRPr="4D942F74">
              <w:rPr>
                <w:rFonts w:ascii="Calibri" w:eastAsia="Times New Roman" w:hAnsi="Calibri" w:cs="Calibri"/>
                <w:color w:val="000000" w:themeColor="text1"/>
                <w:highlight w:val="yellow"/>
              </w:rPr>
              <w:t>19.40</w:t>
            </w:r>
          </w:p>
        </w:tc>
        <w:tc>
          <w:tcPr>
            <w:tcW w:w="720" w:type="dxa"/>
            <w:tcBorders>
              <w:top w:val="nil"/>
              <w:left w:val="nil"/>
              <w:bottom w:val="single" w:sz="4" w:space="0" w:color="auto"/>
              <w:right w:val="single" w:sz="4" w:space="0" w:color="auto"/>
            </w:tcBorders>
            <w:shd w:val="clear" w:color="auto" w:fill="auto"/>
            <w:noWrap/>
            <w:vAlign w:val="bottom"/>
            <w:hideMark/>
          </w:tcPr>
          <w:p w14:paraId="7544BEED" w14:textId="10BB6DA7"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95D7F95" w14:textId="680178BB"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2F47023" w14:textId="53F060A1"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67ED5F8" w14:textId="753C634B"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73333C28"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C9EE4CC" w14:textId="0A559349"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Household Pets, not including kennels</w:t>
            </w:r>
          </w:p>
        </w:tc>
        <w:tc>
          <w:tcPr>
            <w:tcW w:w="720" w:type="dxa"/>
            <w:tcBorders>
              <w:top w:val="nil"/>
              <w:left w:val="nil"/>
              <w:bottom w:val="single" w:sz="4" w:space="0" w:color="auto"/>
              <w:right w:val="single" w:sz="4" w:space="0" w:color="auto"/>
            </w:tcBorders>
            <w:shd w:val="clear" w:color="auto" w:fill="auto"/>
            <w:noWrap/>
            <w:vAlign w:val="bottom"/>
            <w:hideMark/>
          </w:tcPr>
          <w:p w14:paraId="36BC2AAB" w14:textId="6B3FDAFD"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BBDC3AD" w14:textId="097D406D"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6A08B0B7" w14:textId="7243B025"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6A7059D5" w14:textId="30EFA23F"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028EF50E"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0F97CD6F" w14:textId="721E11DB"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Drive-Thru and Drive-Up Facilities appurtenant to a permitted use</w:t>
            </w:r>
          </w:p>
        </w:tc>
        <w:tc>
          <w:tcPr>
            <w:tcW w:w="720" w:type="dxa"/>
            <w:tcBorders>
              <w:top w:val="nil"/>
              <w:left w:val="nil"/>
              <w:bottom w:val="single" w:sz="4" w:space="0" w:color="auto"/>
              <w:right w:val="single" w:sz="4" w:space="0" w:color="auto"/>
            </w:tcBorders>
            <w:shd w:val="clear" w:color="auto" w:fill="auto"/>
            <w:noWrap/>
            <w:vAlign w:val="bottom"/>
            <w:hideMark/>
          </w:tcPr>
          <w:p w14:paraId="4DB0DB63" w14:textId="388B3970"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14DD4A6C" w14:textId="502754C1"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087CC277" w14:textId="0B1FA679"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353D0FAB" w14:textId="0FEB4C81"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7FA9B51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15BDD12" w14:textId="15D22C34"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Outdoor dining appurtenant to a permitted restaurant use</w:t>
            </w:r>
          </w:p>
        </w:tc>
        <w:tc>
          <w:tcPr>
            <w:tcW w:w="720" w:type="dxa"/>
            <w:tcBorders>
              <w:top w:val="nil"/>
              <w:left w:val="nil"/>
              <w:bottom w:val="single" w:sz="4" w:space="0" w:color="auto"/>
              <w:right w:val="single" w:sz="4" w:space="0" w:color="auto"/>
            </w:tcBorders>
            <w:shd w:val="clear" w:color="auto" w:fill="auto"/>
            <w:noWrap/>
            <w:vAlign w:val="bottom"/>
            <w:hideMark/>
          </w:tcPr>
          <w:p w14:paraId="7C3CE436" w14:textId="50E2A2EA"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470BF94E" w14:textId="2190D1BD"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316811C2" w14:textId="4BB6B1E4"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007E12F3" w14:textId="4BCAF442"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0028445D"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C9511C5" w14:textId="4851B9BA" w:rsidR="00254D6C" w:rsidRPr="00FE3755" w:rsidRDefault="00254D6C" w:rsidP="00FE3755">
            <w:pPr>
              <w:spacing w:after="0" w:line="240" w:lineRule="auto"/>
              <w:rPr>
                <w:rFonts w:ascii="Calibri" w:eastAsia="Times New Roman" w:hAnsi="Calibri" w:cs="Calibri"/>
                <w:color w:val="000000"/>
              </w:rPr>
            </w:pPr>
            <w:r w:rsidRPr="00FE3755">
              <w:rPr>
                <w:rFonts w:ascii="Calibri" w:eastAsia="Times New Roman" w:hAnsi="Calibri" w:cs="Calibri"/>
                <w:color w:val="000000"/>
              </w:rPr>
              <w:t>Sidewalk Displays and Sidewalk Cafes appurtenant to a permitted use</w:t>
            </w:r>
          </w:p>
        </w:tc>
        <w:tc>
          <w:tcPr>
            <w:tcW w:w="720" w:type="dxa"/>
            <w:tcBorders>
              <w:top w:val="nil"/>
              <w:left w:val="nil"/>
              <w:bottom w:val="single" w:sz="4" w:space="0" w:color="auto"/>
              <w:right w:val="single" w:sz="4" w:space="0" w:color="auto"/>
            </w:tcBorders>
            <w:shd w:val="clear" w:color="auto" w:fill="auto"/>
            <w:noWrap/>
            <w:vAlign w:val="bottom"/>
            <w:hideMark/>
          </w:tcPr>
          <w:p w14:paraId="6DD76C7C" w14:textId="44097572"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C69BA8B" w14:textId="39EB7EB7"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c>
          <w:tcPr>
            <w:tcW w:w="720" w:type="dxa"/>
            <w:tcBorders>
              <w:top w:val="nil"/>
              <w:left w:val="nil"/>
              <w:bottom w:val="single" w:sz="4" w:space="0" w:color="auto"/>
              <w:right w:val="single" w:sz="4" w:space="0" w:color="auto"/>
            </w:tcBorders>
            <w:shd w:val="clear" w:color="auto" w:fill="auto"/>
            <w:noWrap/>
            <w:vAlign w:val="bottom"/>
            <w:hideMark/>
          </w:tcPr>
          <w:p w14:paraId="7F265D1B" w14:textId="7A37184F"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7DCEC353" w14:textId="1A690654" w:rsidR="00254D6C" w:rsidRPr="00FE3755" w:rsidRDefault="00254D6C" w:rsidP="4D942F74">
            <w:pPr>
              <w:spacing w:after="0" w:line="240" w:lineRule="auto"/>
              <w:jc w:val="center"/>
              <w:rPr>
                <w:rFonts w:ascii="Calibri" w:eastAsia="Times New Roman" w:hAnsi="Calibri" w:cs="Calibri"/>
                <w:color w:val="000000"/>
              </w:rPr>
            </w:pPr>
            <w:r w:rsidRPr="4D942F74">
              <w:rPr>
                <w:rFonts w:ascii="Calibri" w:eastAsia="Times New Roman" w:hAnsi="Calibri" w:cs="Calibri"/>
                <w:color w:val="000000" w:themeColor="text1"/>
              </w:rPr>
              <w:t>P</w:t>
            </w:r>
          </w:p>
        </w:tc>
      </w:tr>
      <w:tr w:rsidR="00254D6C" w:rsidRPr="00FE3755" w14:paraId="74ADBDAE"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3D344FB" w14:textId="1EA59C5D" w:rsidR="00254D6C" w:rsidRPr="00FE3755" w:rsidRDefault="00254D6C" w:rsidP="4D942F74">
            <w:pPr>
              <w:spacing w:after="0" w:line="240" w:lineRule="auto"/>
              <w:rPr>
                <w:rFonts w:ascii="Calibri" w:eastAsia="Times New Roman" w:hAnsi="Calibri" w:cs="Calibri"/>
                <w:color w:val="000000"/>
              </w:rPr>
            </w:pPr>
            <w:r w:rsidRPr="4D942F74">
              <w:rPr>
                <w:rFonts w:ascii="Calibri" w:eastAsia="Times New Roman" w:hAnsi="Calibri" w:cs="Calibri"/>
                <w:color w:val="000000" w:themeColor="text1"/>
              </w:rPr>
              <w:t xml:space="preserve">Temporary buildings subject to </w:t>
            </w:r>
            <w:r w:rsidRPr="4D942F74">
              <w:rPr>
                <w:rFonts w:ascii="Calibri" w:eastAsia="Times New Roman" w:hAnsi="Calibri" w:cs="Calibri"/>
                <w:color w:val="000000" w:themeColor="text1"/>
                <w:highlight w:val="yellow"/>
              </w:rPr>
              <w:t>19.42</w:t>
            </w:r>
          </w:p>
        </w:tc>
        <w:tc>
          <w:tcPr>
            <w:tcW w:w="720" w:type="dxa"/>
            <w:tcBorders>
              <w:top w:val="nil"/>
              <w:left w:val="nil"/>
              <w:bottom w:val="single" w:sz="4" w:space="0" w:color="auto"/>
              <w:right w:val="single" w:sz="4" w:space="0" w:color="auto"/>
            </w:tcBorders>
            <w:shd w:val="clear" w:color="auto" w:fill="auto"/>
            <w:noWrap/>
            <w:vAlign w:val="bottom"/>
            <w:hideMark/>
          </w:tcPr>
          <w:p w14:paraId="7B0A1691" w14:textId="3A4E1E52" w:rsidR="00254D6C" w:rsidRPr="00FE3755" w:rsidRDefault="00F553E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hideMark/>
          </w:tcPr>
          <w:p w14:paraId="4D10A88B" w14:textId="68F1B386" w:rsidR="00254D6C" w:rsidRPr="00FE3755" w:rsidRDefault="00F553E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hideMark/>
          </w:tcPr>
          <w:p w14:paraId="131EBDAE" w14:textId="2383E622" w:rsidR="00254D6C" w:rsidRPr="00FE3755" w:rsidRDefault="00254D6C" w:rsidP="00AB330D">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bottom"/>
            <w:hideMark/>
          </w:tcPr>
          <w:p w14:paraId="1D5F863E" w14:textId="64142DB9" w:rsidR="00254D6C" w:rsidRPr="00FE3755" w:rsidRDefault="00F553E2" w:rsidP="4D942F7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r>
      <w:tr w:rsidR="00254D6C" w:rsidRPr="00FE3755" w14:paraId="4DFF090C"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40AA98E2" w14:textId="77777777" w:rsidR="00254D6C" w:rsidRPr="00FE3755" w:rsidRDefault="00254D6C"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6BB7F1E3" w14:textId="77777777" w:rsidR="00254D6C" w:rsidRPr="00FE3755" w:rsidRDefault="00254D6C"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0AC77EDD" w14:textId="77777777" w:rsidR="00254D6C" w:rsidRPr="00FE3755" w:rsidRDefault="00254D6C" w:rsidP="00FE3755">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225A9F42" w14:textId="77777777" w:rsidR="00254D6C" w:rsidRPr="00FE3755" w:rsidRDefault="00254D6C" w:rsidP="00AB330D">
            <w:pPr>
              <w:spacing w:after="0" w:line="240" w:lineRule="auto"/>
              <w:jc w:val="center"/>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noWrap/>
            <w:vAlign w:val="bottom"/>
          </w:tcPr>
          <w:p w14:paraId="099C5895" w14:textId="77777777" w:rsidR="00254D6C" w:rsidRPr="00FE3755" w:rsidRDefault="00254D6C" w:rsidP="00FE3755">
            <w:pPr>
              <w:spacing w:after="0" w:line="240" w:lineRule="auto"/>
              <w:rPr>
                <w:rFonts w:ascii="Calibri" w:eastAsia="Times New Roman" w:hAnsi="Calibri" w:cs="Calibri"/>
                <w:color w:val="000000"/>
              </w:rPr>
            </w:pPr>
          </w:p>
        </w:tc>
      </w:tr>
      <w:tr w:rsidR="00A00010" w:rsidRPr="00FE3755" w14:paraId="769A9406"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2581D8" w14:textId="4DA78AFE" w:rsidR="00A00010" w:rsidRPr="00FE3755" w:rsidRDefault="00401DB7" w:rsidP="00A00010">
            <w:pPr>
              <w:spacing w:after="0" w:line="240" w:lineRule="auto"/>
              <w:rPr>
                <w:rFonts w:ascii="Calibri" w:eastAsia="Times New Roman" w:hAnsi="Calibri" w:cs="Calibri"/>
                <w:color w:val="000000"/>
              </w:rPr>
            </w:pPr>
            <w:r>
              <w:rPr>
                <w:rFonts w:ascii="Calibri" w:eastAsia="Times New Roman" w:hAnsi="Calibri" w:cs="Calibri"/>
                <w:color w:val="000000"/>
              </w:rPr>
              <w:t>NONCONFORMING</w:t>
            </w:r>
            <w:r w:rsidR="00A00010" w:rsidRPr="00FE3755">
              <w:rPr>
                <w:rFonts w:ascii="Calibri" w:eastAsia="Times New Roman" w:hAnsi="Calibri" w:cs="Calibri"/>
                <w:color w:val="000000"/>
              </w:rPr>
              <w:t xml:space="preserve"> USES:</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14:paraId="02F31670" w14:textId="569A86E2" w:rsidR="00A00010" w:rsidRPr="00FE3755" w:rsidRDefault="00A00010" w:rsidP="00A00010">
            <w:pPr>
              <w:spacing w:after="0" w:line="240" w:lineRule="auto"/>
              <w:rPr>
                <w:rFonts w:ascii="Calibri" w:eastAsia="Times New Roman" w:hAnsi="Calibri" w:cs="Calibri"/>
                <w:color w:val="000000"/>
              </w:rPr>
            </w:pPr>
            <w:r w:rsidRPr="00CB171D">
              <w:rPr>
                <w:rFonts w:ascii="Calibri" w:eastAsia="Times New Roman" w:hAnsi="Calibri" w:cs="Calibri"/>
                <w:b/>
                <w:bCs/>
                <w:color w:val="000000"/>
              </w:rPr>
              <w:t>C-1</w:t>
            </w:r>
            <w:r w:rsidRPr="00FE3755">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14:paraId="42B0676E" w14:textId="01357621" w:rsidR="00A00010" w:rsidRPr="00FE3755" w:rsidRDefault="00A00010" w:rsidP="00A00010">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14:paraId="047CCF44" w14:textId="7B018449" w:rsidR="00A00010" w:rsidRPr="00FE3755" w:rsidRDefault="00A00010" w:rsidP="00A00010">
            <w:pPr>
              <w:spacing w:after="0" w:line="240" w:lineRule="auto"/>
              <w:jc w:val="center"/>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C-3</w:t>
            </w:r>
          </w:p>
        </w:tc>
        <w:tc>
          <w:tcPr>
            <w:tcW w:w="780" w:type="dxa"/>
            <w:tcBorders>
              <w:top w:val="nil"/>
              <w:left w:val="nil"/>
              <w:bottom w:val="single" w:sz="4" w:space="0" w:color="auto"/>
              <w:right w:val="single" w:sz="4" w:space="0" w:color="auto"/>
            </w:tcBorders>
            <w:shd w:val="clear" w:color="auto" w:fill="D9D9D9" w:themeFill="background1" w:themeFillShade="D9"/>
            <w:noWrap/>
            <w:vAlign w:val="bottom"/>
          </w:tcPr>
          <w:p w14:paraId="43282830" w14:textId="043CDC7C" w:rsidR="00A00010" w:rsidRPr="00FE3755" w:rsidRDefault="00A00010" w:rsidP="00A00010">
            <w:pPr>
              <w:spacing w:after="0" w:line="240" w:lineRule="auto"/>
              <w:rPr>
                <w:rFonts w:ascii="Calibri" w:eastAsia="Times New Roman" w:hAnsi="Calibri" w:cs="Calibri"/>
                <w:color w:val="000000"/>
              </w:rPr>
            </w:pPr>
            <w:r w:rsidRPr="00FE3755">
              <w:rPr>
                <w:rFonts w:ascii="Calibri" w:eastAsia="Times New Roman" w:hAnsi="Calibri" w:cs="Calibri"/>
                <w:color w:val="000000"/>
              </w:rPr>
              <w:t> </w:t>
            </w:r>
            <w:r w:rsidRPr="00CB171D">
              <w:rPr>
                <w:rFonts w:ascii="Calibri" w:eastAsia="Times New Roman" w:hAnsi="Calibri" w:cs="Calibri"/>
                <w:b/>
                <w:bCs/>
                <w:color w:val="000000"/>
              </w:rPr>
              <w:t>C-V</w:t>
            </w:r>
          </w:p>
        </w:tc>
      </w:tr>
      <w:tr w:rsidR="00401DB7" w:rsidRPr="00FE3755" w14:paraId="29A8624C"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4D3C7913" w14:textId="7728A45B" w:rsidR="00401DB7" w:rsidRDefault="00401DB7" w:rsidP="00FE3755">
            <w:pPr>
              <w:spacing w:after="0" w:line="240" w:lineRule="auto"/>
              <w:rPr>
                <w:rFonts w:ascii="Calibri" w:eastAsia="Times New Roman" w:hAnsi="Calibri" w:cs="Calibri"/>
                <w:color w:val="000000"/>
              </w:rPr>
            </w:pPr>
            <w:r>
              <w:rPr>
                <w:rFonts w:ascii="Calibri" w:eastAsia="Times New Roman" w:hAnsi="Calibri" w:cs="Calibri"/>
                <w:color w:val="000000"/>
              </w:rPr>
              <w:t>Pre-Existing Lot</w:t>
            </w:r>
          </w:p>
        </w:tc>
        <w:tc>
          <w:tcPr>
            <w:tcW w:w="720" w:type="dxa"/>
            <w:tcBorders>
              <w:top w:val="nil"/>
              <w:left w:val="nil"/>
              <w:bottom w:val="single" w:sz="4" w:space="0" w:color="auto"/>
              <w:right w:val="single" w:sz="4" w:space="0" w:color="auto"/>
            </w:tcBorders>
            <w:shd w:val="clear" w:color="auto" w:fill="auto"/>
            <w:noWrap/>
            <w:vAlign w:val="bottom"/>
          </w:tcPr>
          <w:p w14:paraId="23FDB60E" w14:textId="6D36359C" w:rsidR="00401DB7"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tcPr>
          <w:p w14:paraId="573DFCFE" w14:textId="2CCFB9AA" w:rsidR="00401DB7"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tcPr>
          <w:p w14:paraId="001F882D" w14:textId="381274AB" w:rsidR="00401DB7"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tcPr>
          <w:p w14:paraId="54B7C90A" w14:textId="59914189" w:rsidR="00401DB7"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r>
      <w:tr w:rsidR="00A00010" w:rsidRPr="00FE3755" w14:paraId="69FA90B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1C38B4D1" w14:textId="55B7E55A" w:rsidR="00A00010" w:rsidRPr="00FE3755" w:rsidRDefault="00A00010" w:rsidP="00FE3755">
            <w:pPr>
              <w:spacing w:after="0" w:line="240" w:lineRule="auto"/>
              <w:rPr>
                <w:rFonts w:ascii="Calibri" w:eastAsia="Times New Roman" w:hAnsi="Calibri" w:cs="Calibri"/>
                <w:color w:val="000000"/>
              </w:rPr>
            </w:pPr>
            <w:r>
              <w:rPr>
                <w:rFonts w:ascii="Calibri" w:eastAsia="Times New Roman" w:hAnsi="Calibri" w:cs="Calibri"/>
                <w:color w:val="000000"/>
              </w:rPr>
              <w:t>Pre-Existing Structure</w:t>
            </w:r>
          </w:p>
        </w:tc>
        <w:tc>
          <w:tcPr>
            <w:tcW w:w="720" w:type="dxa"/>
            <w:tcBorders>
              <w:top w:val="nil"/>
              <w:left w:val="nil"/>
              <w:bottom w:val="single" w:sz="4" w:space="0" w:color="auto"/>
              <w:right w:val="single" w:sz="4" w:space="0" w:color="auto"/>
            </w:tcBorders>
            <w:shd w:val="clear" w:color="auto" w:fill="auto"/>
            <w:noWrap/>
            <w:vAlign w:val="bottom"/>
          </w:tcPr>
          <w:p w14:paraId="467D7A09" w14:textId="53B399EE"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tcPr>
          <w:p w14:paraId="56BF8961" w14:textId="4B73995F"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tcPr>
          <w:p w14:paraId="0D062D7A" w14:textId="371289A8"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tcPr>
          <w:p w14:paraId="410B4FA0" w14:textId="30EB9A75"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r>
      <w:tr w:rsidR="00A00010" w:rsidRPr="00FE3755" w14:paraId="31B9F7F4" w14:textId="77777777" w:rsidTr="675E44C1">
        <w:trPr>
          <w:trHeight w:val="300"/>
          <w:jc w:val="center"/>
        </w:trPr>
        <w:tc>
          <w:tcPr>
            <w:tcW w:w="6655" w:type="dxa"/>
            <w:tcBorders>
              <w:top w:val="nil"/>
              <w:left w:val="single" w:sz="4" w:space="0" w:color="auto"/>
              <w:bottom w:val="single" w:sz="4" w:space="0" w:color="auto"/>
              <w:right w:val="single" w:sz="4" w:space="0" w:color="auto"/>
            </w:tcBorders>
            <w:shd w:val="clear" w:color="auto" w:fill="auto"/>
            <w:noWrap/>
            <w:vAlign w:val="bottom"/>
          </w:tcPr>
          <w:p w14:paraId="23CB5649" w14:textId="5806A56A" w:rsidR="00A00010" w:rsidRPr="00FE3755" w:rsidRDefault="00A00010" w:rsidP="00FE3755">
            <w:pPr>
              <w:spacing w:after="0" w:line="240" w:lineRule="auto"/>
              <w:rPr>
                <w:rFonts w:ascii="Calibri" w:eastAsia="Times New Roman" w:hAnsi="Calibri" w:cs="Calibri"/>
                <w:color w:val="000000"/>
              </w:rPr>
            </w:pPr>
            <w:r>
              <w:rPr>
                <w:rFonts w:ascii="Calibri" w:eastAsia="Times New Roman" w:hAnsi="Calibri" w:cs="Calibri"/>
                <w:color w:val="000000"/>
              </w:rPr>
              <w:t>Pre-Existing Use</w:t>
            </w:r>
          </w:p>
        </w:tc>
        <w:tc>
          <w:tcPr>
            <w:tcW w:w="720" w:type="dxa"/>
            <w:tcBorders>
              <w:top w:val="nil"/>
              <w:left w:val="nil"/>
              <w:bottom w:val="single" w:sz="4" w:space="0" w:color="auto"/>
              <w:right w:val="single" w:sz="4" w:space="0" w:color="auto"/>
            </w:tcBorders>
            <w:shd w:val="clear" w:color="auto" w:fill="auto"/>
            <w:noWrap/>
            <w:vAlign w:val="bottom"/>
          </w:tcPr>
          <w:p w14:paraId="4AB9F241" w14:textId="2C252DD5"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tcPr>
          <w:p w14:paraId="5A8F893E" w14:textId="295C0D36"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bottom"/>
          </w:tcPr>
          <w:p w14:paraId="4F91035D" w14:textId="5D37BB16"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c>
          <w:tcPr>
            <w:tcW w:w="780" w:type="dxa"/>
            <w:tcBorders>
              <w:top w:val="nil"/>
              <w:left w:val="nil"/>
              <w:bottom w:val="single" w:sz="4" w:space="0" w:color="auto"/>
              <w:right w:val="single" w:sz="4" w:space="0" w:color="auto"/>
            </w:tcBorders>
            <w:shd w:val="clear" w:color="auto" w:fill="auto"/>
            <w:noWrap/>
            <w:vAlign w:val="bottom"/>
          </w:tcPr>
          <w:p w14:paraId="093AD996" w14:textId="3E1118A7" w:rsidR="00A00010" w:rsidRPr="00FE3755" w:rsidRDefault="00401DB7" w:rsidP="00401DB7">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r>
    </w:tbl>
    <w:p w14:paraId="60D31D91" w14:textId="0B2AFFB1" w:rsidR="008B0CF9" w:rsidRDefault="008B0CF9" w:rsidP="008B0CF9">
      <w:pPr>
        <w:pStyle w:val="paragraph"/>
        <w:spacing w:before="0" w:beforeAutospacing="0" w:after="160" w:afterAutospacing="0"/>
        <w:jc w:val="both"/>
        <w:textAlignment w:val="baseline"/>
        <w:rPr>
          <w:rStyle w:val="normaltextrun"/>
          <w:i/>
          <w:iCs/>
        </w:rPr>
      </w:pPr>
    </w:p>
    <w:p w14:paraId="661E4EB4" w14:textId="0FE289FD" w:rsidR="00846B6C" w:rsidRPr="00473CCE" w:rsidRDefault="00846B6C" w:rsidP="00473CCE">
      <w:pPr>
        <w:pStyle w:val="Heading1"/>
        <w:rPr>
          <w:rFonts w:asciiTheme="minorHAnsi" w:hAnsiTheme="minorHAnsi" w:cstheme="minorHAnsi"/>
          <w:b/>
          <w:bCs/>
          <w:color w:val="auto"/>
          <w:sz w:val="22"/>
          <w:szCs w:val="22"/>
        </w:rPr>
      </w:pPr>
      <w:bookmarkStart w:id="5" w:name="_Toc110339647"/>
      <w:r w:rsidRPr="00473CCE">
        <w:rPr>
          <w:rFonts w:asciiTheme="minorHAnsi" w:hAnsiTheme="minorHAnsi" w:cstheme="minorHAnsi"/>
          <w:b/>
          <w:bCs/>
          <w:color w:val="auto"/>
          <w:sz w:val="22"/>
          <w:szCs w:val="22"/>
        </w:rPr>
        <w:t>19.</w:t>
      </w:r>
      <w:r w:rsidRPr="00473CCE">
        <w:rPr>
          <w:rFonts w:asciiTheme="minorHAnsi" w:hAnsiTheme="minorHAnsi" w:cstheme="minorHAnsi"/>
          <w:b/>
          <w:bCs/>
          <w:color w:val="auto"/>
          <w:sz w:val="22"/>
          <w:szCs w:val="22"/>
          <w:highlight w:val="yellow"/>
        </w:rPr>
        <w:t>32</w:t>
      </w:r>
      <w:r w:rsidRPr="00473CCE">
        <w:rPr>
          <w:rFonts w:asciiTheme="minorHAnsi" w:hAnsiTheme="minorHAnsi" w:cstheme="minorHAnsi"/>
          <w:b/>
          <w:bCs/>
          <w:color w:val="auto"/>
          <w:sz w:val="22"/>
          <w:szCs w:val="22"/>
        </w:rPr>
        <w:t>.0</w:t>
      </w:r>
      <w:r w:rsidR="002A54ED" w:rsidRPr="00473CCE">
        <w:rPr>
          <w:rFonts w:asciiTheme="minorHAnsi" w:hAnsiTheme="minorHAnsi" w:cstheme="minorHAnsi"/>
          <w:b/>
          <w:bCs/>
          <w:color w:val="auto"/>
          <w:sz w:val="22"/>
          <w:szCs w:val="22"/>
        </w:rPr>
        <w:t>4</w:t>
      </w:r>
      <w:r w:rsidRPr="00473CCE">
        <w:rPr>
          <w:rFonts w:asciiTheme="minorHAnsi" w:hAnsiTheme="minorHAnsi" w:cstheme="minorHAnsi"/>
          <w:b/>
          <w:bCs/>
          <w:color w:val="auto"/>
          <w:sz w:val="22"/>
          <w:szCs w:val="22"/>
        </w:rPr>
        <w:t xml:space="preserve">0 – </w:t>
      </w:r>
      <w:r w:rsidR="002A54ED" w:rsidRPr="00473CCE">
        <w:rPr>
          <w:rFonts w:asciiTheme="minorHAnsi" w:hAnsiTheme="minorHAnsi" w:cstheme="minorHAnsi"/>
          <w:b/>
          <w:bCs/>
          <w:color w:val="auto"/>
          <w:sz w:val="22"/>
          <w:szCs w:val="22"/>
        </w:rPr>
        <w:t xml:space="preserve">Lot and Area </w:t>
      </w:r>
      <w:r w:rsidRPr="00473CCE">
        <w:rPr>
          <w:rFonts w:asciiTheme="minorHAnsi" w:hAnsiTheme="minorHAnsi" w:cstheme="minorHAnsi"/>
          <w:b/>
          <w:bCs/>
          <w:color w:val="auto"/>
          <w:sz w:val="22"/>
          <w:szCs w:val="22"/>
        </w:rPr>
        <w:t>Standards.</w:t>
      </w:r>
      <w:bookmarkEnd w:id="5"/>
    </w:p>
    <w:p w14:paraId="33BE3FDC" w14:textId="3E9DACC7" w:rsidR="00846B6C" w:rsidRDefault="00846B6C" w:rsidP="00846B6C">
      <w:r>
        <w:t xml:space="preserve">Development in the C-1, C-2, C-3 and C-V Zones shall comply with the </w:t>
      </w:r>
      <w:r w:rsidR="002A54ED">
        <w:t>lot and project area</w:t>
      </w:r>
      <w:r>
        <w:t xml:space="preserve"> standards</w:t>
      </w:r>
      <w:r w:rsidR="00665AAA">
        <w:t xml:space="preserve"> </w:t>
      </w:r>
      <w:r>
        <w:t xml:space="preserve">in Table </w:t>
      </w:r>
      <w:r w:rsidRPr="191F6316">
        <w:rPr>
          <w:highlight w:val="yellow"/>
        </w:rPr>
        <w:t>19.32.0</w:t>
      </w:r>
      <w:r w:rsidR="00B13912" w:rsidRPr="191F6316">
        <w:rPr>
          <w:highlight w:val="yellow"/>
        </w:rPr>
        <w:t>4</w:t>
      </w:r>
      <w:r w:rsidRPr="191F6316">
        <w:rPr>
          <w:highlight w:val="yellow"/>
        </w:rPr>
        <w:t>0</w:t>
      </w:r>
      <w:r>
        <w:t xml:space="preserve"> and all other </w:t>
      </w:r>
      <w:r w:rsidR="001719C0">
        <w:t xml:space="preserve">applicable </w:t>
      </w:r>
      <w:r>
        <w:t>standards in this Title. </w:t>
      </w:r>
    </w:p>
    <w:tbl>
      <w:tblPr>
        <w:tblStyle w:val="TableGrid"/>
        <w:tblW w:w="0" w:type="auto"/>
        <w:tblLook w:val="04A0" w:firstRow="1" w:lastRow="0" w:firstColumn="1" w:lastColumn="0" w:noHBand="0" w:noVBand="1"/>
      </w:tblPr>
      <w:tblGrid>
        <w:gridCol w:w="3070"/>
        <w:gridCol w:w="1570"/>
        <w:gridCol w:w="1570"/>
        <w:gridCol w:w="1570"/>
        <w:gridCol w:w="1570"/>
      </w:tblGrid>
      <w:tr w:rsidR="00846B6C" w:rsidRPr="000701A4" w14:paraId="7FC8C64D" w14:textId="77777777" w:rsidTr="00C20818">
        <w:trPr>
          <w:trHeight w:val="300"/>
        </w:trPr>
        <w:tc>
          <w:tcPr>
            <w:tcW w:w="9576" w:type="dxa"/>
            <w:gridSpan w:val="5"/>
            <w:noWrap/>
            <w:hideMark/>
          </w:tcPr>
          <w:p w14:paraId="0CC1BEFE" w14:textId="41FA1853" w:rsidR="00846B6C" w:rsidRPr="001719C0" w:rsidRDefault="00846B6C" w:rsidP="00C20818">
            <w:pPr>
              <w:jc w:val="center"/>
              <w:rPr>
                <w:b/>
                <w:bCs/>
              </w:rPr>
            </w:pPr>
            <w:bookmarkStart w:id="6" w:name="_Hlk108186410"/>
            <w:r w:rsidRPr="001719C0">
              <w:rPr>
                <w:b/>
                <w:bCs/>
              </w:rPr>
              <w:t>Table 19.32.0</w:t>
            </w:r>
            <w:r w:rsidR="00B13912" w:rsidRPr="001719C0">
              <w:rPr>
                <w:b/>
                <w:bCs/>
              </w:rPr>
              <w:t>4</w:t>
            </w:r>
            <w:r w:rsidRPr="001719C0">
              <w:rPr>
                <w:b/>
                <w:bCs/>
              </w:rPr>
              <w:t>0 - Required Yards and Setbacks</w:t>
            </w:r>
            <w:r w:rsidR="001719C0" w:rsidRPr="001719C0">
              <w:rPr>
                <w:b/>
                <w:bCs/>
              </w:rPr>
              <w:t>.</w:t>
            </w:r>
          </w:p>
        </w:tc>
      </w:tr>
      <w:tr w:rsidR="00846B6C" w:rsidRPr="000701A4" w14:paraId="7D6034E3" w14:textId="77777777" w:rsidTr="00C20818">
        <w:trPr>
          <w:trHeight w:val="300"/>
        </w:trPr>
        <w:tc>
          <w:tcPr>
            <w:tcW w:w="3148" w:type="dxa"/>
            <w:shd w:val="clear" w:color="auto" w:fill="D9D9D9" w:themeFill="background1" w:themeFillShade="D9"/>
            <w:noWrap/>
            <w:hideMark/>
          </w:tcPr>
          <w:p w14:paraId="546C625F" w14:textId="77777777" w:rsidR="00846B6C" w:rsidRPr="000701A4" w:rsidRDefault="00846B6C" w:rsidP="00C20818">
            <w:bookmarkStart w:id="7" w:name="_Hlk108185472"/>
            <w:bookmarkEnd w:id="6"/>
            <w:r>
              <w:t xml:space="preserve">Lot and Area </w:t>
            </w:r>
            <w:r w:rsidRPr="000701A4">
              <w:t>Standard</w:t>
            </w:r>
            <w:r>
              <w:t>s</w:t>
            </w:r>
          </w:p>
        </w:tc>
        <w:tc>
          <w:tcPr>
            <w:tcW w:w="1607" w:type="dxa"/>
            <w:shd w:val="clear" w:color="auto" w:fill="D9D9D9" w:themeFill="background1" w:themeFillShade="D9"/>
            <w:noWrap/>
            <w:hideMark/>
          </w:tcPr>
          <w:p w14:paraId="5D06ADA7" w14:textId="77777777" w:rsidR="00846B6C" w:rsidRPr="000701A4" w:rsidRDefault="00846B6C" w:rsidP="00C20818">
            <w:r w:rsidRPr="000701A4">
              <w:t>C-1</w:t>
            </w:r>
          </w:p>
        </w:tc>
        <w:tc>
          <w:tcPr>
            <w:tcW w:w="1607" w:type="dxa"/>
            <w:shd w:val="clear" w:color="auto" w:fill="D9D9D9" w:themeFill="background1" w:themeFillShade="D9"/>
            <w:noWrap/>
            <w:hideMark/>
          </w:tcPr>
          <w:p w14:paraId="6440C305" w14:textId="77777777" w:rsidR="00846B6C" w:rsidRPr="000701A4" w:rsidRDefault="00846B6C" w:rsidP="00C20818">
            <w:r w:rsidRPr="000701A4">
              <w:t>C-2</w:t>
            </w:r>
          </w:p>
        </w:tc>
        <w:tc>
          <w:tcPr>
            <w:tcW w:w="1607" w:type="dxa"/>
            <w:shd w:val="clear" w:color="auto" w:fill="D9D9D9" w:themeFill="background1" w:themeFillShade="D9"/>
            <w:noWrap/>
            <w:hideMark/>
          </w:tcPr>
          <w:p w14:paraId="2386917A" w14:textId="77777777" w:rsidR="00846B6C" w:rsidRPr="000701A4" w:rsidRDefault="00846B6C" w:rsidP="00C20818">
            <w:r w:rsidRPr="000701A4">
              <w:t>C-3</w:t>
            </w:r>
          </w:p>
        </w:tc>
        <w:tc>
          <w:tcPr>
            <w:tcW w:w="1607" w:type="dxa"/>
            <w:shd w:val="clear" w:color="auto" w:fill="D9D9D9" w:themeFill="background1" w:themeFillShade="D9"/>
            <w:noWrap/>
            <w:hideMark/>
          </w:tcPr>
          <w:p w14:paraId="7C87B60E" w14:textId="77777777" w:rsidR="00846B6C" w:rsidRPr="000701A4" w:rsidRDefault="00846B6C" w:rsidP="00C20818">
            <w:r w:rsidRPr="000701A4">
              <w:t>C-V</w:t>
            </w:r>
          </w:p>
        </w:tc>
      </w:tr>
      <w:bookmarkEnd w:id="7"/>
      <w:tr w:rsidR="00846B6C" w:rsidRPr="000701A4" w14:paraId="38520B03" w14:textId="77777777" w:rsidTr="00C20818">
        <w:trPr>
          <w:trHeight w:val="300"/>
        </w:trPr>
        <w:tc>
          <w:tcPr>
            <w:tcW w:w="3148" w:type="dxa"/>
            <w:tcBorders>
              <w:top w:val="single" w:sz="4" w:space="0" w:color="auto"/>
              <w:left w:val="single" w:sz="4" w:space="0" w:color="auto"/>
              <w:bottom w:val="single" w:sz="4" w:space="0" w:color="auto"/>
              <w:right w:val="single" w:sz="4" w:space="0" w:color="auto"/>
            </w:tcBorders>
            <w:noWrap/>
          </w:tcPr>
          <w:p w14:paraId="6ED9E7C4" w14:textId="77777777" w:rsidR="00846B6C" w:rsidRPr="000701A4" w:rsidRDefault="00846B6C" w:rsidP="00C20818">
            <w:r w:rsidRPr="0CF4135C">
              <w:rPr>
                <w:rFonts w:ascii="Calibri" w:eastAsia="Calibri" w:hAnsi="Calibri" w:cs="Calibri"/>
                <w:color w:val="000000" w:themeColor="text1"/>
              </w:rPr>
              <w:t>Minimum Project Area</w:t>
            </w:r>
          </w:p>
        </w:tc>
        <w:tc>
          <w:tcPr>
            <w:tcW w:w="1607" w:type="dxa"/>
            <w:tcBorders>
              <w:top w:val="single" w:sz="4" w:space="0" w:color="auto"/>
              <w:left w:val="single" w:sz="4" w:space="0" w:color="auto"/>
              <w:bottom w:val="single" w:sz="4" w:space="0" w:color="auto"/>
              <w:right w:val="single" w:sz="4" w:space="0" w:color="auto"/>
            </w:tcBorders>
            <w:noWrap/>
          </w:tcPr>
          <w:p w14:paraId="389D3B6C" w14:textId="77777777" w:rsidR="00846B6C" w:rsidRPr="000701A4" w:rsidRDefault="00846B6C" w:rsidP="00C20818">
            <w:r w:rsidRPr="0CF4135C">
              <w:rPr>
                <w:rFonts w:ascii="Calibri" w:eastAsia="Calibri" w:hAnsi="Calibri" w:cs="Calibri"/>
                <w:color w:val="000000" w:themeColor="text1"/>
              </w:rPr>
              <w:t>None</w:t>
            </w:r>
          </w:p>
        </w:tc>
        <w:tc>
          <w:tcPr>
            <w:tcW w:w="1607" w:type="dxa"/>
            <w:tcBorders>
              <w:top w:val="single" w:sz="4" w:space="0" w:color="auto"/>
              <w:left w:val="single" w:sz="4" w:space="0" w:color="auto"/>
              <w:bottom w:val="single" w:sz="4" w:space="0" w:color="auto"/>
              <w:right w:val="single" w:sz="4" w:space="0" w:color="auto"/>
            </w:tcBorders>
            <w:noWrap/>
          </w:tcPr>
          <w:p w14:paraId="02FD6366" w14:textId="77777777" w:rsidR="00846B6C" w:rsidRPr="000701A4" w:rsidRDefault="00846B6C" w:rsidP="00C20818">
            <w:r w:rsidRPr="0CF4135C">
              <w:rPr>
                <w:rFonts w:ascii="Calibri" w:eastAsia="Calibri" w:hAnsi="Calibri" w:cs="Calibri"/>
                <w:color w:val="000000" w:themeColor="text1"/>
              </w:rPr>
              <w:t>3 acres</w:t>
            </w:r>
          </w:p>
        </w:tc>
        <w:tc>
          <w:tcPr>
            <w:tcW w:w="1607" w:type="dxa"/>
            <w:tcBorders>
              <w:top w:val="single" w:sz="4" w:space="0" w:color="auto"/>
              <w:left w:val="single" w:sz="4" w:space="0" w:color="auto"/>
              <w:bottom w:val="single" w:sz="4" w:space="0" w:color="auto"/>
              <w:right w:val="single" w:sz="4" w:space="0" w:color="auto"/>
            </w:tcBorders>
            <w:noWrap/>
          </w:tcPr>
          <w:p w14:paraId="4DDAE645" w14:textId="77777777" w:rsidR="00846B6C" w:rsidRPr="000701A4" w:rsidRDefault="00846B6C" w:rsidP="00C20818">
            <w:r w:rsidRPr="0CF4135C">
              <w:rPr>
                <w:rFonts w:ascii="Calibri" w:eastAsia="Calibri" w:hAnsi="Calibri" w:cs="Calibri"/>
                <w:color w:val="000000" w:themeColor="text1"/>
              </w:rPr>
              <w:t>N/A</w:t>
            </w:r>
          </w:p>
        </w:tc>
        <w:tc>
          <w:tcPr>
            <w:tcW w:w="1607" w:type="dxa"/>
            <w:tcBorders>
              <w:top w:val="single" w:sz="4" w:space="0" w:color="auto"/>
              <w:left w:val="single" w:sz="4" w:space="0" w:color="auto"/>
              <w:bottom w:val="single" w:sz="4" w:space="0" w:color="auto"/>
              <w:right w:val="single" w:sz="4" w:space="0" w:color="auto"/>
            </w:tcBorders>
            <w:noWrap/>
          </w:tcPr>
          <w:p w14:paraId="61C0B0F8" w14:textId="77777777" w:rsidR="00846B6C" w:rsidRPr="000701A4" w:rsidRDefault="00846B6C" w:rsidP="00C20818">
            <w:r w:rsidRPr="0CF4135C">
              <w:rPr>
                <w:rFonts w:ascii="Calibri" w:eastAsia="Calibri" w:hAnsi="Calibri" w:cs="Calibri"/>
                <w:color w:val="000000" w:themeColor="text1"/>
              </w:rPr>
              <w:t>None</w:t>
            </w:r>
          </w:p>
        </w:tc>
      </w:tr>
      <w:tr w:rsidR="00846B6C" w:rsidRPr="000701A4" w14:paraId="302735B9" w14:textId="77777777" w:rsidTr="00C20818">
        <w:trPr>
          <w:trHeight w:val="300"/>
        </w:trPr>
        <w:tc>
          <w:tcPr>
            <w:tcW w:w="3148" w:type="dxa"/>
            <w:tcBorders>
              <w:top w:val="single" w:sz="4" w:space="0" w:color="auto"/>
              <w:left w:val="single" w:sz="4" w:space="0" w:color="auto"/>
              <w:bottom w:val="single" w:sz="4" w:space="0" w:color="auto"/>
              <w:right w:val="single" w:sz="4" w:space="0" w:color="auto"/>
            </w:tcBorders>
            <w:noWrap/>
          </w:tcPr>
          <w:p w14:paraId="3E7D41AA" w14:textId="77777777" w:rsidR="00846B6C" w:rsidRPr="000701A4" w:rsidRDefault="00846B6C" w:rsidP="00C20818">
            <w:r w:rsidRPr="0CF4135C">
              <w:rPr>
                <w:rFonts w:ascii="Calibri" w:eastAsia="Calibri" w:hAnsi="Calibri" w:cs="Calibri"/>
                <w:color w:val="000000" w:themeColor="text1"/>
              </w:rPr>
              <w:t>Minimum Lot Size</w:t>
            </w:r>
          </w:p>
        </w:tc>
        <w:tc>
          <w:tcPr>
            <w:tcW w:w="6428" w:type="dxa"/>
            <w:gridSpan w:val="4"/>
            <w:tcBorders>
              <w:top w:val="single" w:sz="4" w:space="0" w:color="auto"/>
              <w:left w:val="single" w:sz="4" w:space="0" w:color="auto"/>
              <w:bottom w:val="single" w:sz="4" w:space="0" w:color="auto"/>
              <w:right w:val="single" w:sz="4" w:space="0" w:color="auto"/>
            </w:tcBorders>
            <w:noWrap/>
          </w:tcPr>
          <w:p w14:paraId="664CECD9" w14:textId="77777777" w:rsidR="00846B6C" w:rsidRPr="000701A4" w:rsidRDefault="00846B6C" w:rsidP="00C20818">
            <w:r w:rsidRPr="0CF4135C">
              <w:rPr>
                <w:rFonts w:ascii="Calibri" w:eastAsia="Calibri" w:hAnsi="Calibri" w:cs="Calibri"/>
                <w:color w:val="000000" w:themeColor="text1"/>
              </w:rPr>
              <w:t>There is no minimum lot size required in the Commercial Zones.</w:t>
            </w:r>
          </w:p>
        </w:tc>
      </w:tr>
      <w:tr w:rsidR="00846B6C" w:rsidRPr="000701A4" w14:paraId="06283A50" w14:textId="77777777" w:rsidTr="00C20818">
        <w:trPr>
          <w:trHeight w:val="300"/>
        </w:trPr>
        <w:tc>
          <w:tcPr>
            <w:tcW w:w="3148" w:type="dxa"/>
            <w:tcBorders>
              <w:top w:val="single" w:sz="4" w:space="0" w:color="auto"/>
              <w:left w:val="single" w:sz="4" w:space="0" w:color="auto"/>
              <w:bottom w:val="single" w:sz="4" w:space="0" w:color="auto"/>
              <w:right w:val="single" w:sz="4" w:space="0" w:color="auto"/>
            </w:tcBorders>
            <w:noWrap/>
          </w:tcPr>
          <w:p w14:paraId="6B44BB78" w14:textId="77777777" w:rsidR="00846B6C" w:rsidRPr="000701A4" w:rsidRDefault="00846B6C" w:rsidP="00C20818">
            <w:r w:rsidRPr="0CF4135C">
              <w:rPr>
                <w:rFonts w:ascii="Calibri" w:eastAsia="Calibri" w:hAnsi="Calibri" w:cs="Calibri"/>
                <w:color w:val="000000" w:themeColor="text1"/>
              </w:rPr>
              <w:t>Minimum Lot Width and Frontage</w:t>
            </w:r>
          </w:p>
        </w:tc>
        <w:tc>
          <w:tcPr>
            <w:tcW w:w="6428" w:type="dxa"/>
            <w:gridSpan w:val="4"/>
            <w:tcBorders>
              <w:top w:val="single" w:sz="4" w:space="0" w:color="auto"/>
              <w:left w:val="single" w:sz="4" w:space="0" w:color="auto"/>
              <w:bottom w:val="single" w:sz="4" w:space="0" w:color="auto"/>
              <w:right w:val="single" w:sz="4" w:space="0" w:color="auto"/>
            </w:tcBorders>
            <w:noWrap/>
          </w:tcPr>
          <w:p w14:paraId="46D8CC73" w14:textId="77777777" w:rsidR="00846B6C" w:rsidRPr="000701A4" w:rsidRDefault="00846B6C" w:rsidP="00C20818">
            <w:r w:rsidRPr="0CF4135C">
              <w:rPr>
                <w:rFonts w:ascii="Calibri" w:eastAsia="Calibri" w:hAnsi="Calibri" w:cs="Calibri"/>
                <w:color w:val="000000" w:themeColor="text1"/>
              </w:rPr>
              <w:t>No minimum lot width is required for lots in Commercial Zones. Lots not fronting on a street must be accessible to the public via a recorded easement or right-of-way.</w:t>
            </w:r>
          </w:p>
        </w:tc>
      </w:tr>
    </w:tbl>
    <w:p w14:paraId="66BE42CA" w14:textId="7F09D177" w:rsidR="00846B6C" w:rsidRDefault="00846B6C" w:rsidP="00846B6C">
      <w:pPr>
        <w:ind w:left="360" w:hanging="360"/>
      </w:pPr>
    </w:p>
    <w:p w14:paraId="7759BAE3" w14:textId="6D0CB031" w:rsidR="002A54ED" w:rsidRPr="00473CCE" w:rsidRDefault="002A54ED" w:rsidP="00473CCE">
      <w:pPr>
        <w:pStyle w:val="Heading1"/>
        <w:rPr>
          <w:rFonts w:asciiTheme="minorHAnsi" w:hAnsiTheme="minorHAnsi" w:cstheme="minorHAnsi"/>
          <w:b/>
          <w:bCs/>
          <w:color w:val="auto"/>
          <w:sz w:val="22"/>
          <w:szCs w:val="22"/>
        </w:rPr>
      </w:pPr>
      <w:bookmarkStart w:id="8" w:name="_Toc110339648"/>
      <w:r w:rsidRPr="00473CCE">
        <w:rPr>
          <w:rFonts w:asciiTheme="minorHAnsi" w:hAnsiTheme="minorHAnsi" w:cstheme="minorHAnsi"/>
          <w:b/>
          <w:bCs/>
          <w:color w:val="auto"/>
          <w:sz w:val="22"/>
          <w:szCs w:val="22"/>
        </w:rPr>
        <w:t>19.</w:t>
      </w:r>
      <w:r w:rsidRPr="00473CCE">
        <w:rPr>
          <w:rFonts w:asciiTheme="minorHAnsi" w:hAnsiTheme="minorHAnsi" w:cstheme="minorHAnsi"/>
          <w:b/>
          <w:bCs/>
          <w:color w:val="auto"/>
          <w:sz w:val="22"/>
          <w:szCs w:val="22"/>
          <w:highlight w:val="yellow"/>
        </w:rPr>
        <w:t>32</w:t>
      </w:r>
      <w:r w:rsidRPr="00473CCE">
        <w:rPr>
          <w:rFonts w:asciiTheme="minorHAnsi" w:hAnsiTheme="minorHAnsi" w:cstheme="minorHAnsi"/>
          <w:b/>
          <w:bCs/>
          <w:color w:val="auto"/>
          <w:sz w:val="22"/>
          <w:szCs w:val="22"/>
        </w:rPr>
        <w:t>.050 – Site Standards.</w:t>
      </w:r>
      <w:bookmarkEnd w:id="8"/>
    </w:p>
    <w:p w14:paraId="48637F37" w14:textId="182DD430" w:rsidR="002A54ED" w:rsidRDefault="002A54ED" w:rsidP="002A54ED">
      <w:r w:rsidRPr="0CF4135C">
        <w:rPr>
          <w:rFonts w:ascii="Calibri" w:eastAsia="Calibri" w:hAnsi="Calibri" w:cs="Calibri"/>
          <w:color w:val="000000" w:themeColor="text1"/>
        </w:rPr>
        <w:t xml:space="preserve">The following </w:t>
      </w:r>
      <w:r>
        <w:rPr>
          <w:rFonts w:ascii="Calibri" w:eastAsia="Calibri" w:hAnsi="Calibri" w:cs="Calibri"/>
          <w:color w:val="000000" w:themeColor="text1"/>
        </w:rPr>
        <w:t>site standards</w:t>
      </w:r>
      <w:r w:rsidRPr="0CF4135C">
        <w:rPr>
          <w:rFonts w:ascii="Calibri" w:eastAsia="Calibri" w:hAnsi="Calibri" w:cs="Calibri"/>
          <w:color w:val="000000" w:themeColor="text1"/>
        </w:rPr>
        <w:t xml:space="preserve"> shall apply in the </w:t>
      </w:r>
      <w:r>
        <w:rPr>
          <w:rFonts w:ascii="Calibri" w:eastAsia="Calibri" w:hAnsi="Calibri" w:cs="Calibri"/>
          <w:color w:val="000000" w:themeColor="text1"/>
        </w:rPr>
        <w:t>C-1, C-2, C-3 and C-V</w:t>
      </w:r>
      <w:r w:rsidRPr="0CF4135C">
        <w:rPr>
          <w:rFonts w:ascii="Calibri" w:eastAsia="Calibri" w:hAnsi="Calibri" w:cs="Calibri"/>
          <w:color w:val="000000" w:themeColor="text1"/>
        </w:rPr>
        <w:t xml:space="preserve"> Zones:</w:t>
      </w:r>
    </w:p>
    <w:p w14:paraId="60EDB72D" w14:textId="387C5CAB" w:rsidR="002A54ED" w:rsidRDefault="00680868">
      <w:pPr>
        <w:pStyle w:val="ListParagraph"/>
        <w:numPr>
          <w:ilvl w:val="1"/>
          <w:numId w:val="11"/>
        </w:numPr>
        <w:ind w:left="360"/>
      </w:pPr>
      <w:r w:rsidRPr="00680868">
        <w:rPr>
          <w:rStyle w:val="normaltextrun"/>
          <w:rFonts w:ascii="Calibri" w:hAnsi="Calibri" w:cs="Calibri"/>
          <w:color w:val="000000"/>
          <w:u w:val="single"/>
          <w:shd w:val="clear" w:color="auto" w:fill="FFFFFF"/>
        </w:rPr>
        <w:t>Setbacks</w:t>
      </w:r>
      <w:r w:rsidRPr="00680868">
        <w:rPr>
          <w:rStyle w:val="normaltextrun"/>
          <w:rFonts w:ascii="Calibri" w:hAnsi="Calibri" w:cs="Calibri"/>
          <w:i/>
          <w:iCs/>
          <w:color w:val="000000"/>
          <w:shd w:val="clear" w:color="auto" w:fill="FFFFFF"/>
        </w:rPr>
        <w:t>.</w:t>
      </w:r>
      <w:r w:rsidRPr="00680868">
        <w:rPr>
          <w:rStyle w:val="normaltextrun"/>
          <w:rFonts w:ascii="Calibri" w:hAnsi="Calibri" w:cs="Calibri"/>
          <w:color w:val="000000"/>
          <w:shd w:val="clear" w:color="auto" w:fill="FFFFFF"/>
        </w:rPr>
        <w:t>  A setback standard frames the street spatially and encourages a consistent building wall along street edges. A parking setback enhances pedestrian safety and comfort and reduces the visual prominence of automobiles as viewed from streets, building entrances, and sidewalks. See Table 19.</w:t>
      </w:r>
      <w:r w:rsidRPr="00680868">
        <w:rPr>
          <w:rStyle w:val="normaltextrun"/>
          <w:rFonts w:ascii="Calibri" w:hAnsi="Calibri" w:cs="Calibri"/>
          <w:color w:val="000000"/>
          <w:shd w:val="clear" w:color="auto" w:fill="FFFF00"/>
        </w:rPr>
        <w:t>32</w:t>
      </w:r>
      <w:r w:rsidRPr="00680868">
        <w:rPr>
          <w:rStyle w:val="normaltextrun"/>
          <w:rFonts w:ascii="Calibri" w:hAnsi="Calibri" w:cs="Calibri"/>
          <w:color w:val="000000"/>
          <w:shd w:val="clear" w:color="auto" w:fill="FFFFFF"/>
        </w:rPr>
        <w:t>.050 for setback requirements.</w:t>
      </w:r>
      <w:r w:rsidRPr="00680868">
        <w:rPr>
          <w:rStyle w:val="eop"/>
          <w:rFonts w:ascii="Calibri" w:hAnsi="Calibri" w:cs="Calibri"/>
          <w:color w:val="000000"/>
          <w:shd w:val="clear" w:color="auto" w:fill="FFFFFF"/>
        </w:rPr>
        <w:t> </w:t>
      </w:r>
    </w:p>
    <w:tbl>
      <w:tblPr>
        <w:tblStyle w:val="TableGrid"/>
        <w:tblW w:w="0" w:type="auto"/>
        <w:tblLook w:val="04A0" w:firstRow="1" w:lastRow="0" w:firstColumn="1" w:lastColumn="0" w:noHBand="0" w:noVBand="1"/>
      </w:tblPr>
      <w:tblGrid>
        <w:gridCol w:w="3070"/>
        <w:gridCol w:w="1570"/>
        <w:gridCol w:w="1570"/>
        <w:gridCol w:w="1570"/>
        <w:gridCol w:w="1570"/>
      </w:tblGrid>
      <w:tr w:rsidR="00716FC0" w:rsidRPr="000701A4" w14:paraId="5A8A5686" w14:textId="77777777" w:rsidTr="675E44C1">
        <w:trPr>
          <w:trHeight w:val="300"/>
        </w:trPr>
        <w:tc>
          <w:tcPr>
            <w:tcW w:w="9576" w:type="dxa"/>
            <w:gridSpan w:val="5"/>
            <w:noWrap/>
            <w:hideMark/>
          </w:tcPr>
          <w:p w14:paraId="4B5A1953" w14:textId="5DF8A059" w:rsidR="00716FC0" w:rsidRPr="00680868" w:rsidRDefault="00716FC0" w:rsidP="00C20818">
            <w:pPr>
              <w:jc w:val="center"/>
              <w:rPr>
                <w:b/>
                <w:bCs/>
              </w:rPr>
            </w:pPr>
            <w:r w:rsidRPr="00680868">
              <w:rPr>
                <w:b/>
                <w:bCs/>
              </w:rPr>
              <w:t>Table 19.32.0</w:t>
            </w:r>
            <w:r w:rsidR="002A54ED" w:rsidRPr="00680868">
              <w:rPr>
                <w:b/>
                <w:bCs/>
              </w:rPr>
              <w:t>5</w:t>
            </w:r>
            <w:r w:rsidRPr="00680868">
              <w:rPr>
                <w:b/>
                <w:bCs/>
              </w:rPr>
              <w:t xml:space="preserve">0 </w:t>
            </w:r>
            <w:r w:rsidR="002A54ED" w:rsidRPr="00680868">
              <w:rPr>
                <w:b/>
                <w:bCs/>
              </w:rPr>
              <w:t>–</w:t>
            </w:r>
            <w:r w:rsidRPr="00680868">
              <w:rPr>
                <w:b/>
                <w:bCs/>
              </w:rPr>
              <w:t xml:space="preserve"> </w:t>
            </w:r>
            <w:r w:rsidR="002A54ED" w:rsidRPr="00680868">
              <w:rPr>
                <w:b/>
                <w:bCs/>
              </w:rPr>
              <w:t>Site Standards</w:t>
            </w:r>
            <w:r w:rsidR="00680868" w:rsidRPr="00680868">
              <w:rPr>
                <w:b/>
                <w:bCs/>
              </w:rPr>
              <w:t>.</w:t>
            </w:r>
          </w:p>
        </w:tc>
      </w:tr>
      <w:tr w:rsidR="00716FC0" w:rsidRPr="000701A4" w14:paraId="5179525E" w14:textId="77777777" w:rsidTr="675E44C1">
        <w:trPr>
          <w:trHeight w:val="300"/>
        </w:trPr>
        <w:tc>
          <w:tcPr>
            <w:tcW w:w="3148" w:type="dxa"/>
            <w:shd w:val="clear" w:color="auto" w:fill="D9D9D9" w:themeFill="background1" w:themeFillShade="D9"/>
            <w:noWrap/>
            <w:hideMark/>
          </w:tcPr>
          <w:p w14:paraId="3B313F8F" w14:textId="77777777" w:rsidR="00716FC0" w:rsidRPr="000701A4" w:rsidRDefault="00716FC0" w:rsidP="00C20818">
            <w:r>
              <w:t xml:space="preserve">Setback </w:t>
            </w:r>
            <w:r w:rsidRPr="000701A4">
              <w:t>Standard</w:t>
            </w:r>
            <w:r>
              <w:t>s</w:t>
            </w:r>
          </w:p>
        </w:tc>
        <w:tc>
          <w:tcPr>
            <w:tcW w:w="1607" w:type="dxa"/>
            <w:shd w:val="clear" w:color="auto" w:fill="D9D9D9" w:themeFill="background1" w:themeFillShade="D9"/>
            <w:noWrap/>
            <w:hideMark/>
          </w:tcPr>
          <w:p w14:paraId="6B601A14" w14:textId="77777777" w:rsidR="00716FC0" w:rsidRPr="000701A4" w:rsidRDefault="00716FC0" w:rsidP="00C20818">
            <w:r w:rsidRPr="000701A4">
              <w:t>C-1</w:t>
            </w:r>
          </w:p>
        </w:tc>
        <w:tc>
          <w:tcPr>
            <w:tcW w:w="1607" w:type="dxa"/>
            <w:shd w:val="clear" w:color="auto" w:fill="D9D9D9" w:themeFill="background1" w:themeFillShade="D9"/>
            <w:noWrap/>
            <w:hideMark/>
          </w:tcPr>
          <w:p w14:paraId="60D555E5" w14:textId="77777777" w:rsidR="00716FC0" w:rsidRPr="000701A4" w:rsidRDefault="00716FC0" w:rsidP="00C20818">
            <w:r w:rsidRPr="000701A4">
              <w:t>C-2</w:t>
            </w:r>
          </w:p>
        </w:tc>
        <w:tc>
          <w:tcPr>
            <w:tcW w:w="1607" w:type="dxa"/>
            <w:shd w:val="clear" w:color="auto" w:fill="D9D9D9" w:themeFill="background1" w:themeFillShade="D9"/>
            <w:noWrap/>
            <w:hideMark/>
          </w:tcPr>
          <w:p w14:paraId="734D09EE" w14:textId="77777777" w:rsidR="00716FC0" w:rsidRPr="000701A4" w:rsidRDefault="00716FC0" w:rsidP="00C20818">
            <w:r w:rsidRPr="000701A4">
              <w:t>C-3</w:t>
            </w:r>
          </w:p>
        </w:tc>
        <w:tc>
          <w:tcPr>
            <w:tcW w:w="1607" w:type="dxa"/>
            <w:shd w:val="clear" w:color="auto" w:fill="D9D9D9" w:themeFill="background1" w:themeFillShade="D9"/>
            <w:noWrap/>
            <w:hideMark/>
          </w:tcPr>
          <w:p w14:paraId="6D82E432" w14:textId="77777777" w:rsidR="00716FC0" w:rsidRPr="000701A4" w:rsidRDefault="65D3FC65" w:rsidP="00C20818">
            <w:r>
              <w:t>C-V</w:t>
            </w:r>
          </w:p>
        </w:tc>
      </w:tr>
      <w:tr w:rsidR="00716FC0" w:rsidRPr="000701A4" w14:paraId="2ED4B655" w14:textId="77777777" w:rsidTr="675E44C1">
        <w:trPr>
          <w:trHeight w:val="300"/>
        </w:trPr>
        <w:tc>
          <w:tcPr>
            <w:tcW w:w="3148" w:type="dxa"/>
            <w:noWrap/>
            <w:hideMark/>
          </w:tcPr>
          <w:p w14:paraId="3659B1E5" w14:textId="77777777" w:rsidR="00716FC0" w:rsidRPr="000701A4" w:rsidRDefault="00716FC0" w:rsidP="00C20818">
            <w:r w:rsidRPr="000701A4">
              <w:t>Front Yard Setback, Major Street</w:t>
            </w:r>
          </w:p>
        </w:tc>
        <w:tc>
          <w:tcPr>
            <w:tcW w:w="1607" w:type="dxa"/>
            <w:noWrap/>
            <w:hideMark/>
          </w:tcPr>
          <w:p w14:paraId="2A0A7E8D" w14:textId="77777777" w:rsidR="00716FC0" w:rsidRPr="000701A4" w:rsidRDefault="00716FC0" w:rsidP="00C20818">
            <w:r>
              <w:t>18</w:t>
            </w:r>
            <w:r w:rsidRPr="000701A4">
              <w:t>'</w:t>
            </w:r>
            <w:r>
              <w:t xml:space="preserve"> landscaped setback from back of sidewalk</w:t>
            </w:r>
          </w:p>
        </w:tc>
        <w:tc>
          <w:tcPr>
            <w:tcW w:w="1607" w:type="dxa"/>
            <w:noWrap/>
            <w:hideMark/>
          </w:tcPr>
          <w:p w14:paraId="6FA5B153" w14:textId="77777777" w:rsidR="00716FC0" w:rsidRPr="000701A4" w:rsidRDefault="00716FC0" w:rsidP="00C20818">
            <w:r w:rsidRPr="000701A4">
              <w:t>30'</w:t>
            </w:r>
            <w:r>
              <w:t xml:space="preserve"> landscaped setback from public right of way</w:t>
            </w:r>
          </w:p>
        </w:tc>
        <w:tc>
          <w:tcPr>
            <w:tcW w:w="1607" w:type="dxa"/>
            <w:noWrap/>
            <w:hideMark/>
          </w:tcPr>
          <w:p w14:paraId="4290AFA5" w14:textId="77777777" w:rsidR="00716FC0" w:rsidRPr="000701A4" w:rsidRDefault="00716FC0" w:rsidP="00C20818">
            <w:r w:rsidRPr="000701A4">
              <w:t>30'</w:t>
            </w:r>
            <w:r>
              <w:t xml:space="preserve"> landscaped setback from public right of way</w:t>
            </w:r>
          </w:p>
        </w:tc>
        <w:tc>
          <w:tcPr>
            <w:tcW w:w="1607" w:type="dxa"/>
            <w:noWrap/>
            <w:hideMark/>
          </w:tcPr>
          <w:p w14:paraId="43AF1566" w14:textId="77777777" w:rsidR="00716FC0" w:rsidRPr="000701A4" w:rsidRDefault="00716FC0" w:rsidP="00C20818">
            <w:r w:rsidRPr="000701A4">
              <w:t>20'</w:t>
            </w:r>
            <w:r>
              <w:t xml:space="preserve"> landscaped setback from public right of way</w:t>
            </w:r>
          </w:p>
        </w:tc>
      </w:tr>
      <w:tr w:rsidR="00716FC0" w:rsidRPr="000701A4" w14:paraId="5A115DA7" w14:textId="77777777" w:rsidTr="675E44C1">
        <w:trPr>
          <w:trHeight w:val="300"/>
        </w:trPr>
        <w:tc>
          <w:tcPr>
            <w:tcW w:w="3148" w:type="dxa"/>
            <w:noWrap/>
            <w:hideMark/>
          </w:tcPr>
          <w:p w14:paraId="3163B146" w14:textId="2C88E966" w:rsidR="00716FC0" w:rsidRPr="000701A4" w:rsidRDefault="5B734E63" w:rsidP="00C20818">
            <w:r>
              <w:t xml:space="preserve">Front Yard Setback, Minor Street or </w:t>
            </w:r>
            <w:r w:rsidR="6435FDD3">
              <w:t>D</w:t>
            </w:r>
            <w:r>
              <w:t>rive</w:t>
            </w:r>
          </w:p>
        </w:tc>
        <w:tc>
          <w:tcPr>
            <w:tcW w:w="1607" w:type="dxa"/>
            <w:noWrap/>
            <w:hideMark/>
          </w:tcPr>
          <w:p w14:paraId="58948E77" w14:textId="77777777" w:rsidR="00716FC0" w:rsidRPr="000701A4" w:rsidRDefault="00716FC0" w:rsidP="00C20818">
            <w:r w:rsidRPr="000701A4">
              <w:t>10'</w:t>
            </w:r>
            <w:r>
              <w:t xml:space="preserve"> landscaped setback from back of curb</w:t>
            </w:r>
          </w:p>
        </w:tc>
        <w:tc>
          <w:tcPr>
            <w:tcW w:w="1607" w:type="dxa"/>
            <w:noWrap/>
            <w:hideMark/>
          </w:tcPr>
          <w:p w14:paraId="562A425F" w14:textId="77777777" w:rsidR="00716FC0" w:rsidRPr="000701A4" w:rsidRDefault="00716FC0" w:rsidP="00C20818">
            <w:r w:rsidRPr="000701A4">
              <w:t>15'</w:t>
            </w:r>
            <w:r>
              <w:t xml:space="preserve"> landscaped setback from back of curb</w:t>
            </w:r>
          </w:p>
        </w:tc>
        <w:tc>
          <w:tcPr>
            <w:tcW w:w="1607" w:type="dxa"/>
            <w:noWrap/>
            <w:hideMark/>
          </w:tcPr>
          <w:p w14:paraId="2E4119DE" w14:textId="77777777" w:rsidR="00716FC0" w:rsidRPr="000701A4" w:rsidRDefault="00716FC0" w:rsidP="00C20818">
            <w:r w:rsidRPr="000701A4">
              <w:t>15'</w:t>
            </w:r>
            <w:r>
              <w:t xml:space="preserve"> landscaped setback from back of curb</w:t>
            </w:r>
          </w:p>
        </w:tc>
        <w:tc>
          <w:tcPr>
            <w:tcW w:w="1607" w:type="dxa"/>
            <w:noWrap/>
            <w:hideMark/>
          </w:tcPr>
          <w:p w14:paraId="128A2DF2" w14:textId="77777777" w:rsidR="00716FC0" w:rsidRPr="000701A4" w:rsidRDefault="00716FC0" w:rsidP="00C20818">
            <w:r w:rsidRPr="000701A4">
              <w:t>10'</w:t>
            </w:r>
            <w:r>
              <w:t xml:space="preserve"> landscaped setback from back of curb</w:t>
            </w:r>
          </w:p>
        </w:tc>
      </w:tr>
      <w:tr w:rsidR="00716FC0" w:rsidRPr="000701A4" w14:paraId="199475A6" w14:textId="77777777" w:rsidTr="675E44C1">
        <w:trPr>
          <w:trHeight w:val="600"/>
        </w:trPr>
        <w:tc>
          <w:tcPr>
            <w:tcW w:w="3148" w:type="dxa"/>
            <w:noWrap/>
            <w:hideMark/>
          </w:tcPr>
          <w:p w14:paraId="6742A71B" w14:textId="77777777" w:rsidR="00716FC0" w:rsidRPr="000701A4" w:rsidRDefault="00716FC0" w:rsidP="00C20818">
            <w:r w:rsidRPr="000701A4">
              <w:t>Side Yard Setback – Corner Lots</w:t>
            </w:r>
          </w:p>
        </w:tc>
        <w:tc>
          <w:tcPr>
            <w:tcW w:w="1607" w:type="dxa"/>
            <w:hideMark/>
          </w:tcPr>
          <w:p w14:paraId="0311B60A" w14:textId="77777777" w:rsidR="00716FC0" w:rsidRPr="000701A4" w:rsidRDefault="00716FC0" w:rsidP="00C20818">
            <w:r w:rsidRPr="000701A4">
              <w:t>Same as the front yard setback</w:t>
            </w:r>
          </w:p>
        </w:tc>
        <w:tc>
          <w:tcPr>
            <w:tcW w:w="1607" w:type="dxa"/>
            <w:hideMark/>
          </w:tcPr>
          <w:p w14:paraId="59816171" w14:textId="77777777" w:rsidR="00716FC0" w:rsidRPr="000701A4" w:rsidRDefault="00716FC0" w:rsidP="00C20818">
            <w:r w:rsidRPr="000701A4">
              <w:t>Same as the front yard setback</w:t>
            </w:r>
          </w:p>
        </w:tc>
        <w:tc>
          <w:tcPr>
            <w:tcW w:w="1607" w:type="dxa"/>
            <w:hideMark/>
          </w:tcPr>
          <w:p w14:paraId="538414A7" w14:textId="77777777" w:rsidR="00716FC0" w:rsidRPr="000701A4" w:rsidRDefault="00716FC0" w:rsidP="00C20818">
            <w:r w:rsidRPr="000701A4">
              <w:t>Same as the front yard setback</w:t>
            </w:r>
          </w:p>
        </w:tc>
        <w:tc>
          <w:tcPr>
            <w:tcW w:w="1607" w:type="dxa"/>
            <w:hideMark/>
          </w:tcPr>
          <w:p w14:paraId="0D192B07" w14:textId="77777777" w:rsidR="00716FC0" w:rsidRPr="000701A4" w:rsidRDefault="00716FC0" w:rsidP="00C20818">
            <w:r w:rsidRPr="000701A4">
              <w:t>Same as the front yard setback</w:t>
            </w:r>
          </w:p>
        </w:tc>
      </w:tr>
      <w:tr w:rsidR="00716FC0" w:rsidRPr="000701A4" w14:paraId="31749C02" w14:textId="77777777" w:rsidTr="675E44C1">
        <w:trPr>
          <w:trHeight w:val="615"/>
        </w:trPr>
        <w:tc>
          <w:tcPr>
            <w:tcW w:w="3148" w:type="dxa"/>
            <w:noWrap/>
            <w:hideMark/>
          </w:tcPr>
          <w:p w14:paraId="6F722D6E" w14:textId="77777777" w:rsidR="00716FC0" w:rsidRPr="000701A4" w:rsidRDefault="00716FC0" w:rsidP="00C20818">
            <w:r w:rsidRPr="000701A4">
              <w:t>Build to Line</w:t>
            </w:r>
          </w:p>
        </w:tc>
        <w:tc>
          <w:tcPr>
            <w:tcW w:w="4821" w:type="dxa"/>
            <w:gridSpan w:val="3"/>
            <w:hideMark/>
          </w:tcPr>
          <w:p w14:paraId="0A45C3C9" w14:textId="77777777" w:rsidR="00716FC0" w:rsidRPr="000701A4" w:rsidRDefault="175155FD" w:rsidP="00C20818">
            <w:r>
              <w:t>The front yard setback is the build-to-line. At least fifty percent (50%) of the adjacent façade must be built within three feet (3') of the build-to-line. A side yard, corner lot setback is also a build-to-line.</w:t>
            </w:r>
          </w:p>
        </w:tc>
        <w:tc>
          <w:tcPr>
            <w:tcW w:w="0" w:type="auto"/>
          </w:tcPr>
          <w:p w14:paraId="4B10627F" w14:textId="021AD05C" w:rsidR="0F258FFF" w:rsidRDefault="0F258FFF" w:rsidP="0F258FFF">
            <w:pPr>
              <w:spacing w:line="259" w:lineRule="auto"/>
            </w:pPr>
            <w:r>
              <w:t>N/A</w:t>
            </w:r>
          </w:p>
        </w:tc>
      </w:tr>
      <w:tr w:rsidR="00716FC0" w:rsidRPr="000701A4" w14:paraId="1F0D59F7" w14:textId="77777777" w:rsidTr="675E44C1">
        <w:trPr>
          <w:trHeight w:val="600"/>
        </w:trPr>
        <w:tc>
          <w:tcPr>
            <w:tcW w:w="3148" w:type="dxa"/>
            <w:noWrap/>
            <w:hideMark/>
          </w:tcPr>
          <w:p w14:paraId="6191D616" w14:textId="77777777" w:rsidR="00716FC0" w:rsidRPr="000701A4" w:rsidRDefault="00716FC0" w:rsidP="00C20818">
            <w:r w:rsidRPr="000701A4">
              <w:t>Side Yard Setback – Interior Lots</w:t>
            </w:r>
          </w:p>
        </w:tc>
        <w:tc>
          <w:tcPr>
            <w:tcW w:w="6428" w:type="dxa"/>
            <w:gridSpan w:val="4"/>
            <w:hideMark/>
          </w:tcPr>
          <w:p w14:paraId="32CEF045" w14:textId="38E29328" w:rsidR="00716FC0" w:rsidRPr="000701A4" w:rsidRDefault="16427423" w:rsidP="00C20818">
            <w:r>
              <w:t xml:space="preserve">No setback required when sharing a common wall. 8’ setback to property line or 16’ between buildings where building pads are used. 20’ </w:t>
            </w:r>
            <w:r w:rsidR="6C4357E7">
              <w:t>l</w:t>
            </w:r>
            <w:r>
              <w:t>andscaped buffer required to separate residential uses from commercial uses.</w:t>
            </w:r>
          </w:p>
          <w:p w14:paraId="47E45E95" w14:textId="77777777" w:rsidR="00716FC0" w:rsidRPr="000701A4" w:rsidRDefault="00716FC0" w:rsidP="00C20818"/>
        </w:tc>
      </w:tr>
      <w:tr w:rsidR="00716FC0" w:rsidRPr="000701A4" w14:paraId="384AAFAA" w14:textId="77777777" w:rsidTr="675E44C1">
        <w:trPr>
          <w:trHeight w:val="600"/>
        </w:trPr>
        <w:tc>
          <w:tcPr>
            <w:tcW w:w="3148" w:type="dxa"/>
            <w:noWrap/>
            <w:hideMark/>
          </w:tcPr>
          <w:p w14:paraId="5E41186B" w14:textId="19B9E4D3" w:rsidR="00716FC0" w:rsidRPr="000701A4" w:rsidRDefault="5B734E63" w:rsidP="00C20818">
            <w:r>
              <w:t>Rear Yard Setback</w:t>
            </w:r>
          </w:p>
        </w:tc>
        <w:tc>
          <w:tcPr>
            <w:tcW w:w="6428" w:type="dxa"/>
            <w:gridSpan w:val="4"/>
            <w:hideMark/>
          </w:tcPr>
          <w:p w14:paraId="0252A9DA" w14:textId="77777777" w:rsidR="00716FC0" w:rsidRPr="000701A4" w:rsidRDefault="00716FC0" w:rsidP="00C20818">
            <w:r>
              <w:t>10’ setback to property line or 20’ between buildings where building pads are used. 20’ Landscaped buffer required to separate residential uses from commercial uses.</w:t>
            </w:r>
          </w:p>
        </w:tc>
      </w:tr>
    </w:tbl>
    <w:p w14:paraId="35EF5E37" w14:textId="77777777" w:rsidR="000809D4" w:rsidRPr="000809D4" w:rsidRDefault="000809D4" w:rsidP="00A71CB7">
      <w:pPr>
        <w:ind w:left="360"/>
        <w:jc w:val="both"/>
        <w:textAlignment w:val="baseline"/>
        <w:rPr>
          <w:rFonts w:ascii="Calibri" w:eastAsia="Times New Roman" w:hAnsi="Calibri" w:cs="Calibri"/>
        </w:rPr>
      </w:pPr>
    </w:p>
    <w:p w14:paraId="7B62A905" w14:textId="6DCEE9E1" w:rsidR="000809D4" w:rsidRPr="000809D4" w:rsidRDefault="000809D4">
      <w:pPr>
        <w:numPr>
          <w:ilvl w:val="0"/>
          <w:numId w:val="13"/>
        </w:numPr>
        <w:tabs>
          <w:tab w:val="clear" w:pos="720"/>
        </w:tabs>
        <w:ind w:left="360"/>
        <w:jc w:val="both"/>
        <w:textAlignment w:val="baseline"/>
        <w:rPr>
          <w:rFonts w:ascii="Calibri" w:eastAsia="Times New Roman" w:hAnsi="Calibri" w:cs="Calibri"/>
        </w:rPr>
      </w:pPr>
      <w:r w:rsidRPr="000809D4">
        <w:rPr>
          <w:rFonts w:ascii="Calibri" w:eastAsia="Times New Roman" w:hAnsi="Calibri" w:cs="Calibri"/>
          <w:u w:val="single"/>
        </w:rPr>
        <w:t>Location and Orientation of Buildings</w:t>
      </w:r>
      <w:r w:rsidRPr="000809D4">
        <w:rPr>
          <w:rFonts w:ascii="Calibri" w:eastAsia="Times New Roman" w:hAnsi="Calibri" w:cs="Calibri"/>
          <w:i/>
          <w:iCs/>
        </w:rPr>
        <w:t>.</w:t>
      </w:r>
      <w:r w:rsidRPr="000809D4">
        <w:rPr>
          <w:rFonts w:ascii="Calibri" w:eastAsia="Times New Roman" w:hAnsi="Calibri" w:cs="Calibri"/>
        </w:rPr>
        <w:t> Structures frame streets spatially by being constructed at the build-to-line. Buildings shall be sited to face the street with parking lots on the side or rear. At street or drive intersections the buildings shall be located directly on the corner with parking in the rear. At least fifty percent (50%) of the adjacent façade shall be built within three feet (3’) of the build-to-line. </w:t>
      </w:r>
    </w:p>
    <w:p w14:paraId="12FB31FC" w14:textId="77777777" w:rsidR="000809D4" w:rsidRPr="000809D4" w:rsidRDefault="000809D4">
      <w:pPr>
        <w:numPr>
          <w:ilvl w:val="0"/>
          <w:numId w:val="14"/>
        </w:numPr>
        <w:tabs>
          <w:tab w:val="clear" w:pos="720"/>
        </w:tabs>
        <w:ind w:left="360"/>
        <w:jc w:val="both"/>
        <w:textAlignment w:val="baseline"/>
        <w:rPr>
          <w:rFonts w:ascii="Calibri" w:eastAsia="Times New Roman" w:hAnsi="Calibri" w:cs="Calibri"/>
        </w:rPr>
      </w:pPr>
      <w:r w:rsidRPr="000809D4">
        <w:rPr>
          <w:rFonts w:ascii="Calibri" w:eastAsia="Times New Roman" w:hAnsi="Calibri" w:cs="Calibri"/>
          <w:u w:val="single"/>
        </w:rPr>
        <w:t>Build-to-Line Exceptions</w:t>
      </w:r>
      <w:r w:rsidRPr="000809D4">
        <w:rPr>
          <w:rFonts w:ascii="Calibri" w:eastAsia="Times New Roman" w:hAnsi="Calibri" w:cs="Calibri"/>
          <w:i/>
          <w:iCs/>
        </w:rPr>
        <w:t>.</w:t>
      </w:r>
      <w:r w:rsidRPr="000809D4">
        <w:rPr>
          <w:rFonts w:ascii="Calibri" w:eastAsia="Times New Roman" w:hAnsi="Calibri" w:cs="Calibri"/>
        </w:rPr>
        <w:t>  </w:t>
      </w:r>
    </w:p>
    <w:p w14:paraId="49B94C1D" w14:textId="77777777" w:rsidR="000809D4" w:rsidRPr="000809D4" w:rsidRDefault="000809D4">
      <w:pPr>
        <w:numPr>
          <w:ilvl w:val="0"/>
          <w:numId w:val="15"/>
        </w:numPr>
        <w:tabs>
          <w:tab w:val="clear" w:pos="720"/>
        </w:tabs>
        <w:jc w:val="both"/>
        <w:textAlignment w:val="baseline"/>
        <w:rPr>
          <w:rFonts w:ascii="Calibri" w:eastAsia="Times New Roman" w:hAnsi="Calibri" w:cs="Calibri"/>
        </w:rPr>
      </w:pPr>
      <w:r w:rsidRPr="000809D4">
        <w:rPr>
          <w:rFonts w:ascii="Calibri" w:eastAsia="Times New Roman" w:hAnsi="Calibri" w:cs="Calibri"/>
        </w:rPr>
        <w:t>Any big box development may have parking in front, provided other commercial pad sites are proposed along the frontage that would comply with the build-to-line requirements. The other commercial pad sites shall create at least forty percent (40%) building street frontage along the width of the project area when combined with public plazas or courtyards. </w:t>
      </w:r>
    </w:p>
    <w:p w14:paraId="64A9DDE2" w14:textId="77777777" w:rsidR="000809D4" w:rsidRPr="000809D4" w:rsidRDefault="000809D4">
      <w:pPr>
        <w:numPr>
          <w:ilvl w:val="0"/>
          <w:numId w:val="16"/>
        </w:numPr>
        <w:tabs>
          <w:tab w:val="clear" w:pos="720"/>
        </w:tabs>
        <w:jc w:val="both"/>
        <w:textAlignment w:val="baseline"/>
        <w:rPr>
          <w:rFonts w:ascii="Calibri" w:eastAsia="Times New Roman" w:hAnsi="Calibri" w:cs="Calibri"/>
        </w:rPr>
      </w:pPr>
      <w:r w:rsidRPr="000809D4">
        <w:rPr>
          <w:rFonts w:ascii="Calibri" w:eastAsia="Times New Roman" w:hAnsi="Calibri" w:cs="Calibri"/>
        </w:rPr>
        <w:t>Drive-through windows shall be located at the side or rear of buildings. A single drive aisle may be located between the building and the street so long as its width does not exceed twelve feet (12’), any pedestrian crossings across it are clearly delineated with special paving treatments, parking spaces do not occur off of it, and a low wall, railing with landscaping, or a continuous hedge at least three feet (3’) high exists between stacked cars and the sidewalk. If a drive-through is located between the building and the street, the front setback/build-to-line shall be twelve feet (12’) farther from the back of sidewalk or public right of way. </w:t>
      </w:r>
    </w:p>
    <w:p w14:paraId="63B20FC6" w14:textId="77777777" w:rsidR="000809D4" w:rsidRPr="000809D4" w:rsidRDefault="000809D4">
      <w:pPr>
        <w:numPr>
          <w:ilvl w:val="0"/>
          <w:numId w:val="17"/>
        </w:numPr>
        <w:tabs>
          <w:tab w:val="clear" w:pos="720"/>
        </w:tabs>
        <w:ind w:left="360"/>
        <w:jc w:val="both"/>
        <w:textAlignment w:val="baseline"/>
        <w:rPr>
          <w:rFonts w:ascii="Calibri" w:eastAsia="Times New Roman" w:hAnsi="Calibri" w:cs="Calibri"/>
        </w:rPr>
      </w:pPr>
      <w:r w:rsidRPr="000809D4">
        <w:rPr>
          <w:rFonts w:ascii="Calibri" w:eastAsia="Times New Roman" w:hAnsi="Calibri" w:cs="Calibri"/>
          <w:u w:val="single"/>
        </w:rPr>
        <w:t>Sidewalks or Trails</w:t>
      </w:r>
      <w:r w:rsidRPr="000809D4">
        <w:rPr>
          <w:rFonts w:ascii="Calibri" w:eastAsia="Times New Roman" w:hAnsi="Calibri" w:cs="Calibri"/>
          <w:i/>
          <w:iCs/>
        </w:rPr>
        <w:t xml:space="preserve">. </w:t>
      </w:r>
      <w:r w:rsidRPr="000809D4">
        <w:rPr>
          <w:rFonts w:ascii="Calibri" w:eastAsia="Times New Roman" w:hAnsi="Calibri" w:cs="Calibri"/>
        </w:rPr>
        <w:t>Any building front entryway shall have a continuous sidewalk to the street sidewalk. A sidewalk at least six feet (6’) wide is required along the entire front of the lot or project area. A six foot (6’) wide park strip shall be installed between the street and the sidewalk as a pedestrian buffer. No fencing that is parallel to any sidewalk may be within two feet (2’) of the edge of the sidewalk. </w:t>
      </w:r>
    </w:p>
    <w:p w14:paraId="4114159E" w14:textId="77777777" w:rsidR="000809D4" w:rsidRPr="000809D4" w:rsidRDefault="000809D4">
      <w:pPr>
        <w:numPr>
          <w:ilvl w:val="0"/>
          <w:numId w:val="18"/>
        </w:numPr>
        <w:tabs>
          <w:tab w:val="clear" w:pos="720"/>
        </w:tabs>
        <w:ind w:left="360"/>
        <w:jc w:val="both"/>
        <w:textAlignment w:val="baseline"/>
        <w:rPr>
          <w:rFonts w:ascii="Calibri" w:eastAsia="Times New Roman" w:hAnsi="Calibri" w:cs="Calibri"/>
        </w:rPr>
      </w:pPr>
      <w:r w:rsidRPr="000809D4">
        <w:rPr>
          <w:rFonts w:ascii="Calibri" w:eastAsia="Times New Roman" w:hAnsi="Calibri" w:cs="Calibri"/>
          <w:u w:val="single"/>
        </w:rPr>
        <w:t>Outdoor Dining</w:t>
      </w:r>
      <w:r w:rsidRPr="000809D4">
        <w:rPr>
          <w:rFonts w:ascii="Calibri" w:eastAsia="Times New Roman" w:hAnsi="Calibri" w:cs="Calibri"/>
          <w:i/>
          <w:iCs/>
        </w:rPr>
        <w:t xml:space="preserve">. </w:t>
      </w:r>
      <w:r w:rsidRPr="000809D4">
        <w:rPr>
          <w:rFonts w:ascii="Calibri" w:eastAsia="Times New Roman" w:hAnsi="Calibri" w:cs="Calibri"/>
        </w:rPr>
        <w:t>If outdoor dining is allowed, the patio or dining area may encroach on up to ten feet (10’) of the required landscaped setback. </w:t>
      </w:r>
    </w:p>
    <w:p w14:paraId="3A8E1D73" w14:textId="77777777" w:rsidR="000809D4" w:rsidRPr="000809D4" w:rsidRDefault="000809D4">
      <w:pPr>
        <w:numPr>
          <w:ilvl w:val="0"/>
          <w:numId w:val="19"/>
        </w:numPr>
        <w:tabs>
          <w:tab w:val="clear" w:pos="720"/>
        </w:tabs>
        <w:ind w:left="360"/>
        <w:jc w:val="both"/>
        <w:textAlignment w:val="baseline"/>
        <w:rPr>
          <w:rFonts w:ascii="Calibri" w:eastAsia="Times New Roman" w:hAnsi="Calibri" w:cs="Calibri"/>
        </w:rPr>
      </w:pPr>
      <w:r w:rsidRPr="000809D4">
        <w:rPr>
          <w:rFonts w:ascii="Calibri" w:eastAsia="Times New Roman" w:hAnsi="Calibri" w:cs="Calibri"/>
          <w:u w:val="single"/>
        </w:rPr>
        <w:t>Utilities</w:t>
      </w:r>
      <w:r w:rsidRPr="000809D4">
        <w:rPr>
          <w:rFonts w:ascii="Calibri" w:eastAsia="Times New Roman" w:hAnsi="Calibri" w:cs="Calibri"/>
          <w:i/>
          <w:iCs/>
        </w:rPr>
        <w:t>.</w:t>
      </w:r>
      <w:r w:rsidRPr="000809D4">
        <w:rPr>
          <w:rFonts w:ascii="Calibri" w:eastAsia="Times New Roman" w:hAnsi="Calibri" w:cs="Calibri"/>
        </w:rPr>
        <w:t xml:space="preserve"> Any overhead utility shall be placed underground unless the applicable utility company determines it is infeasible. </w:t>
      </w:r>
    </w:p>
    <w:p w14:paraId="790C9074" w14:textId="77777777" w:rsidR="000809D4" w:rsidRPr="000809D4" w:rsidRDefault="000809D4">
      <w:pPr>
        <w:numPr>
          <w:ilvl w:val="0"/>
          <w:numId w:val="20"/>
        </w:numPr>
        <w:tabs>
          <w:tab w:val="clear" w:pos="720"/>
        </w:tabs>
        <w:ind w:left="360"/>
        <w:jc w:val="both"/>
        <w:textAlignment w:val="baseline"/>
        <w:rPr>
          <w:rFonts w:ascii="Calibri" w:eastAsia="Times New Roman" w:hAnsi="Calibri" w:cs="Calibri"/>
        </w:rPr>
      </w:pPr>
      <w:r w:rsidRPr="000809D4">
        <w:rPr>
          <w:rFonts w:ascii="Calibri" w:eastAsia="Times New Roman" w:hAnsi="Calibri" w:cs="Calibri"/>
          <w:u w:val="single"/>
        </w:rPr>
        <w:t>Screening</w:t>
      </w:r>
      <w:r w:rsidRPr="000809D4">
        <w:rPr>
          <w:rFonts w:ascii="Calibri" w:eastAsia="Times New Roman" w:hAnsi="Calibri" w:cs="Calibri"/>
          <w:i/>
          <w:iCs/>
        </w:rPr>
        <w:t>.</w:t>
      </w:r>
      <w:r w:rsidRPr="000809D4">
        <w:rPr>
          <w:rFonts w:ascii="Calibri" w:eastAsia="Times New Roman" w:hAnsi="Calibri" w:cs="Calibri"/>
        </w:rPr>
        <w:t xml:space="preserve"> Any garbage dumpster shall be enclosed by a masonry wall or architectural design with materials that are consistent with the building. The enclosure gate shall be metal and accessible to service vehicles. The enclosure wall and gate shall be a minimum of twelve inches (12”) higher than the trash receptacle bin. </w:t>
      </w:r>
      <w:r w:rsidRPr="000809D4">
        <w:rPr>
          <w:rFonts w:ascii="Calibri" w:eastAsia="Times New Roman" w:hAnsi="Calibri" w:cs="Calibri"/>
          <w:color w:val="000000"/>
        </w:rPr>
        <w:t>Service areas, mechanical equipment, and meters shall be completely screened from the street. </w:t>
      </w:r>
    </w:p>
    <w:p w14:paraId="720E9D83" w14:textId="77777777" w:rsidR="000809D4" w:rsidRPr="000809D4" w:rsidRDefault="000809D4">
      <w:pPr>
        <w:numPr>
          <w:ilvl w:val="0"/>
          <w:numId w:val="21"/>
        </w:numPr>
        <w:tabs>
          <w:tab w:val="clear" w:pos="720"/>
        </w:tabs>
        <w:ind w:left="360"/>
        <w:jc w:val="both"/>
        <w:textAlignment w:val="baseline"/>
        <w:rPr>
          <w:rFonts w:ascii="Calibri" w:eastAsia="Times New Roman" w:hAnsi="Calibri" w:cs="Calibri"/>
        </w:rPr>
      </w:pPr>
      <w:r w:rsidRPr="000809D4">
        <w:rPr>
          <w:rFonts w:ascii="Calibri" w:eastAsia="Times New Roman" w:hAnsi="Calibri" w:cs="Calibri"/>
          <w:u w:val="single"/>
        </w:rPr>
        <w:t>Site Furnishings</w:t>
      </w:r>
      <w:r w:rsidRPr="000809D4">
        <w:rPr>
          <w:rFonts w:ascii="Calibri" w:eastAsia="Times New Roman" w:hAnsi="Calibri" w:cs="Calibri"/>
          <w:i/>
          <w:iCs/>
        </w:rPr>
        <w:t>.</w:t>
      </w:r>
      <w:r w:rsidRPr="000809D4">
        <w:rPr>
          <w:rFonts w:ascii="Calibri" w:eastAsia="Times New Roman" w:hAnsi="Calibri" w:cs="Calibri"/>
        </w:rPr>
        <w:t xml:space="preserve"> The developer or builder is responsible for providing site furnishings as required in this document. All site furnishings shall be specified on the plans.  </w:t>
      </w:r>
    </w:p>
    <w:p w14:paraId="35BD8FAB" w14:textId="77777777" w:rsidR="000809D4" w:rsidRPr="000809D4" w:rsidRDefault="000809D4">
      <w:pPr>
        <w:numPr>
          <w:ilvl w:val="0"/>
          <w:numId w:val="22"/>
        </w:numPr>
        <w:jc w:val="both"/>
        <w:textAlignment w:val="baseline"/>
        <w:rPr>
          <w:rFonts w:ascii="Calibri" w:eastAsia="Times New Roman" w:hAnsi="Calibri" w:cs="Calibri"/>
        </w:rPr>
      </w:pPr>
      <w:r w:rsidRPr="000809D4">
        <w:rPr>
          <w:rFonts w:ascii="Calibri" w:eastAsia="Times New Roman" w:hAnsi="Calibri" w:cs="Calibri"/>
          <w:u w:val="single"/>
        </w:rPr>
        <w:t>Benches</w:t>
      </w:r>
      <w:r w:rsidRPr="000809D4">
        <w:rPr>
          <w:rFonts w:ascii="Calibri" w:eastAsia="Times New Roman" w:hAnsi="Calibri" w:cs="Calibri"/>
          <w:i/>
          <w:iCs/>
        </w:rPr>
        <w:t>.</w:t>
      </w:r>
      <w:r w:rsidRPr="000809D4">
        <w:rPr>
          <w:rFonts w:ascii="Calibri" w:eastAsia="Times New Roman" w:hAnsi="Calibri" w:cs="Calibri"/>
        </w:rPr>
        <w:t xml:space="preserve"> Each project shall provide one (1) outdoor bench per small building (buildings 20,000 square feet or smaller) and two (2) outdoor benches for larger buildings (greater than 20,000 square feet). Benches are encouraged in places where people congregate and at pedestrian intersections and nodes. Benches shall be durable and permanently installed on a hardscape surface (concrete, pavers, etc.).  </w:t>
      </w:r>
    </w:p>
    <w:p w14:paraId="443D6E4F" w14:textId="77777777" w:rsidR="000809D4" w:rsidRPr="000809D4" w:rsidRDefault="000809D4">
      <w:pPr>
        <w:numPr>
          <w:ilvl w:val="0"/>
          <w:numId w:val="23"/>
        </w:numPr>
        <w:jc w:val="both"/>
        <w:textAlignment w:val="baseline"/>
        <w:rPr>
          <w:rFonts w:ascii="Calibri" w:eastAsia="Times New Roman" w:hAnsi="Calibri" w:cs="Calibri"/>
        </w:rPr>
      </w:pPr>
      <w:r w:rsidRPr="000809D4">
        <w:rPr>
          <w:rFonts w:ascii="Calibri" w:eastAsia="Times New Roman" w:hAnsi="Calibri" w:cs="Calibri"/>
          <w:u w:val="single"/>
        </w:rPr>
        <w:t>Bike Rack</w:t>
      </w:r>
      <w:r w:rsidRPr="000809D4">
        <w:rPr>
          <w:rFonts w:ascii="Calibri" w:eastAsia="Times New Roman" w:hAnsi="Calibri" w:cs="Calibri"/>
          <w:i/>
          <w:iCs/>
        </w:rPr>
        <w:t>.</w:t>
      </w:r>
      <w:r w:rsidRPr="000809D4">
        <w:rPr>
          <w:rFonts w:ascii="Calibri" w:eastAsia="Times New Roman" w:hAnsi="Calibri" w:cs="Calibri"/>
        </w:rPr>
        <w:t xml:space="preserve"> Bike racks shall be provided and installed at a minimum of three (3) bike stalls per fifty (50) vehicle parking stalls within each development (minimum of 3 bike rack stalls). Bike racks should be located near the entrance to the building and visible from the street or drive. Bike racks shall be durable and permanently installed and maintained over a hardscape surface.  </w:t>
      </w:r>
    </w:p>
    <w:p w14:paraId="03BDA8B7" w14:textId="77777777" w:rsidR="000809D4" w:rsidRPr="000809D4" w:rsidRDefault="000809D4">
      <w:pPr>
        <w:numPr>
          <w:ilvl w:val="0"/>
          <w:numId w:val="24"/>
        </w:numPr>
        <w:jc w:val="both"/>
        <w:textAlignment w:val="baseline"/>
        <w:rPr>
          <w:rFonts w:ascii="Calibri" w:eastAsia="Times New Roman" w:hAnsi="Calibri" w:cs="Calibri"/>
        </w:rPr>
      </w:pPr>
      <w:r w:rsidRPr="000809D4">
        <w:rPr>
          <w:rFonts w:ascii="Calibri" w:eastAsia="Times New Roman" w:hAnsi="Calibri" w:cs="Calibri"/>
          <w:u w:val="single"/>
        </w:rPr>
        <w:t>Trash and Recycle Receptacles</w:t>
      </w:r>
      <w:r w:rsidRPr="000809D4">
        <w:rPr>
          <w:rFonts w:ascii="Calibri" w:eastAsia="Times New Roman" w:hAnsi="Calibri" w:cs="Calibri"/>
          <w:i/>
          <w:iCs/>
        </w:rPr>
        <w:t>.</w:t>
      </w:r>
      <w:r w:rsidRPr="000809D4">
        <w:rPr>
          <w:rFonts w:ascii="Calibri" w:eastAsia="Times New Roman" w:hAnsi="Calibri" w:cs="Calibri"/>
        </w:rPr>
        <w:t xml:space="preserve"> At least one (1) trash receptacle and one (1) recycling receptacle shall be provided at a minimum of one (1) at each public entrance to commercial buildings. </w:t>
      </w:r>
    </w:p>
    <w:p w14:paraId="51DCB127" w14:textId="77777777" w:rsidR="00CC081A" w:rsidRPr="00CC081A" w:rsidRDefault="00CC081A" w:rsidP="00473CCE">
      <w:pPr>
        <w:pStyle w:val="Heading1"/>
        <w:rPr>
          <w:rFonts w:ascii="Calibri" w:eastAsia="Times New Roman" w:hAnsi="Calibri" w:cs="Calibri"/>
          <w:b/>
          <w:bCs/>
          <w:color w:val="auto"/>
          <w:sz w:val="22"/>
          <w:szCs w:val="22"/>
        </w:rPr>
      </w:pPr>
      <w:bookmarkStart w:id="9" w:name="_Toc110339649"/>
      <w:r w:rsidRPr="00CC081A">
        <w:rPr>
          <w:rFonts w:ascii="Calibri" w:eastAsia="Times New Roman" w:hAnsi="Calibri" w:cs="Calibri"/>
          <w:b/>
          <w:bCs/>
          <w:color w:val="auto"/>
          <w:sz w:val="22"/>
          <w:szCs w:val="22"/>
        </w:rPr>
        <w:t>19.</w:t>
      </w:r>
      <w:r w:rsidRPr="00CC081A">
        <w:rPr>
          <w:rFonts w:ascii="Calibri" w:eastAsia="Times New Roman" w:hAnsi="Calibri" w:cs="Calibri"/>
          <w:b/>
          <w:bCs/>
          <w:color w:val="auto"/>
          <w:sz w:val="22"/>
          <w:szCs w:val="22"/>
          <w:shd w:val="clear" w:color="auto" w:fill="FFFF00"/>
        </w:rPr>
        <w:t>32</w:t>
      </w:r>
      <w:r w:rsidRPr="00CC081A">
        <w:rPr>
          <w:rFonts w:ascii="Calibri" w:eastAsia="Times New Roman" w:hAnsi="Calibri" w:cs="Calibri"/>
          <w:b/>
          <w:bCs/>
          <w:color w:val="auto"/>
          <w:sz w:val="22"/>
          <w:szCs w:val="22"/>
        </w:rPr>
        <w:t>.060 – Architectural Standards.</w:t>
      </w:r>
      <w:bookmarkEnd w:id="9"/>
      <w:r w:rsidRPr="00CC081A">
        <w:rPr>
          <w:rFonts w:ascii="Calibri" w:eastAsia="Times New Roman" w:hAnsi="Calibri" w:cs="Calibri"/>
          <w:b/>
          <w:bCs/>
          <w:color w:val="auto"/>
          <w:sz w:val="22"/>
          <w:szCs w:val="22"/>
        </w:rPr>
        <w:t> </w:t>
      </w:r>
    </w:p>
    <w:p w14:paraId="1A84F784" w14:textId="77777777" w:rsidR="00CC081A" w:rsidRPr="00CC081A" w:rsidRDefault="00CC081A" w:rsidP="00CC081A">
      <w:pPr>
        <w:jc w:val="both"/>
        <w:textAlignment w:val="baseline"/>
        <w:rPr>
          <w:rFonts w:ascii="Segoe UI" w:eastAsia="Times New Roman" w:hAnsi="Segoe UI" w:cs="Segoe UI"/>
          <w:sz w:val="18"/>
          <w:szCs w:val="18"/>
        </w:rPr>
      </w:pPr>
      <w:r w:rsidRPr="00CC081A">
        <w:rPr>
          <w:rFonts w:ascii="Calibri" w:eastAsia="Times New Roman" w:hAnsi="Calibri" w:cs="Calibri"/>
          <w:color w:val="222222"/>
          <w:shd w:val="clear" w:color="auto" w:fill="FFFFFF"/>
        </w:rPr>
        <w:t>All new development shall present an attractive, coordinated streetscape, incorporate architectural and site design elements appropriate to a pedestrian scale and provide for the safety and convenience of pedestrians. All new development shall comply with the following architectural standards:</w:t>
      </w:r>
      <w:r w:rsidRPr="00CC081A">
        <w:rPr>
          <w:rFonts w:ascii="Calibri" w:eastAsia="Times New Roman" w:hAnsi="Calibri" w:cs="Calibri"/>
          <w:color w:val="222222"/>
        </w:rPr>
        <w:t> </w:t>
      </w:r>
    </w:p>
    <w:p w14:paraId="7A184E54" w14:textId="77777777" w:rsidR="00CC081A" w:rsidRPr="00CC081A" w:rsidRDefault="00CC081A">
      <w:pPr>
        <w:numPr>
          <w:ilvl w:val="0"/>
          <w:numId w:val="25"/>
        </w:numPr>
        <w:tabs>
          <w:tab w:val="clear" w:pos="720"/>
        </w:tabs>
        <w:ind w:left="360"/>
        <w:jc w:val="both"/>
        <w:textAlignment w:val="baseline"/>
        <w:rPr>
          <w:rFonts w:ascii="Calibri" w:eastAsia="Times New Roman" w:hAnsi="Calibri" w:cs="Calibri"/>
        </w:rPr>
      </w:pPr>
      <w:r w:rsidRPr="00CC081A">
        <w:rPr>
          <w:rFonts w:ascii="Calibri" w:eastAsia="Times New Roman" w:hAnsi="Calibri" w:cs="Calibri"/>
          <w:color w:val="000000"/>
          <w:u w:val="single"/>
        </w:rPr>
        <w:t>General Design Standards:</w:t>
      </w:r>
      <w:r w:rsidRPr="00CC081A">
        <w:rPr>
          <w:rFonts w:ascii="Calibri" w:eastAsia="Times New Roman" w:hAnsi="Calibri" w:cs="Calibri"/>
          <w:color w:val="000000"/>
        </w:rPr>
        <w:t xml:space="preserve"> The following building design requirements shall apply in the C-1, C-2, and C-3 Zones: </w:t>
      </w:r>
    </w:p>
    <w:p w14:paraId="1181E262" w14:textId="77777777" w:rsidR="00CC081A" w:rsidRPr="00CC081A" w:rsidRDefault="00CC081A">
      <w:pPr>
        <w:numPr>
          <w:ilvl w:val="0"/>
          <w:numId w:val="26"/>
        </w:numPr>
        <w:tabs>
          <w:tab w:val="clear" w:pos="720"/>
        </w:tabs>
        <w:jc w:val="both"/>
        <w:textAlignment w:val="baseline"/>
        <w:rPr>
          <w:rFonts w:ascii="Calibri" w:eastAsia="Times New Roman" w:hAnsi="Calibri" w:cs="Calibri"/>
        </w:rPr>
      </w:pPr>
      <w:r w:rsidRPr="00CC081A">
        <w:rPr>
          <w:rFonts w:ascii="Calibri" w:eastAsia="Times New Roman" w:hAnsi="Calibri" w:cs="Calibri"/>
          <w:color w:val="000000"/>
          <w:u w:val="single"/>
        </w:rPr>
        <w:t>Walls.</w:t>
      </w:r>
      <w:r w:rsidRPr="00CC081A">
        <w:rPr>
          <w:rFonts w:ascii="Calibri" w:eastAsia="Times New Roman" w:hAnsi="Calibri" w:cs="Calibri"/>
          <w:i/>
          <w:iCs/>
          <w:color w:val="000000"/>
        </w:rPr>
        <w:t> </w:t>
      </w:r>
      <w:r w:rsidRPr="00CC081A">
        <w:rPr>
          <w:rFonts w:ascii="Calibri" w:eastAsia="Times New Roman" w:hAnsi="Calibri" w:cs="Calibri"/>
          <w:color w:val="000000"/>
        </w:rPr>
        <w:t>No more than three (3) materials may be used for primary wall surfaces. Exterior finishes shall be of traditional, time- and weather-tested techniques. Retaining and screening walls shall be of materials complementary to the building’s materials. Buildings shall use a cohesive palette of colors which complement nearby buildings. Without limiting the use of color, large areas of wall shall be subdued in color and not reflective. Intense colors should be used as accent only. </w:t>
      </w:r>
    </w:p>
    <w:p w14:paraId="3ED67270" w14:textId="77777777" w:rsidR="00CC081A" w:rsidRPr="00CC081A" w:rsidRDefault="00CC081A">
      <w:pPr>
        <w:numPr>
          <w:ilvl w:val="0"/>
          <w:numId w:val="27"/>
        </w:numPr>
        <w:tabs>
          <w:tab w:val="clear" w:pos="720"/>
        </w:tabs>
        <w:jc w:val="both"/>
        <w:textAlignment w:val="baseline"/>
        <w:rPr>
          <w:rFonts w:ascii="Calibri" w:eastAsia="Times New Roman" w:hAnsi="Calibri" w:cs="Calibri"/>
        </w:rPr>
      </w:pPr>
      <w:r w:rsidRPr="00CC081A">
        <w:rPr>
          <w:rFonts w:ascii="Calibri" w:eastAsia="Times New Roman" w:hAnsi="Calibri" w:cs="Calibri"/>
          <w:u w:val="single"/>
        </w:rPr>
        <w:t>Building Heights.</w:t>
      </w:r>
      <w:r w:rsidRPr="00CC081A">
        <w:rPr>
          <w:rFonts w:ascii="Calibri" w:eastAsia="Times New Roman" w:hAnsi="Calibri" w:cs="Calibri"/>
        </w:rPr>
        <w:t xml:space="preserve"> Buildings should provide a sense of street enclosure for pedestrians in more urban environments. New commercial buildings adjacent to existing neighborhoods shall step-down in height to help minimize the visual impact to residential areas. See Table 19.</w:t>
      </w:r>
      <w:r w:rsidRPr="00CC081A">
        <w:rPr>
          <w:rFonts w:ascii="Calibri" w:eastAsia="Times New Roman" w:hAnsi="Calibri" w:cs="Calibri"/>
          <w:shd w:val="clear" w:color="auto" w:fill="FFFF00"/>
        </w:rPr>
        <w:t>32</w:t>
      </w:r>
      <w:r w:rsidRPr="00CC081A">
        <w:rPr>
          <w:rFonts w:ascii="Calibri" w:eastAsia="Times New Roman" w:hAnsi="Calibri" w:cs="Calibri"/>
        </w:rPr>
        <w:t>.060A for requirements. </w:t>
      </w:r>
    </w:p>
    <w:p w14:paraId="43F10C4D" w14:textId="77777777" w:rsidR="00CC081A" w:rsidRPr="00CC081A" w:rsidRDefault="00CC081A">
      <w:pPr>
        <w:numPr>
          <w:ilvl w:val="0"/>
          <w:numId w:val="28"/>
        </w:numPr>
        <w:tabs>
          <w:tab w:val="clear" w:pos="720"/>
        </w:tabs>
        <w:jc w:val="both"/>
        <w:textAlignment w:val="baseline"/>
        <w:rPr>
          <w:rFonts w:ascii="Calibri" w:eastAsia="Times New Roman" w:hAnsi="Calibri" w:cs="Calibri"/>
        </w:rPr>
      </w:pPr>
      <w:r w:rsidRPr="00CC081A">
        <w:rPr>
          <w:rFonts w:ascii="Calibri" w:eastAsia="Times New Roman" w:hAnsi="Calibri" w:cs="Calibri"/>
          <w:u w:val="single"/>
        </w:rPr>
        <w:t>Transparency</w:t>
      </w:r>
      <w:r w:rsidRPr="00CC081A">
        <w:rPr>
          <w:rFonts w:ascii="Calibri" w:eastAsia="Times New Roman" w:hAnsi="Calibri" w:cs="Calibri"/>
          <w:i/>
          <w:iCs/>
        </w:rPr>
        <w:t>.</w:t>
      </w:r>
      <w:r w:rsidRPr="00CC081A">
        <w:rPr>
          <w:rFonts w:ascii="Calibri" w:eastAsia="Times New Roman" w:hAnsi="Calibri" w:cs="Calibri"/>
        </w:rPr>
        <w:t xml:space="preserve"> Where applicable, the intent of transparency standards is to promote economic activity by creating active street walls and visual interest for pedestrians at the ground-level. They also serve to promote personal and property safety by introducing more “eyes on the street” or natural surveillance of the public right-of-way and building interiors.  See Table 19.</w:t>
      </w:r>
      <w:r w:rsidRPr="00CC081A">
        <w:rPr>
          <w:rFonts w:ascii="Calibri" w:eastAsia="Times New Roman" w:hAnsi="Calibri" w:cs="Calibri"/>
          <w:shd w:val="clear" w:color="auto" w:fill="FFFF00"/>
        </w:rPr>
        <w:t>32</w:t>
      </w:r>
      <w:r w:rsidRPr="00CC081A">
        <w:rPr>
          <w:rFonts w:ascii="Calibri" w:eastAsia="Times New Roman" w:hAnsi="Calibri" w:cs="Calibri"/>
        </w:rPr>
        <w:t>.060A for requirements. </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05565D7" w14:paraId="12DE8B9C" w14:textId="77777777" w:rsidTr="191F6316">
        <w:trPr>
          <w:trHeight w:val="300"/>
        </w:trPr>
        <w:tc>
          <w:tcPr>
            <w:tcW w:w="9360" w:type="dxa"/>
            <w:gridSpan w:val="5"/>
            <w:tcBorders>
              <w:top w:val="single" w:sz="4" w:space="0" w:color="auto"/>
              <w:left w:val="single" w:sz="4" w:space="0" w:color="auto"/>
              <w:bottom w:val="single" w:sz="4" w:space="0" w:color="auto"/>
              <w:right w:val="single" w:sz="4" w:space="0" w:color="000000" w:themeColor="text1"/>
            </w:tcBorders>
            <w:vAlign w:val="bottom"/>
          </w:tcPr>
          <w:p w14:paraId="1CDAD9B4" w14:textId="2C870C2D" w:rsidR="005565D7" w:rsidRDefault="005565D7" w:rsidP="00C20818">
            <w:pPr>
              <w:jc w:val="center"/>
              <w:rPr>
                <w:rFonts w:ascii="Calibri" w:eastAsia="Calibri" w:hAnsi="Calibri" w:cs="Calibri"/>
                <w:b/>
                <w:bCs/>
                <w:color w:val="000000" w:themeColor="text1"/>
              </w:rPr>
            </w:pPr>
            <w:r w:rsidRPr="0CF4135C">
              <w:rPr>
                <w:rFonts w:ascii="Calibri" w:eastAsia="Calibri" w:hAnsi="Calibri" w:cs="Calibri"/>
                <w:b/>
                <w:bCs/>
                <w:color w:val="000000" w:themeColor="text1"/>
              </w:rPr>
              <w:t>Table 19.32.0</w:t>
            </w:r>
            <w:r>
              <w:rPr>
                <w:rFonts w:ascii="Calibri" w:eastAsia="Calibri" w:hAnsi="Calibri" w:cs="Calibri"/>
                <w:b/>
                <w:bCs/>
                <w:color w:val="000000" w:themeColor="text1"/>
              </w:rPr>
              <w:t>6</w:t>
            </w:r>
            <w:r w:rsidRPr="0CF4135C">
              <w:rPr>
                <w:rFonts w:ascii="Calibri" w:eastAsia="Calibri" w:hAnsi="Calibri" w:cs="Calibri"/>
                <w:b/>
                <w:bCs/>
                <w:color w:val="000000" w:themeColor="text1"/>
              </w:rPr>
              <w:t>0</w:t>
            </w:r>
            <w:r>
              <w:rPr>
                <w:rFonts w:ascii="Calibri" w:eastAsia="Calibri" w:hAnsi="Calibri" w:cs="Calibri"/>
                <w:b/>
                <w:bCs/>
                <w:color w:val="000000" w:themeColor="text1"/>
              </w:rPr>
              <w:t>A</w:t>
            </w:r>
            <w:r w:rsidRPr="0CF4135C">
              <w:rPr>
                <w:rFonts w:ascii="Calibri" w:eastAsia="Calibri" w:hAnsi="Calibri" w:cs="Calibri"/>
                <w:b/>
                <w:bCs/>
                <w:color w:val="000000" w:themeColor="text1"/>
              </w:rPr>
              <w:t xml:space="preserve"> - Commercial Development Standards</w:t>
            </w:r>
            <w:r w:rsidR="00CC081A">
              <w:rPr>
                <w:rFonts w:ascii="Calibri" w:eastAsia="Calibri" w:hAnsi="Calibri" w:cs="Calibri"/>
                <w:b/>
                <w:bCs/>
                <w:color w:val="000000" w:themeColor="text1"/>
              </w:rPr>
              <w:t>.</w:t>
            </w:r>
          </w:p>
        </w:tc>
      </w:tr>
      <w:tr w:rsidR="005565D7" w14:paraId="313DFB35" w14:textId="77777777" w:rsidTr="191F6316">
        <w:trPr>
          <w:trHeight w:val="300"/>
        </w:trPr>
        <w:tc>
          <w:tcPr>
            <w:tcW w:w="187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tcPr>
          <w:p w14:paraId="7E9EA281" w14:textId="77777777" w:rsidR="005565D7" w:rsidRDefault="005565D7" w:rsidP="00C20818">
            <w:r w:rsidRPr="0CF4135C">
              <w:rPr>
                <w:rFonts w:ascii="Calibri" w:eastAsia="Calibri" w:hAnsi="Calibri" w:cs="Calibri"/>
                <w:color w:val="000000" w:themeColor="text1"/>
              </w:rPr>
              <w:t>Standard</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6CD2FF7" w14:textId="77777777" w:rsidR="005565D7" w:rsidRDefault="005565D7" w:rsidP="00C20818">
            <w:r w:rsidRPr="0CF4135C">
              <w:rPr>
                <w:rFonts w:ascii="Calibri" w:eastAsia="Calibri" w:hAnsi="Calibri" w:cs="Calibri"/>
                <w:color w:val="000000" w:themeColor="text1"/>
              </w:rPr>
              <w:t>C-1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8B5EF5F" w14:textId="77777777" w:rsidR="005565D7" w:rsidRDefault="005565D7" w:rsidP="00C20818">
            <w:r w:rsidRPr="0CF4135C">
              <w:rPr>
                <w:rFonts w:ascii="Calibri" w:eastAsia="Calibri" w:hAnsi="Calibri" w:cs="Calibri"/>
                <w:color w:val="000000" w:themeColor="text1"/>
              </w:rPr>
              <w:t>C-2</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6ACE4C7" w14:textId="77777777" w:rsidR="005565D7" w:rsidRDefault="005565D7" w:rsidP="00C20818">
            <w:r w:rsidRPr="0CF4135C">
              <w:rPr>
                <w:rFonts w:ascii="Calibri" w:eastAsia="Calibri" w:hAnsi="Calibri" w:cs="Calibri"/>
                <w:color w:val="000000" w:themeColor="text1"/>
              </w:rPr>
              <w:t>C-3</w:t>
            </w:r>
          </w:p>
        </w:tc>
        <w:tc>
          <w:tcPr>
            <w:tcW w:w="1872" w:type="dxa"/>
            <w:tcBorders>
              <w:top w:val="nil"/>
              <w:left w:val="single" w:sz="4" w:space="0" w:color="auto"/>
              <w:bottom w:val="single" w:sz="4" w:space="0" w:color="auto"/>
              <w:right w:val="single" w:sz="4" w:space="0" w:color="000000" w:themeColor="text1"/>
            </w:tcBorders>
            <w:shd w:val="clear" w:color="auto" w:fill="D9D9D9" w:themeFill="background1" w:themeFillShade="D9"/>
            <w:vAlign w:val="bottom"/>
          </w:tcPr>
          <w:p w14:paraId="11D19B42" w14:textId="77777777" w:rsidR="005565D7" w:rsidRDefault="005565D7" w:rsidP="00C20818">
            <w:r w:rsidRPr="0CF4135C">
              <w:rPr>
                <w:rFonts w:ascii="Calibri" w:eastAsia="Calibri" w:hAnsi="Calibri" w:cs="Calibri"/>
                <w:color w:val="000000" w:themeColor="text1"/>
              </w:rPr>
              <w:t>C-V</w:t>
            </w:r>
          </w:p>
        </w:tc>
      </w:tr>
      <w:tr w:rsidR="005565D7" w14:paraId="1DD4B45C" w14:textId="77777777" w:rsidTr="191F6316">
        <w:trPr>
          <w:trHeight w:val="2130"/>
        </w:trPr>
        <w:tc>
          <w:tcPr>
            <w:tcW w:w="1872" w:type="dxa"/>
            <w:tcBorders>
              <w:top w:val="single" w:sz="4" w:space="0" w:color="auto"/>
              <w:left w:val="single" w:sz="4" w:space="0" w:color="auto"/>
              <w:bottom w:val="single" w:sz="4" w:space="0" w:color="auto"/>
              <w:right w:val="single" w:sz="4" w:space="0" w:color="auto"/>
            </w:tcBorders>
          </w:tcPr>
          <w:p w14:paraId="31DAFDFE" w14:textId="77777777" w:rsidR="005565D7" w:rsidRDefault="005565D7" w:rsidP="00C20818">
            <w:r w:rsidRPr="0CF4135C">
              <w:rPr>
                <w:rFonts w:ascii="Calibri" w:eastAsia="Calibri" w:hAnsi="Calibri" w:cs="Calibri"/>
                <w:color w:val="000000" w:themeColor="text1"/>
              </w:rPr>
              <w:t>Building Height</w:t>
            </w:r>
          </w:p>
        </w:tc>
        <w:tc>
          <w:tcPr>
            <w:tcW w:w="1872" w:type="dxa"/>
            <w:tcBorders>
              <w:top w:val="single" w:sz="4" w:space="0" w:color="auto"/>
              <w:left w:val="single" w:sz="4" w:space="0" w:color="auto"/>
              <w:bottom w:val="single" w:sz="4" w:space="0" w:color="auto"/>
              <w:right w:val="single" w:sz="4" w:space="0" w:color="000000" w:themeColor="text1"/>
            </w:tcBorders>
          </w:tcPr>
          <w:p w14:paraId="394EB5AB" w14:textId="39E316FA" w:rsidR="005565D7" w:rsidRPr="004F7E60" w:rsidRDefault="005565D7" w:rsidP="00C20818">
            <w:pPr>
              <w:rPr>
                <w:rFonts w:ascii="Calibri" w:eastAsia="Calibri" w:hAnsi="Calibri" w:cs="Calibri"/>
                <w:color w:val="000000" w:themeColor="text1"/>
              </w:rPr>
            </w:pPr>
            <w:r w:rsidRPr="0F258FFF">
              <w:rPr>
                <w:rFonts w:ascii="Calibri" w:eastAsia="Calibri" w:hAnsi="Calibri" w:cs="Calibri"/>
                <w:i/>
                <w:iCs/>
                <w:color w:val="000000" w:themeColor="text1"/>
              </w:rPr>
              <w:t>Minimum</w:t>
            </w:r>
            <w:r w:rsidRPr="0F258FFF">
              <w:rPr>
                <w:rFonts w:ascii="Calibri" w:eastAsia="Calibri" w:hAnsi="Calibri" w:cs="Calibri"/>
                <w:color w:val="000000" w:themeColor="text1"/>
              </w:rPr>
              <w:t xml:space="preserve">: No primary building within this district shall be erected to a height less than fifteen </w:t>
            </w:r>
            <w:r w:rsidR="52F9DD47" w:rsidRPr="0F258FFF">
              <w:rPr>
                <w:rFonts w:ascii="Calibri" w:eastAsia="Calibri" w:hAnsi="Calibri" w:cs="Calibri"/>
                <w:color w:val="000000" w:themeColor="text1"/>
              </w:rPr>
              <w:t xml:space="preserve">feet </w:t>
            </w:r>
            <w:r w:rsidRPr="0F258FFF">
              <w:rPr>
                <w:rFonts w:ascii="Calibri" w:eastAsia="Calibri" w:hAnsi="Calibri" w:cs="Calibri"/>
                <w:color w:val="000000" w:themeColor="text1"/>
              </w:rPr>
              <w:t>(15</w:t>
            </w:r>
            <w:r w:rsidR="52F9DD47" w:rsidRPr="0F258FFF">
              <w:rPr>
                <w:rFonts w:ascii="Calibri" w:eastAsia="Calibri" w:hAnsi="Calibri" w:cs="Calibri"/>
                <w:color w:val="000000" w:themeColor="text1"/>
              </w:rPr>
              <w:t>’</w:t>
            </w:r>
            <w:r w:rsidRPr="0F258FFF">
              <w:rPr>
                <w:rFonts w:ascii="Calibri" w:eastAsia="Calibri" w:hAnsi="Calibri" w:cs="Calibri"/>
                <w:color w:val="000000" w:themeColor="text1"/>
              </w:rPr>
              <w:t>) above grade.</w:t>
            </w:r>
            <w:r>
              <w:br/>
            </w:r>
            <w:r>
              <w:br/>
            </w:r>
            <w:r w:rsidRPr="0F258FFF">
              <w:rPr>
                <w:rFonts w:ascii="Calibri" w:eastAsia="Calibri" w:hAnsi="Calibri" w:cs="Calibri"/>
                <w:color w:val="000000" w:themeColor="text1"/>
              </w:rPr>
              <w:t>Maximum: 45'</w:t>
            </w:r>
          </w:p>
        </w:tc>
        <w:tc>
          <w:tcPr>
            <w:tcW w:w="1872" w:type="dxa"/>
            <w:tcBorders>
              <w:top w:val="nil"/>
              <w:left w:val="single" w:sz="4" w:space="0" w:color="auto"/>
              <w:bottom w:val="single" w:sz="4" w:space="0" w:color="auto"/>
              <w:right w:val="single" w:sz="4" w:space="0" w:color="auto"/>
            </w:tcBorders>
          </w:tcPr>
          <w:p w14:paraId="1B9C2409" w14:textId="5EF4D337" w:rsidR="005565D7" w:rsidRDefault="1171493E" w:rsidP="5306B825">
            <w:pPr>
              <w:rPr>
                <w:rFonts w:ascii="Calibri" w:eastAsia="Calibri" w:hAnsi="Calibri" w:cs="Calibri"/>
                <w:color w:val="000000" w:themeColor="text1"/>
              </w:rPr>
            </w:pPr>
            <w:r w:rsidRPr="675E44C1">
              <w:rPr>
                <w:rFonts w:ascii="Calibri" w:eastAsia="Calibri" w:hAnsi="Calibri" w:cs="Calibri"/>
                <w:i/>
                <w:iCs/>
                <w:color w:val="000000" w:themeColor="text1"/>
              </w:rPr>
              <w:t>Minimum</w:t>
            </w:r>
            <w:r w:rsidRPr="675E44C1">
              <w:rPr>
                <w:rFonts w:ascii="Calibri" w:eastAsia="Calibri" w:hAnsi="Calibri" w:cs="Calibri"/>
                <w:color w:val="000000" w:themeColor="text1"/>
              </w:rPr>
              <w:t xml:space="preserve">: No primary building within this district shall be erected to a height less than fifteen </w:t>
            </w:r>
            <w:r w:rsidR="715FF4F3" w:rsidRPr="675E44C1">
              <w:rPr>
                <w:rFonts w:ascii="Calibri" w:eastAsia="Calibri" w:hAnsi="Calibri" w:cs="Calibri"/>
                <w:color w:val="000000" w:themeColor="text1"/>
              </w:rPr>
              <w:t xml:space="preserve">feet </w:t>
            </w:r>
            <w:r w:rsidRPr="675E44C1">
              <w:rPr>
                <w:rFonts w:ascii="Calibri" w:eastAsia="Calibri" w:hAnsi="Calibri" w:cs="Calibri"/>
                <w:color w:val="000000" w:themeColor="text1"/>
              </w:rPr>
              <w:t>(15</w:t>
            </w:r>
            <w:r w:rsidR="715FF4F3" w:rsidRPr="675E44C1">
              <w:rPr>
                <w:rFonts w:ascii="Calibri" w:eastAsia="Calibri" w:hAnsi="Calibri" w:cs="Calibri"/>
                <w:color w:val="000000" w:themeColor="text1"/>
              </w:rPr>
              <w:t>’</w:t>
            </w:r>
            <w:r w:rsidRPr="675E44C1">
              <w:rPr>
                <w:rFonts w:ascii="Calibri" w:eastAsia="Calibri" w:hAnsi="Calibri" w:cs="Calibri"/>
                <w:color w:val="000000" w:themeColor="text1"/>
              </w:rPr>
              <w:t xml:space="preserve">) above grade. </w:t>
            </w:r>
            <w:r>
              <w:br/>
            </w:r>
            <w:r w:rsidRPr="675E44C1">
              <w:rPr>
                <w:rFonts w:ascii="Calibri" w:eastAsia="Calibri" w:hAnsi="Calibri" w:cs="Calibri"/>
                <w:color w:val="000000" w:themeColor="text1"/>
              </w:rPr>
              <w:t>Maximum: 60'</w:t>
            </w:r>
          </w:p>
        </w:tc>
        <w:tc>
          <w:tcPr>
            <w:tcW w:w="1872" w:type="dxa"/>
            <w:tcBorders>
              <w:top w:val="nil"/>
              <w:left w:val="single" w:sz="4" w:space="0" w:color="auto"/>
              <w:bottom w:val="single" w:sz="4" w:space="0" w:color="auto"/>
              <w:right w:val="single" w:sz="4" w:space="0" w:color="auto"/>
            </w:tcBorders>
          </w:tcPr>
          <w:p w14:paraId="501F289D" w14:textId="33EEB48C" w:rsidR="005565D7" w:rsidRDefault="1171493E" w:rsidP="00C20818">
            <w:r w:rsidRPr="0F258FFF">
              <w:rPr>
                <w:rFonts w:ascii="Calibri" w:eastAsia="Calibri" w:hAnsi="Calibri" w:cs="Calibri"/>
                <w:i/>
                <w:iCs/>
                <w:color w:val="000000" w:themeColor="text1"/>
              </w:rPr>
              <w:t>Minimum</w:t>
            </w:r>
            <w:r w:rsidRPr="0F258FFF">
              <w:rPr>
                <w:rFonts w:ascii="Calibri" w:eastAsia="Calibri" w:hAnsi="Calibri" w:cs="Calibri"/>
                <w:color w:val="000000" w:themeColor="text1"/>
              </w:rPr>
              <w:t xml:space="preserve">: No primary building within this district shall be erected to a height less than fifteen </w:t>
            </w:r>
            <w:r w:rsidR="52F9DD47" w:rsidRPr="0F258FFF">
              <w:rPr>
                <w:rFonts w:ascii="Calibri" w:eastAsia="Calibri" w:hAnsi="Calibri" w:cs="Calibri"/>
                <w:color w:val="000000" w:themeColor="text1"/>
              </w:rPr>
              <w:t xml:space="preserve">feet </w:t>
            </w:r>
            <w:r w:rsidRPr="0F258FFF">
              <w:rPr>
                <w:rFonts w:ascii="Calibri" w:eastAsia="Calibri" w:hAnsi="Calibri" w:cs="Calibri"/>
                <w:color w:val="000000" w:themeColor="text1"/>
              </w:rPr>
              <w:t>(15</w:t>
            </w:r>
            <w:r w:rsidR="52F9DD47" w:rsidRPr="0F258FFF">
              <w:rPr>
                <w:rFonts w:ascii="Calibri" w:eastAsia="Calibri" w:hAnsi="Calibri" w:cs="Calibri"/>
                <w:color w:val="000000" w:themeColor="text1"/>
              </w:rPr>
              <w:t>’</w:t>
            </w:r>
            <w:r w:rsidRPr="0F258FFF">
              <w:rPr>
                <w:rFonts w:ascii="Calibri" w:eastAsia="Calibri" w:hAnsi="Calibri" w:cs="Calibri"/>
                <w:color w:val="000000" w:themeColor="text1"/>
              </w:rPr>
              <w:t xml:space="preserve">) above grade. </w:t>
            </w:r>
            <w:r>
              <w:br/>
            </w:r>
            <w:r w:rsidRPr="0F258FFF">
              <w:rPr>
                <w:rFonts w:ascii="Calibri" w:eastAsia="Calibri" w:hAnsi="Calibri" w:cs="Calibri"/>
                <w:color w:val="000000" w:themeColor="text1"/>
              </w:rPr>
              <w:t>Maximum: 45'</w:t>
            </w:r>
          </w:p>
        </w:tc>
        <w:tc>
          <w:tcPr>
            <w:tcW w:w="1872" w:type="dxa"/>
            <w:tcBorders>
              <w:top w:val="nil"/>
              <w:left w:val="single" w:sz="4" w:space="0" w:color="auto"/>
              <w:bottom w:val="single" w:sz="4" w:space="0" w:color="auto"/>
              <w:right w:val="single" w:sz="4" w:space="0" w:color="000000" w:themeColor="text1"/>
            </w:tcBorders>
          </w:tcPr>
          <w:p w14:paraId="5665E37A" w14:textId="468790F4" w:rsidR="005565D7" w:rsidRDefault="1171493E" w:rsidP="00C20818">
            <w:r w:rsidRPr="0F258FFF">
              <w:rPr>
                <w:rFonts w:ascii="Calibri" w:eastAsia="Calibri" w:hAnsi="Calibri" w:cs="Calibri"/>
                <w:i/>
                <w:iCs/>
                <w:color w:val="000000" w:themeColor="text1"/>
              </w:rPr>
              <w:t>Minimum</w:t>
            </w:r>
            <w:r w:rsidRPr="0F258FFF">
              <w:rPr>
                <w:rFonts w:ascii="Calibri" w:eastAsia="Calibri" w:hAnsi="Calibri" w:cs="Calibri"/>
                <w:color w:val="000000" w:themeColor="text1"/>
              </w:rPr>
              <w:t xml:space="preserve">: No primary building within this district shall be erected to a height less than fifteen </w:t>
            </w:r>
            <w:r w:rsidR="52F9DD47" w:rsidRPr="0F258FFF">
              <w:rPr>
                <w:rFonts w:ascii="Calibri" w:eastAsia="Calibri" w:hAnsi="Calibri" w:cs="Calibri"/>
                <w:color w:val="000000" w:themeColor="text1"/>
              </w:rPr>
              <w:t xml:space="preserve">feet </w:t>
            </w:r>
            <w:r w:rsidRPr="0F258FFF">
              <w:rPr>
                <w:rFonts w:ascii="Calibri" w:eastAsia="Calibri" w:hAnsi="Calibri" w:cs="Calibri"/>
                <w:color w:val="000000" w:themeColor="text1"/>
              </w:rPr>
              <w:t>(15</w:t>
            </w:r>
            <w:r w:rsidR="52F9DD47" w:rsidRPr="0F258FFF">
              <w:rPr>
                <w:rFonts w:ascii="Calibri" w:eastAsia="Calibri" w:hAnsi="Calibri" w:cs="Calibri"/>
                <w:color w:val="000000" w:themeColor="text1"/>
              </w:rPr>
              <w:t>’</w:t>
            </w:r>
            <w:r w:rsidRPr="0F258FFF">
              <w:rPr>
                <w:rFonts w:ascii="Calibri" w:eastAsia="Calibri" w:hAnsi="Calibri" w:cs="Calibri"/>
                <w:color w:val="000000" w:themeColor="text1"/>
              </w:rPr>
              <w:t xml:space="preserve">) above grade. </w:t>
            </w:r>
            <w:r>
              <w:br/>
            </w:r>
            <w:r w:rsidRPr="0F258FFF">
              <w:rPr>
                <w:rFonts w:ascii="Calibri" w:eastAsia="Calibri" w:hAnsi="Calibri" w:cs="Calibri"/>
                <w:color w:val="000000" w:themeColor="text1"/>
              </w:rPr>
              <w:t>Maximum: 30'</w:t>
            </w:r>
          </w:p>
        </w:tc>
      </w:tr>
      <w:tr w:rsidR="005565D7" w14:paraId="16C0C565" w14:textId="77777777" w:rsidTr="191F6316">
        <w:trPr>
          <w:trHeight w:val="300"/>
        </w:trPr>
        <w:tc>
          <w:tcPr>
            <w:tcW w:w="1872" w:type="dxa"/>
            <w:tcBorders>
              <w:top w:val="single" w:sz="4" w:space="0" w:color="auto"/>
              <w:left w:val="single" w:sz="4" w:space="0" w:color="auto"/>
              <w:bottom w:val="single" w:sz="4" w:space="0" w:color="auto"/>
              <w:right w:val="single" w:sz="4" w:space="0" w:color="auto"/>
            </w:tcBorders>
          </w:tcPr>
          <w:p w14:paraId="0417FCA0" w14:textId="77777777" w:rsidR="005565D7" w:rsidRPr="00EF319F" w:rsidRDefault="005565D7" w:rsidP="00C20818">
            <w:pPr>
              <w:rPr>
                <w:rFonts w:ascii="Calibri" w:eastAsia="Calibri" w:hAnsi="Calibri" w:cs="Calibri"/>
                <w:color w:val="000000" w:themeColor="text1"/>
              </w:rPr>
            </w:pPr>
            <w:r w:rsidRPr="00EF319F">
              <w:rPr>
                <w:rFonts w:ascii="Calibri" w:eastAsia="Calibri" w:hAnsi="Calibri" w:cs="Calibri"/>
              </w:rPr>
              <w:t>Step-down Height Adjacent to Residential Areas.</w:t>
            </w:r>
          </w:p>
        </w:tc>
        <w:tc>
          <w:tcPr>
            <w:tcW w:w="5616" w:type="dxa"/>
            <w:gridSpan w:val="3"/>
            <w:tcBorders>
              <w:top w:val="single" w:sz="4" w:space="0" w:color="auto"/>
              <w:left w:val="single" w:sz="4" w:space="0" w:color="auto"/>
              <w:bottom w:val="single" w:sz="4" w:space="0" w:color="auto"/>
              <w:right w:val="single" w:sz="4" w:space="0" w:color="auto"/>
            </w:tcBorders>
          </w:tcPr>
          <w:p w14:paraId="27433961" w14:textId="77777777" w:rsidR="005565D7" w:rsidRPr="00EF319F" w:rsidRDefault="005565D7" w:rsidP="00C20818">
            <w:pPr>
              <w:rPr>
                <w:rFonts w:ascii="Calibri" w:eastAsia="Calibri" w:hAnsi="Calibri" w:cs="Calibri"/>
              </w:rPr>
            </w:pPr>
            <w:r w:rsidRPr="00EF319F">
              <w:rPr>
                <w:rFonts w:ascii="Calibri" w:eastAsia="Calibri" w:hAnsi="Calibri" w:cs="Calibri"/>
              </w:rPr>
              <w:t>Within one hundred feet (100’) of sites zoned for single family residential, the following standards shall apply:  </w:t>
            </w:r>
          </w:p>
          <w:p w14:paraId="58FCFB01" w14:textId="77777777" w:rsidR="005565D7" w:rsidRDefault="005565D7" w:rsidP="00C20818">
            <w:pPr>
              <w:pStyle w:val="ListParagraph"/>
              <w:numPr>
                <w:ilvl w:val="2"/>
                <w:numId w:val="1"/>
              </w:numPr>
              <w:ind w:left="376" w:hanging="360"/>
              <w:contextualSpacing w:val="0"/>
              <w:rPr>
                <w:rFonts w:ascii="Calibri" w:eastAsia="Calibri" w:hAnsi="Calibri" w:cs="Calibri"/>
              </w:rPr>
            </w:pPr>
            <w:r w:rsidRPr="00C32DD7">
              <w:rPr>
                <w:rFonts w:ascii="Calibri" w:eastAsia="Calibri" w:hAnsi="Calibri" w:cs="Calibri"/>
              </w:rPr>
              <w:t>On the portion of the site within one hundred feet (100’) of a site zoned R-1, the maximum height shall be thirty-five feet (35’).  </w:t>
            </w:r>
          </w:p>
          <w:p w14:paraId="4786BB00" w14:textId="6CB5E7E6" w:rsidR="005565D7" w:rsidRPr="007D3A40" w:rsidRDefault="005565D7" w:rsidP="4D942F74">
            <w:pPr>
              <w:pStyle w:val="ListParagraph"/>
              <w:numPr>
                <w:ilvl w:val="2"/>
                <w:numId w:val="1"/>
              </w:numPr>
              <w:ind w:left="376" w:hanging="360"/>
              <w:rPr>
                <w:rFonts w:ascii="Calibri" w:eastAsia="Calibri" w:hAnsi="Calibri" w:cs="Calibri"/>
              </w:rPr>
            </w:pPr>
            <w:r w:rsidRPr="4D942F74">
              <w:rPr>
                <w:rFonts w:ascii="Calibri" w:eastAsia="Calibri" w:hAnsi="Calibri" w:cs="Calibri"/>
              </w:rPr>
              <w:t>On the portion of the site within one hundred</w:t>
            </w:r>
            <w:r w:rsidRPr="4D942F74">
              <w:rPr>
                <w:rFonts w:ascii="Calibri" w:eastAsia="Calibri" w:hAnsi="Calibri" w:cs="Calibri"/>
                <w:u w:val="single"/>
              </w:rPr>
              <w:t xml:space="preserve"> </w:t>
            </w:r>
            <w:r w:rsidRPr="4D942F74">
              <w:rPr>
                <w:rFonts w:ascii="Calibri" w:eastAsia="Calibri" w:hAnsi="Calibri" w:cs="Calibri"/>
              </w:rPr>
              <w:t>feet (100’) of a site zoned R-2, R-4, RM, or RMH the maximum height shall be forty-five feet (45’).   </w:t>
            </w:r>
          </w:p>
        </w:tc>
        <w:tc>
          <w:tcPr>
            <w:tcW w:w="1872" w:type="dxa"/>
            <w:tcBorders>
              <w:top w:val="single" w:sz="4" w:space="0" w:color="auto"/>
              <w:left w:val="single" w:sz="4" w:space="0" w:color="auto"/>
              <w:bottom w:val="single" w:sz="4" w:space="0" w:color="auto"/>
              <w:right w:val="single" w:sz="4" w:space="0" w:color="auto"/>
            </w:tcBorders>
          </w:tcPr>
          <w:p w14:paraId="2E94BEF0" w14:textId="4B41198E" w:rsidR="191F6316" w:rsidRDefault="191F6316" w:rsidP="191F6316">
            <w:pPr>
              <w:rPr>
                <w:rFonts w:ascii="Calibri" w:eastAsia="Calibri" w:hAnsi="Calibri" w:cs="Calibri"/>
              </w:rPr>
            </w:pPr>
            <w:r w:rsidRPr="191F6316">
              <w:rPr>
                <w:rFonts w:ascii="Calibri" w:eastAsia="Calibri" w:hAnsi="Calibri" w:cs="Calibri"/>
              </w:rPr>
              <w:t>N/A</w:t>
            </w:r>
          </w:p>
        </w:tc>
      </w:tr>
      <w:tr w:rsidR="005565D7" w14:paraId="43BD28A1" w14:textId="77777777" w:rsidTr="191F6316">
        <w:trPr>
          <w:trHeight w:val="300"/>
        </w:trPr>
        <w:tc>
          <w:tcPr>
            <w:tcW w:w="1872" w:type="dxa"/>
            <w:tcBorders>
              <w:top w:val="single" w:sz="4" w:space="0" w:color="auto"/>
              <w:left w:val="single" w:sz="4" w:space="0" w:color="auto"/>
              <w:bottom w:val="single" w:sz="4" w:space="0" w:color="auto"/>
              <w:right w:val="single" w:sz="4" w:space="0" w:color="auto"/>
            </w:tcBorders>
          </w:tcPr>
          <w:p w14:paraId="7C6177B9" w14:textId="77777777" w:rsidR="005565D7" w:rsidRDefault="005565D7" w:rsidP="00C20818">
            <w:r>
              <w:rPr>
                <w:rFonts w:ascii="Calibri" w:eastAsia="Calibri" w:hAnsi="Calibri" w:cs="Calibri"/>
                <w:color w:val="000000" w:themeColor="text1"/>
              </w:rPr>
              <w:t>Transparency</w:t>
            </w:r>
          </w:p>
        </w:tc>
        <w:tc>
          <w:tcPr>
            <w:tcW w:w="1872" w:type="dxa"/>
            <w:tcBorders>
              <w:top w:val="single" w:sz="4" w:space="0" w:color="auto"/>
              <w:left w:val="single" w:sz="4" w:space="0" w:color="auto"/>
              <w:bottom w:val="single" w:sz="4" w:space="0" w:color="auto"/>
              <w:right w:val="single" w:sz="4" w:space="0" w:color="auto"/>
            </w:tcBorders>
          </w:tcPr>
          <w:p w14:paraId="423AF1B6" w14:textId="10DB3B35" w:rsidR="005565D7" w:rsidRDefault="005565D7" w:rsidP="00C20818">
            <w:pPr>
              <w:rPr>
                <w:rFonts w:ascii="Calibri" w:eastAsia="Calibri" w:hAnsi="Calibri" w:cs="Calibri"/>
                <w:color w:val="000000" w:themeColor="text1"/>
              </w:rPr>
            </w:pPr>
            <w:r w:rsidRPr="0F258FFF">
              <w:rPr>
                <w:rFonts w:ascii="Calibri" w:eastAsia="Calibri" w:hAnsi="Calibri" w:cs="Calibri"/>
                <w:color w:val="000000" w:themeColor="text1"/>
              </w:rPr>
              <w:t xml:space="preserve">Ground Floor (frontage) 30% </w:t>
            </w:r>
          </w:p>
          <w:p w14:paraId="6A57B68B" w14:textId="77777777" w:rsidR="005565D7" w:rsidRDefault="005565D7" w:rsidP="00C20818">
            <w:pPr>
              <w:rPr>
                <w:rFonts w:ascii="Calibri" w:eastAsia="Calibri" w:hAnsi="Calibri" w:cs="Calibri"/>
                <w:color w:val="000000" w:themeColor="text1"/>
              </w:rPr>
            </w:pPr>
            <w:r w:rsidRPr="007D3A40">
              <w:rPr>
                <w:rFonts w:ascii="Calibri" w:eastAsia="Calibri" w:hAnsi="Calibri" w:cs="Calibri"/>
                <w:color w:val="000000" w:themeColor="text1"/>
              </w:rPr>
              <w:t xml:space="preserve">Ground Floor (exposed sides) 30% </w:t>
            </w:r>
          </w:p>
          <w:p w14:paraId="4202F41F" w14:textId="77777777" w:rsidR="005565D7" w:rsidRDefault="005565D7" w:rsidP="00C20818">
            <w:r w:rsidRPr="007D3A40">
              <w:rPr>
                <w:rFonts w:ascii="Calibri" w:eastAsia="Calibri" w:hAnsi="Calibri" w:cs="Calibri"/>
                <w:color w:val="000000" w:themeColor="text1"/>
              </w:rPr>
              <w:t>Upper Floors (frontage) 20%</w:t>
            </w:r>
          </w:p>
        </w:tc>
        <w:tc>
          <w:tcPr>
            <w:tcW w:w="1872" w:type="dxa"/>
            <w:tcBorders>
              <w:top w:val="single" w:sz="4" w:space="0" w:color="auto"/>
              <w:left w:val="single" w:sz="4" w:space="0" w:color="auto"/>
              <w:bottom w:val="single" w:sz="4" w:space="0" w:color="auto"/>
              <w:right w:val="single" w:sz="4" w:space="0" w:color="auto"/>
            </w:tcBorders>
          </w:tcPr>
          <w:p w14:paraId="065C2C3F" w14:textId="16841D9D" w:rsidR="005565D7" w:rsidRDefault="005565D7" w:rsidP="00C20818">
            <w:pPr>
              <w:rPr>
                <w:rFonts w:ascii="Calibri" w:eastAsia="Calibri" w:hAnsi="Calibri" w:cs="Calibri"/>
                <w:color w:val="000000" w:themeColor="text1"/>
              </w:rPr>
            </w:pPr>
            <w:r w:rsidRPr="0F258FFF">
              <w:rPr>
                <w:rFonts w:ascii="Calibri" w:eastAsia="Calibri" w:hAnsi="Calibri" w:cs="Calibri"/>
                <w:color w:val="000000" w:themeColor="text1"/>
              </w:rPr>
              <w:t>Ground Floor (frontage) 30%</w:t>
            </w:r>
          </w:p>
          <w:p w14:paraId="191A1E58" w14:textId="77777777" w:rsidR="005565D7" w:rsidRDefault="005565D7" w:rsidP="00C20818">
            <w:r w:rsidRPr="007D3A40">
              <w:rPr>
                <w:rFonts w:ascii="Calibri" w:eastAsia="Calibri" w:hAnsi="Calibri" w:cs="Calibri"/>
                <w:color w:val="000000" w:themeColor="text1"/>
              </w:rPr>
              <w:t>Upper Floors (frontage) 20%</w:t>
            </w:r>
          </w:p>
        </w:tc>
        <w:tc>
          <w:tcPr>
            <w:tcW w:w="1872" w:type="dxa"/>
            <w:tcBorders>
              <w:top w:val="single" w:sz="4" w:space="0" w:color="auto"/>
              <w:left w:val="single" w:sz="4" w:space="0" w:color="auto"/>
              <w:bottom w:val="single" w:sz="4" w:space="0" w:color="auto"/>
              <w:right w:val="single" w:sz="4" w:space="0" w:color="auto"/>
            </w:tcBorders>
          </w:tcPr>
          <w:p w14:paraId="1A0AC4F4" w14:textId="37891FE8" w:rsidR="005565D7" w:rsidRDefault="005565D7" w:rsidP="00C20818">
            <w:pPr>
              <w:rPr>
                <w:rFonts w:ascii="Calibri" w:eastAsia="Calibri" w:hAnsi="Calibri" w:cs="Calibri"/>
                <w:color w:val="000000" w:themeColor="text1"/>
              </w:rPr>
            </w:pPr>
            <w:r w:rsidRPr="0F258FFF">
              <w:rPr>
                <w:rFonts w:ascii="Calibri" w:eastAsia="Calibri" w:hAnsi="Calibri" w:cs="Calibri"/>
                <w:color w:val="000000" w:themeColor="text1"/>
              </w:rPr>
              <w:t xml:space="preserve">Ground Floor (frontage) 30% </w:t>
            </w:r>
          </w:p>
          <w:p w14:paraId="2A3273D9" w14:textId="77777777" w:rsidR="005565D7" w:rsidRDefault="005565D7" w:rsidP="00C20818">
            <w:pPr>
              <w:rPr>
                <w:rFonts w:ascii="Calibri" w:eastAsia="Calibri" w:hAnsi="Calibri" w:cs="Calibri"/>
                <w:color w:val="000000" w:themeColor="text1"/>
              </w:rPr>
            </w:pPr>
            <w:r w:rsidRPr="007D3A40">
              <w:rPr>
                <w:rFonts w:ascii="Calibri" w:eastAsia="Calibri" w:hAnsi="Calibri" w:cs="Calibri"/>
                <w:color w:val="000000" w:themeColor="text1"/>
              </w:rPr>
              <w:t xml:space="preserve">Ground Floor (exposed sides) 30% </w:t>
            </w:r>
          </w:p>
          <w:p w14:paraId="6C930FF1" w14:textId="77777777" w:rsidR="005565D7" w:rsidRDefault="005565D7" w:rsidP="00C20818">
            <w:r w:rsidRPr="007D3A40">
              <w:rPr>
                <w:rFonts w:ascii="Calibri" w:eastAsia="Calibri" w:hAnsi="Calibri" w:cs="Calibri"/>
                <w:color w:val="000000" w:themeColor="text1"/>
              </w:rPr>
              <w:t>Upper Floors (frontage) 20%</w:t>
            </w:r>
          </w:p>
        </w:tc>
        <w:tc>
          <w:tcPr>
            <w:tcW w:w="1872" w:type="dxa"/>
            <w:tcBorders>
              <w:top w:val="single" w:sz="4" w:space="0" w:color="auto"/>
              <w:left w:val="single" w:sz="4" w:space="0" w:color="auto"/>
              <w:bottom w:val="single" w:sz="4" w:space="0" w:color="auto"/>
              <w:right w:val="single" w:sz="4" w:space="0" w:color="auto"/>
            </w:tcBorders>
          </w:tcPr>
          <w:p w14:paraId="60D76EA9" w14:textId="77777777" w:rsidR="005565D7" w:rsidRDefault="005565D7" w:rsidP="00C20818">
            <w:r w:rsidRPr="007D3A40">
              <w:rPr>
                <w:rFonts w:ascii="Calibri" w:eastAsia="Calibri" w:hAnsi="Calibri" w:cs="Calibri"/>
                <w:color w:val="000000" w:themeColor="text1"/>
              </w:rPr>
              <w:t>Ground Floor (frontage) 30%</w:t>
            </w:r>
          </w:p>
        </w:tc>
      </w:tr>
    </w:tbl>
    <w:p w14:paraId="19CB693A" w14:textId="77777777" w:rsidR="005565D7" w:rsidRPr="005565D7" w:rsidRDefault="005565D7" w:rsidP="005565D7">
      <w:pPr>
        <w:pStyle w:val="ListParagraph"/>
        <w:rPr>
          <w:rFonts w:ascii="Calibri" w:eastAsia="Calibri" w:hAnsi="Calibri" w:cs="Calibri"/>
        </w:rPr>
      </w:pPr>
    </w:p>
    <w:p w14:paraId="0C1CDA77" w14:textId="5F50AE2A" w:rsidR="002A1D90" w:rsidRPr="002A1D90" w:rsidRDefault="002A1D90" w:rsidP="00920B4E">
      <w:pPr>
        <w:ind w:left="720" w:hanging="360"/>
        <w:jc w:val="both"/>
        <w:textAlignment w:val="baseline"/>
        <w:rPr>
          <w:rFonts w:ascii="MS Mincho" w:eastAsia="MS Mincho" w:hAnsi="MS Mincho" w:cs="Calibri"/>
        </w:rPr>
      </w:pPr>
      <w:r w:rsidRPr="002A1D90">
        <w:rPr>
          <w:rFonts w:ascii="Calibri" w:eastAsia="MS Mincho" w:hAnsi="Calibri" w:cs="Calibri"/>
          <w:color w:val="000000"/>
        </w:rPr>
        <w:t>4.</w:t>
      </w:r>
      <w:r w:rsidRPr="002A1D90">
        <w:rPr>
          <w:rFonts w:ascii="Calibri" w:eastAsia="MS Mincho" w:hAnsi="Calibri" w:cs="Calibri"/>
          <w:color w:val="000000"/>
        </w:rPr>
        <w:tab/>
      </w:r>
      <w:r w:rsidRPr="002A1D90">
        <w:rPr>
          <w:rFonts w:ascii="Calibri" w:eastAsia="MS Mincho" w:hAnsi="Calibri" w:cs="Calibri"/>
          <w:color w:val="000000"/>
          <w:u w:val="single"/>
        </w:rPr>
        <w:t>Roofs</w:t>
      </w:r>
      <w:r w:rsidRPr="002A1D90">
        <w:rPr>
          <w:rFonts w:ascii="Calibri" w:eastAsia="MS Mincho" w:hAnsi="Calibri" w:cs="Calibri"/>
          <w:i/>
          <w:iCs/>
          <w:color w:val="000000"/>
        </w:rPr>
        <w:t xml:space="preserve">. </w:t>
      </w:r>
      <w:r w:rsidRPr="002A1D90">
        <w:rPr>
          <w:rFonts w:ascii="Calibri" w:eastAsia="MS Mincho" w:hAnsi="Calibri" w:cs="Calibri"/>
          <w:color w:val="000000"/>
        </w:rPr>
        <w:t>All the roofs and dormer roofs of a building shall be constructed of the same material. Slopes of roofs shall be of equal pitch if a gable or hip roof is employed. All metal roofs must be of a subdued color. Painted roof shingles are prohibited.  </w:t>
      </w:r>
    </w:p>
    <w:p w14:paraId="49F5B097" w14:textId="77777777" w:rsidR="002A1D90" w:rsidRPr="002A1D90" w:rsidRDefault="002A1D90">
      <w:pPr>
        <w:numPr>
          <w:ilvl w:val="0"/>
          <w:numId w:val="29"/>
        </w:numPr>
        <w:ind w:left="1080"/>
        <w:jc w:val="both"/>
        <w:textAlignment w:val="baseline"/>
        <w:rPr>
          <w:rFonts w:ascii="Calibri" w:eastAsia="Times New Roman" w:hAnsi="Calibri" w:cs="Calibri"/>
        </w:rPr>
      </w:pPr>
      <w:r w:rsidRPr="002A1D90">
        <w:rPr>
          <w:rFonts w:ascii="Calibri" w:eastAsia="Times New Roman" w:hAnsi="Calibri" w:cs="Calibri"/>
        </w:rPr>
        <w:t>Flat roofs on stand-alone buildings are allowed when variation to the roof line is provided through the use of parapets, towers, step-backs, or accessory structures. </w:t>
      </w:r>
    </w:p>
    <w:p w14:paraId="718474E2" w14:textId="77777777" w:rsidR="002A1D90" w:rsidRPr="002A1D90" w:rsidRDefault="002A1D90">
      <w:pPr>
        <w:numPr>
          <w:ilvl w:val="0"/>
          <w:numId w:val="30"/>
        </w:numPr>
        <w:ind w:left="1080"/>
        <w:jc w:val="both"/>
        <w:textAlignment w:val="baseline"/>
        <w:rPr>
          <w:rFonts w:ascii="Calibri" w:eastAsia="Times New Roman" w:hAnsi="Calibri" w:cs="Calibri"/>
        </w:rPr>
      </w:pPr>
      <w:r w:rsidRPr="002A1D90">
        <w:rPr>
          <w:rFonts w:ascii="Calibri" w:eastAsia="Times New Roman" w:hAnsi="Calibri" w:cs="Calibri"/>
          <w:color w:val="000000"/>
        </w:rPr>
        <w:t>Large building roofs shall have parapets and enclosures concealing flat roofs and rooftop equipment from public view. Parapet and enclosure materials shall match the building in quality and detail. </w:t>
      </w:r>
    </w:p>
    <w:p w14:paraId="0184EEC0" w14:textId="77777777" w:rsidR="002A1D90" w:rsidRPr="002A1D90" w:rsidRDefault="002A1D90">
      <w:pPr>
        <w:numPr>
          <w:ilvl w:val="0"/>
          <w:numId w:val="31"/>
        </w:numPr>
        <w:ind w:left="1080"/>
        <w:jc w:val="both"/>
        <w:textAlignment w:val="baseline"/>
        <w:rPr>
          <w:rFonts w:ascii="Calibri" w:eastAsia="Times New Roman" w:hAnsi="Calibri" w:cs="Calibri"/>
        </w:rPr>
      </w:pPr>
      <w:r w:rsidRPr="002A1D90">
        <w:rPr>
          <w:rFonts w:ascii="Calibri" w:eastAsia="Times New Roman" w:hAnsi="Calibri" w:cs="Calibri"/>
        </w:rPr>
        <w:t>Pitched roofs have a sloped or pitched roof. The slope is measured with the vertical rise divided by the horizontal span or run.  </w:t>
      </w:r>
    </w:p>
    <w:p w14:paraId="63C7FDE9" w14:textId="77777777" w:rsidR="002A1D90" w:rsidRPr="002A1D90" w:rsidRDefault="002A1D90">
      <w:pPr>
        <w:numPr>
          <w:ilvl w:val="0"/>
          <w:numId w:val="32"/>
        </w:numPr>
        <w:ind w:left="1440"/>
        <w:jc w:val="both"/>
        <w:textAlignment w:val="baseline"/>
        <w:rPr>
          <w:rFonts w:ascii="Calibri" w:eastAsia="Times New Roman" w:hAnsi="Calibri" w:cs="Calibri"/>
        </w:rPr>
      </w:pPr>
      <w:r w:rsidRPr="002A1D90">
        <w:rPr>
          <w:rFonts w:ascii="Calibri" w:eastAsia="Times New Roman" w:hAnsi="Calibri" w:cs="Calibri"/>
        </w:rPr>
        <w:t>The roof may not be sloped less than a 4:12 (rise: run) or more than 16:12.  </w:t>
      </w:r>
    </w:p>
    <w:p w14:paraId="0A64BC66" w14:textId="77777777" w:rsidR="002A1D90" w:rsidRPr="002A1D90" w:rsidRDefault="002A1D90">
      <w:pPr>
        <w:numPr>
          <w:ilvl w:val="0"/>
          <w:numId w:val="33"/>
        </w:numPr>
        <w:ind w:left="1440"/>
        <w:jc w:val="both"/>
        <w:textAlignment w:val="baseline"/>
        <w:rPr>
          <w:rFonts w:ascii="Calibri" w:eastAsia="Times New Roman" w:hAnsi="Calibri" w:cs="Calibri"/>
        </w:rPr>
      </w:pPr>
      <w:r w:rsidRPr="002A1D90">
        <w:rPr>
          <w:rFonts w:ascii="Calibri" w:eastAsia="Times New Roman" w:hAnsi="Calibri" w:cs="Calibri"/>
        </w:rPr>
        <w:t>Slopes less than 4:12 are permitted to occur on second story or higher roofs.  </w:t>
      </w:r>
    </w:p>
    <w:p w14:paraId="559C5172" w14:textId="77777777" w:rsidR="002A1D90" w:rsidRPr="002A1D90" w:rsidRDefault="002A1D90">
      <w:pPr>
        <w:numPr>
          <w:ilvl w:val="0"/>
          <w:numId w:val="34"/>
        </w:numPr>
        <w:ind w:left="1440"/>
        <w:jc w:val="both"/>
        <w:textAlignment w:val="baseline"/>
        <w:rPr>
          <w:rFonts w:ascii="Calibri" w:eastAsia="Times New Roman" w:hAnsi="Calibri" w:cs="Calibri"/>
        </w:rPr>
      </w:pPr>
      <w:r w:rsidRPr="002A1D90">
        <w:rPr>
          <w:rFonts w:ascii="Calibri" w:eastAsia="Times New Roman" w:hAnsi="Calibri" w:cs="Calibri"/>
        </w:rPr>
        <w:t>Hipped, gabled, and combination of hips and gables with or without dormers are permitted. </w:t>
      </w:r>
    </w:p>
    <w:p w14:paraId="68ED6BB0" w14:textId="77777777" w:rsidR="002A1D90" w:rsidRPr="002A1D90" w:rsidRDefault="002A1D90">
      <w:pPr>
        <w:numPr>
          <w:ilvl w:val="0"/>
          <w:numId w:val="35"/>
        </w:numPr>
        <w:ind w:left="1440"/>
        <w:jc w:val="both"/>
        <w:textAlignment w:val="baseline"/>
        <w:rPr>
          <w:rFonts w:ascii="Calibri" w:eastAsia="Times New Roman" w:hAnsi="Calibri" w:cs="Calibri"/>
        </w:rPr>
      </w:pPr>
      <w:r w:rsidRPr="002A1D90">
        <w:rPr>
          <w:rFonts w:ascii="Calibri" w:eastAsia="Times New Roman" w:hAnsi="Calibri" w:cs="Calibri"/>
        </w:rPr>
        <w:t>Gambrel, butterfly (inverted gable roof), and mansard roofs are not permitted.  </w:t>
      </w:r>
    </w:p>
    <w:p w14:paraId="774920A4" w14:textId="77777777" w:rsidR="002A1D90" w:rsidRPr="002A1D90" w:rsidRDefault="002A1D90">
      <w:pPr>
        <w:numPr>
          <w:ilvl w:val="0"/>
          <w:numId w:val="36"/>
        </w:numPr>
        <w:ind w:left="1440"/>
        <w:jc w:val="both"/>
        <w:textAlignment w:val="baseline"/>
        <w:rPr>
          <w:rFonts w:ascii="Calibri" w:eastAsia="Times New Roman" w:hAnsi="Calibri" w:cs="Calibri"/>
        </w:rPr>
      </w:pPr>
      <w:r w:rsidRPr="002A1D90">
        <w:rPr>
          <w:rFonts w:ascii="Calibri" w:eastAsia="Times New Roman" w:hAnsi="Calibri" w:cs="Calibri"/>
        </w:rPr>
        <w:t>A gabled end or perpendicular ridge line shall occur at least every one-hundred feet (100’) of roof when the ridge line runs parallel to the front lot line. </w:t>
      </w:r>
    </w:p>
    <w:p w14:paraId="55688EEB" w14:textId="77777777" w:rsidR="00F147C3" w:rsidRPr="00F147C3" w:rsidRDefault="00F147C3" w:rsidP="00F147C3">
      <w:pPr>
        <w:numPr>
          <w:ilvl w:val="0"/>
          <w:numId w:val="1"/>
        </w:numPr>
        <w:ind w:left="360"/>
        <w:jc w:val="both"/>
        <w:rPr>
          <w:rFonts w:ascii="Calibri" w:eastAsia="Calibri" w:hAnsi="Calibri" w:cs="Calibri"/>
          <w:u w:val="single"/>
        </w:rPr>
      </w:pPr>
      <w:r w:rsidRPr="00F147C3">
        <w:rPr>
          <w:rFonts w:ascii="Calibri" w:eastAsia="Calibri" w:hAnsi="Calibri" w:cs="Calibri"/>
          <w:u w:val="single"/>
        </w:rPr>
        <w:t xml:space="preserve">Exterior Structure Standards: </w:t>
      </w:r>
      <w:r w:rsidRPr="00F147C3">
        <w:rPr>
          <w:rFonts w:cstheme="minorHAnsi"/>
          <w:color w:val="222222"/>
          <w:shd w:val="clear" w:color="auto" w:fill="FFFFFF"/>
        </w:rPr>
        <w:t>All exterior walls of all structures shall be constructed in compliance with the following:</w:t>
      </w:r>
    </w:p>
    <w:p w14:paraId="273FB932" w14:textId="77777777" w:rsidR="00F147C3" w:rsidRPr="00F147C3" w:rsidRDefault="00F147C3">
      <w:pPr>
        <w:numPr>
          <w:ilvl w:val="0"/>
          <w:numId w:val="3"/>
        </w:numPr>
        <w:ind w:left="720"/>
        <w:jc w:val="both"/>
        <w:rPr>
          <w:rFonts w:asciiTheme="minorEastAsia" w:eastAsiaTheme="minorEastAsia" w:hAnsiTheme="minorEastAsia" w:cstheme="minorEastAsia"/>
          <w:i/>
          <w:iCs/>
          <w:color w:val="000000" w:themeColor="text1"/>
        </w:rPr>
      </w:pPr>
      <w:r w:rsidRPr="00F147C3">
        <w:rPr>
          <w:rFonts w:eastAsiaTheme="minorEastAsia"/>
          <w:color w:val="000000" w:themeColor="text1"/>
          <w:u w:val="single"/>
        </w:rPr>
        <w:t>Materials</w:t>
      </w:r>
      <w:r w:rsidRPr="00F147C3">
        <w:rPr>
          <w:rFonts w:eastAsiaTheme="minorEastAsia"/>
          <w:i/>
          <w:iCs/>
          <w:color w:val="000000" w:themeColor="text1"/>
        </w:rPr>
        <w:t xml:space="preserve">. </w:t>
      </w:r>
      <w:r w:rsidRPr="00F147C3">
        <w:rPr>
          <w:rFonts w:eastAsiaTheme="minorEastAsia"/>
          <w:color w:val="000000" w:themeColor="text1"/>
        </w:rPr>
        <w:t xml:space="preserve">All buildings shall use one or more of the following durable materials as significant finish: architectural precast concrete, architecturally treated concrete masonry units, brick cladding, natural and cast stone, architectural metals, and glazing. Architectural site-cast concrete may be allowed if designed, articulated, and colored for a finished appearance on all buildings. At least fifty percent (50%) of all buildings visible from a </w:t>
      </w:r>
      <w:r w:rsidRPr="00F147C3">
        <w:rPr>
          <w:rFonts w:eastAsiaTheme="minorEastAsia"/>
          <w:color w:val="000000" w:themeColor="text1"/>
          <w:highlight w:val="yellow"/>
        </w:rPr>
        <w:t>major street</w:t>
      </w:r>
      <w:r w:rsidRPr="00F147C3">
        <w:rPr>
          <w:rFonts w:eastAsiaTheme="minorEastAsia"/>
          <w:color w:val="000000" w:themeColor="text1"/>
        </w:rPr>
        <w:t xml:space="preserve"> shall be composed of brick, stone, architecturally treated CMU, architectural precast concrete, architectural metals, and/or glazing.</w:t>
      </w:r>
    </w:p>
    <w:p w14:paraId="52B07540" w14:textId="77777777" w:rsidR="00F147C3" w:rsidRPr="00F147C3" w:rsidRDefault="00F147C3">
      <w:pPr>
        <w:numPr>
          <w:ilvl w:val="0"/>
          <w:numId w:val="3"/>
        </w:numPr>
        <w:ind w:left="720"/>
        <w:jc w:val="both"/>
        <w:rPr>
          <w:rFonts w:eastAsiaTheme="minorEastAsia"/>
          <w:i/>
          <w:iCs/>
          <w:color w:val="000000" w:themeColor="text1"/>
        </w:rPr>
      </w:pPr>
      <w:r w:rsidRPr="00F147C3">
        <w:rPr>
          <w:rFonts w:eastAsiaTheme="minorEastAsia"/>
          <w:color w:val="000000" w:themeColor="text1"/>
          <w:u w:val="single"/>
        </w:rPr>
        <w:t>Exterior Insulation and Finish System (EIFS)/Stucco</w:t>
      </w:r>
      <w:r w:rsidRPr="00F147C3">
        <w:rPr>
          <w:rFonts w:eastAsiaTheme="minorEastAsia"/>
          <w:i/>
          <w:iCs/>
          <w:color w:val="000000" w:themeColor="text1"/>
        </w:rPr>
        <w:t>.</w:t>
      </w:r>
      <w:r w:rsidRPr="00F147C3">
        <w:rPr>
          <w:rFonts w:eastAsiaTheme="minorEastAsia"/>
          <w:color w:val="000000" w:themeColor="text1"/>
        </w:rPr>
        <w:t xml:space="preserve"> The design and application of EIFS or synthetic stucco are expected to be of a high enough quality to allow for crisp detailing and substantial relief. The use of EIFS on ground floor walls shall be limited to the surface area three (3) or more feet above finished grade. The wall area from finished grade to where the use of EIFS begins shall be clad by a hard, durable material such as brick, stone, architectural precast concrete, or architecturally treated concrete masonry units.</w:t>
      </w:r>
    </w:p>
    <w:p w14:paraId="568EFA08" w14:textId="77777777" w:rsidR="00F147C3" w:rsidRPr="00F147C3" w:rsidRDefault="00F147C3">
      <w:pPr>
        <w:numPr>
          <w:ilvl w:val="0"/>
          <w:numId w:val="3"/>
        </w:numPr>
        <w:ind w:left="720"/>
        <w:jc w:val="both"/>
        <w:rPr>
          <w:rFonts w:eastAsiaTheme="minorEastAsia"/>
          <w:i/>
          <w:iCs/>
          <w:color w:val="000000" w:themeColor="text1"/>
        </w:rPr>
      </w:pPr>
      <w:r w:rsidRPr="00F147C3">
        <w:rPr>
          <w:rFonts w:eastAsiaTheme="minorEastAsia"/>
          <w:color w:val="000000" w:themeColor="text1"/>
          <w:u w:val="single"/>
        </w:rPr>
        <w:t>Detail and Finish</w:t>
      </w:r>
      <w:r w:rsidRPr="00F147C3">
        <w:rPr>
          <w:rFonts w:eastAsiaTheme="minorEastAsia"/>
          <w:i/>
          <w:iCs/>
          <w:color w:val="000000" w:themeColor="text1"/>
        </w:rPr>
        <w:t>.</w:t>
      </w:r>
      <w:r w:rsidRPr="00F147C3">
        <w:rPr>
          <w:rFonts w:eastAsiaTheme="minorEastAsia"/>
          <w:color w:val="000000" w:themeColor="text1"/>
        </w:rPr>
        <w:t xml:space="preserve"> Building façades that face the street but do not have pedestrian entries shall be composed of high-quality materials such as brick or stone and shall provide variety and interest in the façade through the introduction of such elements as pilasters, recessed or protruding bays, changes in materials and/or colors, building lighting elements, display windows with products or product graphics, transparent windows or clerestories, and well-designed signs and graphics. </w:t>
      </w:r>
    </w:p>
    <w:p w14:paraId="461AE052" w14:textId="77777777" w:rsidR="00F147C3" w:rsidRPr="00F147C3" w:rsidRDefault="00F147C3">
      <w:pPr>
        <w:numPr>
          <w:ilvl w:val="0"/>
          <w:numId w:val="3"/>
        </w:numPr>
        <w:ind w:left="720"/>
        <w:jc w:val="both"/>
        <w:rPr>
          <w:rFonts w:eastAsiaTheme="minorEastAsia"/>
          <w:i/>
          <w:iCs/>
          <w:color w:val="000000" w:themeColor="text1"/>
        </w:rPr>
      </w:pPr>
      <w:r w:rsidRPr="00F147C3">
        <w:rPr>
          <w:rFonts w:eastAsiaTheme="minorEastAsia"/>
          <w:color w:val="000000" w:themeColor="text1"/>
          <w:u w:val="single"/>
        </w:rPr>
        <w:t>Surface Variation.</w:t>
      </w:r>
      <w:r w:rsidRPr="00F147C3">
        <w:rPr>
          <w:rFonts w:eastAsiaTheme="minorEastAsia"/>
          <w:color w:val="000000" w:themeColor="text1"/>
        </w:rPr>
        <w:t xml:space="preserve"> Continuous building wall surfaces shall be relieved with significant variations of wall planes or overhangs that create shadow areas and add visual interest. Variations should result from significant dimensional changes in plane, color, or detail as accomplished by such devices as protruding bays, recessed entries, upper-level step-backs, arcades, offsets in the general plane of the façade, changes in materials or color, bay windows, vestibules, porches, balconies, exterior shading devices, nonretractable canopies or awnings, projecting cornices, or eaves.</w:t>
      </w:r>
    </w:p>
    <w:p w14:paraId="5E549BCC" w14:textId="77777777" w:rsidR="00A6496F" w:rsidRDefault="00F147C3">
      <w:pPr>
        <w:numPr>
          <w:ilvl w:val="0"/>
          <w:numId w:val="3"/>
        </w:numPr>
        <w:ind w:left="720"/>
        <w:jc w:val="both"/>
        <w:rPr>
          <w:rFonts w:eastAsiaTheme="minorEastAsia"/>
          <w:i/>
          <w:iCs/>
          <w:color w:val="000000" w:themeColor="text1"/>
        </w:rPr>
      </w:pPr>
      <w:r w:rsidRPr="00F147C3">
        <w:rPr>
          <w:rFonts w:eastAsiaTheme="minorEastAsia"/>
          <w:color w:val="000000" w:themeColor="text1"/>
          <w:u w:val="single"/>
        </w:rPr>
        <w:t>Vertical Separation and Human Scale.</w:t>
      </w:r>
      <w:r w:rsidRPr="00F147C3">
        <w:rPr>
          <w:rFonts w:eastAsiaTheme="minorEastAsia"/>
          <w:color w:val="000000" w:themeColor="text1"/>
        </w:rPr>
        <w:t xml:space="preserve"> Buildings in excess of two (2) stories in height shall exhibit architectural detailing that establishes a vertical separation between lower and upper stories. This may be accomplished by a mid-façade cornice or trim, a change in material, style or color, a façade step-back or roof pitch with dormer windows, or other methods. Buildings in excess of two (2) stories shall also exhibit architecture design that incorporates the human scale, which is specific architecture features below 10 feet (10’).</w:t>
      </w:r>
    </w:p>
    <w:p w14:paraId="03686198" w14:textId="364DB63A" w:rsidR="00F147C3" w:rsidRPr="00F147C3" w:rsidRDefault="00F147C3">
      <w:pPr>
        <w:numPr>
          <w:ilvl w:val="0"/>
          <w:numId w:val="3"/>
        </w:numPr>
        <w:ind w:left="720"/>
        <w:jc w:val="both"/>
        <w:rPr>
          <w:rFonts w:eastAsiaTheme="minorEastAsia"/>
          <w:i/>
          <w:iCs/>
          <w:color w:val="000000" w:themeColor="text1"/>
        </w:rPr>
      </w:pPr>
      <w:r w:rsidRPr="00F147C3">
        <w:rPr>
          <w:rFonts w:eastAsiaTheme="minorEastAsia"/>
          <w:color w:val="000000" w:themeColor="text1"/>
          <w:u w:val="single"/>
        </w:rPr>
        <w:t>Façade Features.</w:t>
      </w:r>
      <w:r w:rsidRPr="00F147C3">
        <w:rPr>
          <w:rFonts w:eastAsiaTheme="minorEastAsia"/>
          <w:i/>
          <w:iCs/>
          <w:color w:val="000000" w:themeColor="text1"/>
        </w:rPr>
        <w:t xml:space="preserve"> </w:t>
      </w:r>
      <w:r w:rsidRPr="00F147C3">
        <w:rPr>
          <w:rFonts w:eastAsiaTheme="minorEastAsia"/>
          <w:color w:val="000000" w:themeColor="text1"/>
        </w:rPr>
        <w:t>All large retail building façades visible from public streets shall include architectural treatments that add detail, character, and reduce the appearance of massive blank walls. Techniques such as color and material changes, expression of structure, shifts in plane, offsets and projections, belt courses, reveals, pilasters, windows, doors, arcades, canopies, and other similar elements may achieve this standard. Opaque storefront security closures (rolling doors, etc.) are not allowed.</w:t>
      </w:r>
    </w:p>
    <w:p w14:paraId="5674AC61" w14:textId="77777777" w:rsidR="00F147C3" w:rsidRPr="00F147C3" w:rsidRDefault="00F147C3" w:rsidP="00F147C3">
      <w:pPr>
        <w:numPr>
          <w:ilvl w:val="0"/>
          <w:numId w:val="1"/>
        </w:numPr>
        <w:ind w:left="360"/>
        <w:jc w:val="both"/>
        <w:rPr>
          <w:rFonts w:ascii="Calibri" w:eastAsia="Calibri" w:hAnsi="Calibri" w:cs="Calibri"/>
        </w:rPr>
      </w:pPr>
      <w:r w:rsidRPr="00F147C3">
        <w:rPr>
          <w:rFonts w:ascii="Calibri" w:eastAsia="Calibri" w:hAnsi="Calibri" w:cs="Calibri"/>
          <w:u w:val="single"/>
        </w:rPr>
        <w:t>Entrances.</w:t>
      </w:r>
      <w:r w:rsidRPr="00F147C3">
        <w:rPr>
          <w:rFonts w:ascii="Calibri" w:eastAsia="Calibri" w:hAnsi="Calibri" w:cs="Calibri"/>
          <w:i/>
          <w:iCs/>
        </w:rPr>
        <w:t xml:space="preserve"> </w:t>
      </w:r>
      <w:r w:rsidRPr="00F147C3">
        <w:rPr>
          <w:rFonts w:ascii="Calibri" w:eastAsia="Calibri" w:hAnsi="Calibri" w:cs="Calibri"/>
        </w:rPr>
        <w:t>The intent of entrance standards is to provide direct and comfortable access to businesses for pedestrians. Entrances on public streets are particularly important to promote pedestrian traffic and activities on the sidewalks. The following standards apply to the entrances of all structures:</w:t>
      </w:r>
    </w:p>
    <w:p w14:paraId="5505ECDD" w14:textId="77777777" w:rsidR="00F147C3" w:rsidRPr="00F147C3" w:rsidRDefault="00F147C3" w:rsidP="00BF0679">
      <w:pPr>
        <w:numPr>
          <w:ilvl w:val="1"/>
          <w:numId w:val="1"/>
        </w:numPr>
        <w:ind w:left="720"/>
        <w:jc w:val="both"/>
        <w:rPr>
          <w:rFonts w:eastAsia="Calibri"/>
          <w:i/>
          <w:iCs/>
        </w:rPr>
      </w:pPr>
      <w:r w:rsidRPr="00F147C3">
        <w:t xml:space="preserve">Street front entrances shall be developed on all new buildings. An unobstructed sidewalk connection from the door location must be provided to connect to the public sidewalk. </w:t>
      </w:r>
      <w:r w:rsidRPr="00F147C3">
        <w:rPr>
          <w:rFonts w:eastAsia="Calibri"/>
        </w:rPr>
        <w:t xml:space="preserve">Entry doors must be located on the front façade or be placed within three feet (3’) of the front façade. </w:t>
      </w:r>
    </w:p>
    <w:p w14:paraId="5F5CBC24" w14:textId="77777777" w:rsidR="00F147C3" w:rsidRPr="00F147C3" w:rsidRDefault="00F147C3" w:rsidP="00BF0679">
      <w:pPr>
        <w:numPr>
          <w:ilvl w:val="1"/>
          <w:numId w:val="1"/>
        </w:numPr>
        <w:ind w:left="720"/>
        <w:jc w:val="both"/>
        <w:rPr>
          <w:rFonts w:eastAsia="Calibri" w:cstheme="minorHAnsi"/>
          <w:i/>
          <w:iCs/>
        </w:rPr>
      </w:pPr>
      <w:r w:rsidRPr="00F147C3">
        <w:rPr>
          <w:rFonts w:cstheme="minorHAnsi"/>
          <w:color w:val="222222"/>
          <w:shd w:val="clear" w:color="auto" w:fill="FFFFFF"/>
        </w:rPr>
        <w:t>Each primary public entry shall be architecturally emphasized so that pedestrians can easily find it.</w:t>
      </w:r>
    </w:p>
    <w:p w14:paraId="03AA9377" w14:textId="77777777" w:rsidR="00F147C3" w:rsidRPr="00F147C3" w:rsidRDefault="00F147C3" w:rsidP="00BF0679">
      <w:pPr>
        <w:numPr>
          <w:ilvl w:val="1"/>
          <w:numId w:val="1"/>
        </w:numPr>
        <w:ind w:left="720"/>
        <w:jc w:val="both"/>
        <w:rPr>
          <w:rFonts w:eastAsia="Calibri"/>
        </w:rPr>
      </w:pPr>
      <w:r w:rsidRPr="00F147C3">
        <w:rPr>
          <w:rFonts w:eastAsia="Calibri"/>
        </w:rPr>
        <w:t>Weather protection features such as awnings, canopies, doors inset by at least three feet (3’), or arcades shall be provided at all customer entrances.</w:t>
      </w:r>
    </w:p>
    <w:p w14:paraId="41E7DC4D" w14:textId="77777777" w:rsidR="00F147C3" w:rsidRPr="00F147C3" w:rsidRDefault="00F147C3" w:rsidP="00F147C3">
      <w:pPr>
        <w:ind w:left="360" w:hanging="360"/>
        <w:jc w:val="both"/>
        <w:rPr>
          <w:rFonts w:ascii="Calibri" w:eastAsia="Calibri" w:hAnsi="Calibri" w:cs="Calibri"/>
        </w:rPr>
      </w:pPr>
      <w:r w:rsidRPr="00F147C3">
        <w:rPr>
          <w:rFonts w:ascii="Calibri" w:eastAsia="Calibri" w:hAnsi="Calibri" w:cs="Calibri"/>
        </w:rPr>
        <w:t>D.</w:t>
      </w:r>
      <w:r w:rsidRPr="00F147C3">
        <w:rPr>
          <w:rFonts w:ascii="Calibri" w:eastAsia="Calibri" w:hAnsi="Calibri" w:cs="Calibri"/>
        </w:rPr>
        <w:tab/>
      </w:r>
      <w:r w:rsidRPr="00F147C3">
        <w:rPr>
          <w:rFonts w:ascii="Calibri" w:eastAsia="Calibri" w:hAnsi="Calibri" w:cs="Calibri"/>
          <w:u w:val="single"/>
        </w:rPr>
        <w:t>Corner Buildings.</w:t>
      </w:r>
      <w:r w:rsidRPr="00F147C3">
        <w:rPr>
          <w:rFonts w:ascii="Calibri" w:eastAsia="Calibri" w:hAnsi="Calibri" w:cs="Calibri"/>
        </w:rPr>
        <w:t> Special attention shall be given to corner buildings that are highly visible, that may serve as landmarks, and provide a sense of enclosure at intersections. Special attention can be achieved by architecture, landscape, and public place.</w:t>
      </w:r>
    </w:p>
    <w:p w14:paraId="48A63668" w14:textId="77777777" w:rsidR="00A818AC" w:rsidRPr="00A818AC" w:rsidRDefault="00A818AC" w:rsidP="00A818AC">
      <w:pPr>
        <w:outlineLvl w:val="1"/>
        <w:rPr>
          <w:b/>
          <w:bCs/>
        </w:rPr>
      </w:pPr>
      <w:bookmarkStart w:id="10" w:name="_Toc110265547"/>
      <w:bookmarkStart w:id="11" w:name="_Toc110339650"/>
      <w:r w:rsidRPr="00A818AC">
        <w:rPr>
          <w:b/>
          <w:bCs/>
        </w:rPr>
        <w:t>19.</w:t>
      </w:r>
      <w:r w:rsidRPr="00A818AC">
        <w:rPr>
          <w:b/>
          <w:bCs/>
          <w:highlight w:val="yellow"/>
        </w:rPr>
        <w:t>32</w:t>
      </w:r>
      <w:r w:rsidRPr="00A818AC">
        <w:rPr>
          <w:b/>
          <w:bCs/>
        </w:rPr>
        <w:t>.070 – Off-Street Parking Standards.</w:t>
      </w:r>
      <w:bookmarkEnd w:id="10"/>
      <w:bookmarkEnd w:id="11"/>
    </w:p>
    <w:p w14:paraId="2B821F28" w14:textId="77777777" w:rsidR="00A818AC" w:rsidRPr="00A818AC" w:rsidRDefault="00A818AC" w:rsidP="00A818AC">
      <w:pPr>
        <w:jc w:val="both"/>
      </w:pPr>
      <w:r w:rsidRPr="00A818AC">
        <w:t>In addition to the parking standards specified in Chapter 19.48, “Off Street Parking Standards”, the following parking standards shall apply:</w:t>
      </w:r>
    </w:p>
    <w:p w14:paraId="39F2002C" w14:textId="77777777" w:rsidR="00A818AC" w:rsidRPr="00A818AC" w:rsidRDefault="00A818AC" w:rsidP="00A818AC">
      <w:pPr>
        <w:ind w:left="360" w:hanging="360"/>
        <w:jc w:val="both"/>
      </w:pPr>
      <w:r w:rsidRPr="00A818AC">
        <w:t>A.</w:t>
      </w:r>
      <w:r w:rsidRPr="00A818AC">
        <w:tab/>
      </w:r>
      <w:r w:rsidRPr="00A818AC">
        <w:rPr>
          <w:u w:val="single"/>
        </w:rPr>
        <w:t>Change Of Use</w:t>
      </w:r>
      <w:r w:rsidRPr="00A818AC">
        <w:t xml:space="preserve">: Whenever the existing use of a structure or the existing use of land is changed to another use or another occupancy, parking and loading facilities shall be provided as required by this Title, except that the Planning Commission may reduce this requirement where a variance is requested and justified pursuant to this Title and Utah Code. </w:t>
      </w:r>
    </w:p>
    <w:p w14:paraId="13FD6C22" w14:textId="77777777" w:rsidR="00A818AC" w:rsidRPr="00A818AC" w:rsidRDefault="00A818AC" w:rsidP="00A818AC">
      <w:pPr>
        <w:ind w:left="360" w:hanging="360"/>
        <w:jc w:val="both"/>
      </w:pPr>
      <w:r w:rsidRPr="00A818AC">
        <w:t>B.</w:t>
      </w:r>
      <w:r w:rsidRPr="00A818AC">
        <w:tab/>
        <w:t>Surface parking areas, except for approved street parking, may not be located between a building and a public right-of-way on lots or parcels adjacent to a public right-of-way. This requirement shall only apply to one side of a lot or parcel that is adjacent to a public right-of-way on multiple sides. Surface parking for a big box development, such as a grocery store, that meets the standards for a build-to-line exception as described in 19.32.050.C, is allowed parking between the building and the right of way if the pad sites each comply with this part.</w:t>
      </w:r>
    </w:p>
    <w:p w14:paraId="7C2A0726" w14:textId="77777777" w:rsidR="00A818AC" w:rsidRPr="00A818AC" w:rsidRDefault="00A818AC" w:rsidP="00A818AC">
      <w:pPr>
        <w:ind w:left="360" w:hanging="360"/>
        <w:jc w:val="both"/>
      </w:pPr>
      <w:r w:rsidRPr="00A818AC">
        <w:t>C.</w:t>
      </w:r>
      <w:r w:rsidRPr="00A818AC">
        <w:tab/>
        <w:t xml:space="preserve">Surface parking areas, except for approved street parking, located within thirty feet (30') of a public right-of-way shall be screened by grading, landscaping, walls/fences, or a combination of these, to a height of three feet (3') above the surface of the parking area. </w:t>
      </w:r>
    </w:p>
    <w:p w14:paraId="736142D9" w14:textId="77777777" w:rsidR="00A818AC" w:rsidRPr="00A818AC" w:rsidRDefault="00A818AC" w:rsidP="00A818AC">
      <w:pPr>
        <w:ind w:left="360" w:hanging="360"/>
        <w:jc w:val="both"/>
      </w:pPr>
      <w:r w:rsidRPr="00A818AC">
        <w:t>D.</w:t>
      </w:r>
      <w:r w:rsidRPr="00A818AC">
        <w:tab/>
        <w:t xml:space="preserve">All commercial development should be designed to allow for cross-access to adjacent properties to encourage shared parking and shared access points on public or private streets, unless otherwise specified. A minimum distance of one hundred feet (100’) should be required between a cross-access way and an entrance. UDOT standards may supersede this requirement in areas of UDOT jurisdiction. </w:t>
      </w:r>
      <w:r w:rsidRPr="00A818AC">
        <w:rPr>
          <w:rFonts w:ascii="Calibri" w:hAnsi="Calibri" w:cs="Calibri"/>
          <w:shd w:val="clear" w:color="auto" w:fill="FFFFFF"/>
        </w:rPr>
        <w:t>The Director may waive this requirement when the Director determines that</w:t>
      </w:r>
      <w:r w:rsidRPr="00A818AC">
        <w:rPr>
          <w:rFonts w:ascii="Calibri" w:hAnsi="Calibri" w:cs="Calibri"/>
          <w:color w:val="0078D4"/>
          <w:shd w:val="clear" w:color="auto" w:fill="FFFFFF"/>
        </w:rPr>
        <w:t xml:space="preserve"> </w:t>
      </w:r>
      <w:r w:rsidRPr="00A818AC">
        <w:rPr>
          <w:rFonts w:ascii="Calibri" w:hAnsi="Calibri" w:cs="Calibri"/>
          <w:color w:val="000000"/>
          <w:shd w:val="clear" w:color="auto" w:fill="FFFFFF"/>
        </w:rPr>
        <w:t xml:space="preserve">cross-access is impractical </w:t>
      </w:r>
      <w:r w:rsidRPr="00A818AC">
        <w:t>based on topography, the presence of natural features, or vehicular safety factors, provided that appropriate bicycle and pedestrian connections are provided between adjacent developments or uses.</w:t>
      </w:r>
    </w:p>
    <w:p w14:paraId="754E7D62" w14:textId="77777777" w:rsidR="00A818AC" w:rsidRPr="00A818AC" w:rsidRDefault="00A818AC" w:rsidP="00A818AC">
      <w:pPr>
        <w:ind w:left="360" w:hanging="360"/>
        <w:jc w:val="both"/>
      </w:pPr>
      <w:r w:rsidRPr="00A818AC">
        <w:t>E.</w:t>
      </w:r>
      <w:r w:rsidRPr="00A818AC">
        <w:tab/>
        <w:t>The Director or Designee may approve an exception to the requirements of this subsection if he or she determines that any of the requirements are not reasonably possible based on the unique characteristics of the site.</w:t>
      </w:r>
    </w:p>
    <w:p w14:paraId="5F2D10DC" w14:textId="77777777" w:rsidR="00A818AC" w:rsidRPr="00A818AC" w:rsidRDefault="00A818AC" w:rsidP="00A818AC">
      <w:pPr>
        <w:outlineLvl w:val="1"/>
        <w:rPr>
          <w:b/>
          <w:bCs/>
        </w:rPr>
      </w:pPr>
      <w:bookmarkStart w:id="12" w:name="_Toc110265548"/>
      <w:bookmarkStart w:id="13" w:name="_Toc110339651"/>
      <w:r w:rsidRPr="00A818AC">
        <w:rPr>
          <w:b/>
          <w:bCs/>
        </w:rPr>
        <w:t>19.</w:t>
      </w:r>
      <w:r w:rsidRPr="00A818AC">
        <w:rPr>
          <w:b/>
          <w:bCs/>
          <w:highlight w:val="yellow"/>
        </w:rPr>
        <w:t>32</w:t>
      </w:r>
      <w:r w:rsidRPr="00A818AC">
        <w:rPr>
          <w:b/>
          <w:bCs/>
        </w:rPr>
        <w:t>.080 - Open Space and Landscaping.</w:t>
      </w:r>
      <w:bookmarkEnd w:id="12"/>
      <w:bookmarkEnd w:id="13"/>
    </w:p>
    <w:p w14:paraId="5EECB64A" w14:textId="77777777" w:rsidR="00A818AC" w:rsidRPr="00A818AC" w:rsidRDefault="00A818AC" w:rsidP="00A818AC">
      <w:pPr>
        <w:jc w:val="both"/>
      </w:pPr>
      <w:r w:rsidRPr="00A818AC">
        <w:t>In addition to the parking standards specified in Chapter 19.50, “Landscaping and Screening”, the following parking standards apply:</w:t>
      </w:r>
    </w:p>
    <w:p w14:paraId="3A1A2414" w14:textId="77777777" w:rsidR="00A818AC" w:rsidRPr="00A818AC" w:rsidRDefault="00A818AC">
      <w:pPr>
        <w:numPr>
          <w:ilvl w:val="0"/>
          <w:numId w:val="4"/>
        </w:numPr>
        <w:ind w:left="360"/>
        <w:jc w:val="both"/>
      </w:pPr>
      <w:r w:rsidRPr="00A818AC">
        <w:rPr>
          <w:u w:val="single"/>
        </w:rPr>
        <w:t>Physical Connections</w:t>
      </w:r>
      <w:r w:rsidRPr="00A818AC">
        <w:rPr>
          <w:i/>
          <w:iCs/>
        </w:rPr>
        <w:t>.</w:t>
      </w:r>
      <w:r w:rsidRPr="00A818AC">
        <w:t> Each lot shall have a system of pedestrian walkways and sidewalks that provide connections between the building entrances, neighboring building entrances, sidewalks, parking areas, open space, and public trails.</w:t>
      </w:r>
    </w:p>
    <w:p w14:paraId="17E6DC06" w14:textId="77777777" w:rsidR="00A818AC" w:rsidRPr="00A818AC" w:rsidRDefault="00A818AC">
      <w:pPr>
        <w:numPr>
          <w:ilvl w:val="0"/>
          <w:numId w:val="4"/>
        </w:numPr>
        <w:ind w:left="360"/>
        <w:jc w:val="both"/>
      </w:pPr>
      <w:r w:rsidRPr="00A818AC">
        <w:rPr>
          <w:u w:val="single"/>
        </w:rPr>
        <w:t>Minimum Landscaped Area</w:t>
      </w:r>
      <w:r w:rsidRPr="00A818AC">
        <w:rPr>
          <w:i/>
          <w:iCs/>
        </w:rPr>
        <w:t>.</w:t>
      </w:r>
      <w:r w:rsidRPr="00A818AC">
        <w:t> Thirteen percent (13%) of the area of each commercial site shall be developed as landscaped setbacks, courtyards, plazas, open space, or walkways.</w:t>
      </w:r>
    </w:p>
    <w:p w14:paraId="0E9393F8" w14:textId="77777777" w:rsidR="00A818AC" w:rsidRPr="00A818AC" w:rsidRDefault="00A818AC">
      <w:pPr>
        <w:numPr>
          <w:ilvl w:val="0"/>
          <w:numId w:val="4"/>
        </w:numPr>
        <w:ind w:left="360"/>
        <w:jc w:val="both"/>
      </w:pPr>
      <w:r w:rsidRPr="00A818AC">
        <w:rPr>
          <w:u w:val="single"/>
        </w:rPr>
        <w:t>Landscaped Setback from Edge of a Street or Drive</w:t>
      </w:r>
      <w:r w:rsidRPr="00A818AC">
        <w:rPr>
          <w:i/>
          <w:iCs/>
        </w:rPr>
        <w:t>.</w:t>
      </w:r>
      <w:r w:rsidRPr="00A818AC">
        <w:t xml:space="preserve"> The entirety of the required setback between a building or parking lot and a street or drive shall consist of landscaping, sidewalks, or a combination thereof. Courtyard or plaza areas shall be deemed to be a part of the front setback of the building. </w:t>
      </w:r>
    </w:p>
    <w:p w14:paraId="4EA05700" w14:textId="77777777" w:rsidR="00A818AC" w:rsidRPr="00A818AC" w:rsidRDefault="00A818AC">
      <w:pPr>
        <w:numPr>
          <w:ilvl w:val="0"/>
          <w:numId w:val="4"/>
        </w:numPr>
        <w:ind w:left="360"/>
        <w:jc w:val="both"/>
      </w:pPr>
      <w:r w:rsidRPr="00A818AC">
        <w:rPr>
          <w:u w:val="single"/>
        </w:rPr>
        <w:t>Prohibitions</w:t>
      </w:r>
      <w:r w:rsidRPr="00A818AC">
        <w:rPr>
          <w:i/>
          <w:iCs/>
        </w:rPr>
        <w:t>.</w:t>
      </w:r>
      <w:r w:rsidRPr="00A818AC">
        <w:t xml:space="preserve"> Maintenance buildings, trash collection and recycling areas, storage and service areas, mechanical equipment, and off-street loading areas are not permitted in the front setback of any building and shall be located behind the main building structure, or completely screened from public view.</w:t>
      </w:r>
    </w:p>
    <w:p w14:paraId="783686E5" w14:textId="77777777" w:rsidR="00A818AC" w:rsidRPr="00A818AC" w:rsidRDefault="00A818AC">
      <w:pPr>
        <w:numPr>
          <w:ilvl w:val="0"/>
          <w:numId w:val="4"/>
        </w:numPr>
        <w:ind w:left="360"/>
        <w:jc w:val="both"/>
      </w:pPr>
      <w:r w:rsidRPr="00A818AC">
        <w:rPr>
          <w:rFonts w:cstheme="minorHAnsi"/>
          <w:u w:val="single"/>
        </w:rPr>
        <w:t>Building Foundation Landscaping</w:t>
      </w:r>
      <w:r w:rsidRPr="00A818AC">
        <w:rPr>
          <w:rFonts w:cstheme="minorHAnsi"/>
          <w:i/>
          <w:iCs/>
        </w:rPr>
        <w:t>.</w:t>
      </w:r>
      <w:r w:rsidRPr="00A818AC">
        <w:rPr>
          <w:rFonts w:cstheme="minorHAnsi"/>
        </w:rPr>
        <w:t> The ground adjacent to the building foundation shall be landscaped if it is visible from public vantage points.</w:t>
      </w:r>
    </w:p>
    <w:p w14:paraId="5EE1EE9C" w14:textId="77777777" w:rsidR="00A818AC" w:rsidRPr="00A818AC" w:rsidRDefault="00A818AC">
      <w:pPr>
        <w:numPr>
          <w:ilvl w:val="0"/>
          <w:numId w:val="4"/>
        </w:numPr>
        <w:ind w:left="360"/>
        <w:jc w:val="both"/>
      </w:pPr>
      <w:r w:rsidRPr="00A818AC">
        <w:rPr>
          <w:rFonts w:cstheme="minorHAnsi"/>
          <w:u w:val="single"/>
        </w:rPr>
        <w:t>Residential Buffer</w:t>
      </w:r>
      <w:r w:rsidRPr="00A818AC">
        <w:rPr>
          <w:rFonts w:cstheme="minorHAnsi"/>
          <w:i/>
          <w:iCs/>
        </w:rPr>
        <w:t>.</w:t>
      </w:r>
      <w:r w:rsidRPr="00A818AC">
        <w:rPr>
          <w:rFonts w:cstheme="minorHAnsi"/>
        </w:rPr>
        <w:t> A landscaped buffer is required to separate residential uses from commercial and industrial uses.</w:t>
      </w:r>
    </w:p>
    <w:p w14:paraId="1C8BB469" w14:textId="77777777" w:rsidR="00A818AC" w:rsidRPr="00A818AC" w:rsidRDefault="00A818AC">
      <w:pPr>
        <w:numPr>
          <w:ilvl w:val="1"/>
          <w:numId w:val="4"/>
        </w:numPr>
        <w:ind w:left="720"/>
        <w:jc w:val="both"/>
      </w:pPr>
      <w:r w:rsidRPr="00A818AC">
        <w:rPr>
          <w:u w:val="single"/>
        </w:rPr>
        <w:t>Landscaped Buffer Area</w:t>
      </w:r>
      <w:r w:rsidRPr="00A818AC">
        <w:rPr>
          <w:i/>
          <w:iCs/>
        </w:rPr>
        <w:t>.</w:t>
      </w:r>
      <w:r w:rsidRPr="00A818AC">
        <w:t> The landscape buffer area must be a minimum of thirty feet wide to provide adequate screening, buffering, and separation of these uses. The landscape treatment should use a combination of distance and low-level screening to separate the uses to soften the visual impact of the commercial or industrial use. The thirty-foot (30’) buffer area may be shared between adjoining properties, upon adequate proof of reciprocal easements to preserve and maintain the buffer area. The landscaped buffer area shall include a minimum of one tree for every two hundred fifty square feet (250 sq. ft).</w:t>
      </w:r>
    </w:p>
    <w:p w14:paraId="3694DC8A" w14:textId="77777777" w:rsidR="00A818AC" w:rsidRPr="00A818AC" w:rsidRDefault="00A818AC">
      <w:pPr>
        <w:numPr>
          <w:ilvl w:val="1"/>
          <w:numId w:val="4"/>
        </w:numPr>
        <w:ind w:left="720"/>
        <w:jc w:val="both"/>
      </w:pPr>
      <w:r w:rsidRPr="00A818AC">
        <w:rPr>
          <w:u w:val="single"/>
        </w:rPr>
        <w:t>Fully Sight-Obscuring Fence</w:t>
      </w:r>
      <w:r w:rsidRPr="00A818AC">
        <w:rPr>
          <w:i/>
          <w:iCs/>
        </w:rPr>
        <w:t>.</w:t>
      </w:r>
      <w:r w:rsidRPr="00A818AC">
        <w:t> The Planning Commission shall require complete visual separation from residential uses if it determines that complete screening is necessary to protect abutting uses, and landscaping is not practical. Such fence must be a minimum of six feet (6’) high (up to eight feet (8’) if warranted and approved by the Planning Commission) and completely sight-obscuring. Fences may be of wood, metal, bricks, masonry, or other permanent materials.</w:t>
      </w:r>
    </w:p>
    <w:p w14:paraId="07DD5D0C" w14:textId="77777777" w:rsidR="00A818AC" w:rsidRPr="00A818AC" w:rsidRDefault="00A818AC" w:rsidP="00A818AC">
      <w:pPr>
        <w:outlineLvl w:val="1"/>
        <w:rPr>
          <w:b/>
          <w:bCs/>
        </w:rPr>
      </w:pPr>
      <w:bookmarkStart w:id="14" w:name="_Toc110265549"/>
      <w:bookmarkStart w:id="15" w:name="_Toc110339652"/>
      <w:r w:rsidRPr="00A818AC">
        <w:rPr>
          <w:b/>
          <w:bCs/>
        </w:rPr>
        <w:t>19.</w:t>
      </w:r>
      <w:r w:rsidRPr="00A818AC">
        <w:rPr>
          <w:b/>
          <w:bCs/>
          <w:highlight w:val="yellow"/>
        </w:rPr>
        <w:t>32</w:t>
      </w:r>
      <w:r w:rsidRPr="00A818AC">
        <w:rPr>
          <w:b/>
          <w:bCs/>
        </w:rPr>
        <w:t>.090 – Lighting.</w:t>
      </w:r>
      <w:bookmarkEnd w:id="14"/>
      <w:bookmarkEnd w:id="15"/>
    </w:p>
    <w:p w14:paraId="524750B4" w14:textId="77777777" w:rsidR="00A818AC" w:rsidRPr="00A818AC" w:rsidRDefault="00A818AC" w:rsidP="00A818AC">
      <w:pPr>
        <w:jc w:val="both"/>
        <w:textAlignment w:val="baseline"/>
        <w:rPr>
          <w:rFonts w:ascii="Calibri" w:eastAsia="Times New Roman" w:hAnsi="Calibri" w:cs="Calibri"/>
        </w:rPr>
      </w:pPr>
      <w:r w:rsidRPr="00A818AC">
        <w:rPr>
          <w:rFonts w:ascii="Calibri" w:eastAsia="Times New Roman" w:hAnsi="Calibri" w:cs="Calibri"/>
        </w:rPr>
        <w:t xml:space="preserve">Except for ordinary repairs and maintenance of lighting approved and installed after </w:t>
      </w:r>
      <w:r w:rsidRPr="00A818AC">
        <w:rPr>
          <w:rFonts w:ascii="Calibri" w:eastAsia="Times New Roman" w:hAnsi="Calibri" w:cs="Calibri"/>
          <w:highlight w:val="yellow"/>
        </w:rPr>
        <w:t>(The adoption of this ordinance),</w:t>
      </w:r>
      <w:r w:rsidRPr="00A818AC">
        <w:rPr>
          <w:rFonts w:ascii="Calibri" w:eastAsia="Times New Roman" w:hAnsi="Calibri" w:cs="Calibri"/>
        </w:rPr>
        <w:t xml:space="preserve"> all new development must comply with the following outdoor lighting standards:</w:t>
      </w:r>
    </w:p>
    <w:p w14:paraId="14EFDDD6" w14:textId="77777777" w:rsidR="00A818AC" w:rsidRPr="00A818AC" w:rsidRDefault="00A818AC" w:rsidP="00A818AC">
      <w:pPr>
        <w:ind w:left="360" w:hanging="360"/>
        <w:jc w:val="both"/>
        <w:textAlignment w:val="baseline"/>
        <w:rPr>
          <w:rFonts w:ascii="Calibri" w:eastAsia="Times New Roman" w:hAnsi="Calibri" w:cs="Calibri"/>
        </w:rPr>
      </w:pPr>
      <w:r w:rsidRPr="00A818AC">
        <w:rPr>
          <w:rFonts w:ascii="Calibri" w:eastAsia="Times New Roman" w:hAnsi="Calibri" w:cs="Calibri"/>
        </w:rPr>
        <w:t>A.</w:t>
      </w:r>
      <w:r w:rsidRPr="00A818AC">
        <w:tab/>
      </w:r>
      <w:r w:rsidRPr="00A818AC">
        <w:rPr>
          <w:rFonts w:ascii="Calibri" w:eastAsia="Times New Roman" w:hAnsi="Calibri" w:cs="Calibri"/>
          <w:u w:val="single"/>
        </w:rPr>
        <w:t>Light Source</w:t>
      </w:r>
      <w:r w:rsidRPr="00A818AC">
        <w:rPr>
          <w:rFonts w:ascii="Calibri" w:eastAsia="Times New Roman" w:hAnsi="Calibri" w:cs="Calibri"/>
          <w:i/>
          <w:iCs/>
        </w:rPr>
        <w:t>.</w:t>
      </w:r>
      <w:r w:rsidRPr="00A818AC">
        <w:rPr>
          <w:rFonts w:ascii="Calibri" w:eastAsia="Times New Roman" w:hAnsi="Calibri" w:cs="Calibri"/>
        </w:rPr>
        <w:t> Light sources shall be at least as efficient as LED and no greater than four thousand kelvins (4000K) in correlated color temperature (CCT). Light levels shall be designed such that light trespass measured at the property line does not exceed 0.01 foot-candles. Light fixtures shall use a cutoff luminaire that is fully or partially shielded with no light distributed above the horizontal plane of the luminaire or into nearby residential structures. In no case may the total lumens emitted for a single site exceed one hundred thousand (100,000) lumens per acre.</w:t>
      </w:r>
    </w:p>
    <w:p w14:paraId="511E296B" w14:textId="77777777" w:rsidR="00A818AC" w:rsidRPr="00A818AC" w:rsidRDefault="00A818AC" w:rsidP="00A818AC">
      <w:pPr>
        <w:ind w:left="360" w:hanging="360"/>
        <w:jc w:val="both"/>
        <w:textAlignment w:val="baseline"/>
        <w:rPr>
          <w:rFonts w:ascii="Calibri" w:eastAsia="Times New Roman" w:hAnsi="Calibri" w:cs="Calibri"/>
        </w:rPr>
      </w:pPr>
      <w:r w:rsidRPr="00A818AC">
        <w:rPr>
          <w:rFonts w:ascii="Calibri" w:eastAsia="Times New Roman" w:hAnsi="Calibri" w:cs="Calibri"/>
        </w:rPr>
        <w:t>B.</w:t>
      </w:r>
      <w:r w:rsidRPr="00A818AC">
        <w:rPr>
          <w:rFonts w:ascii="Calibri" w:eastAsia="Times New Roman" w:hAnsi="Calibri" w:cs="Calibri"/>
        </w:rPr>
        <w:tab/>
      </w:r>
      <w:r w:rsidRPr="00A818AC">
        <w:rPr>
          <w:rFonts w:ascii="Calibri" w:eastAsia="Times New Roman" w:hAnsi="Calibri" w:cs="Calibri"/>
          <w:u w:val="single"/>
        </w:rPr>
        <w:t>Parking Lot Lighting</w:t>
      </w:r>
      <w:r w:rsidRPr="00A818AC">
        <w:rPr>
          <w:rFonts w:ascii="Calibri" w:eastAsia="Times New Roman" w:hAnsi="Calibri" w:cs="Calibri"/>
          <w:i/>
          <w:iCs/>
        </w:rPr>
        <w:t>.</w:t>
      </w:r>
      <w:r w:rsidRPr="00A818AC">
        <w:rPr>
          <w:rFonts w:ascii="Calibri" w:eastAsia="Times New Roman" w:hAnsi="Calibri" w:cs="Calibri"/>
        </w:rPr>
        <w:t> Parking lot lighting shall be designed and constructed to comply with the following standards:</w:t>
      </w:r>
    </w:p>
    <w:p w14:paraId="0D27BD13" w14:textId="77777777" w:rsidR="00A818AC" w:rsidRPr="00A818AC" w:rsidRDefault="00A818AC" w:rsidP="00A818AC">
      <w:pPr>
        <w:ind w:left="720" w:hanging="360"/>
        <w:jc w:val="both"/>
        <w:textAlignment w:val="baseline"/>
        <w:rPr>
          <w:rFonts w:ascii="Calibri" w:eastAsia="Times New Roman" w:hAnsi="Calibri" w:cs="Calibri"/>
        </w:rPr>
      </w:pPr>
      <w:r w:rsidRPr="00A818AC">
        <w:rPr>
          <w:rFonts w:ascii="Calibri" w:eastAsia="Times New Roman" w:hAnsi="Calibri" w:cs="Calibri"/>
        </w:rPr>
        <w:t>1.</w:t>
      </w:r>
      <w:r w:rsidRPr="00A818AC">
        <w:rPr>
          <w:rFonts w:ascii="Calibri" w:eastAsia="Times New Roman" w:hAnsi="Calibri" w:cs="Calibri"/>
        </w:rPr>
        <w:t> </w:t>
      </w:r>
      <w:r w:rsidRPr="00A818AC">
        <w:rPr>
          <w:rFonts w:ascii="Calibri" w:eastAsia="Times New Roman" w:hAnsi="Calibri" w:cs="Calibri"/>
          <w:u w:val="single"/>
        </w:rPr>
        <w:t>Pole Height/Design</w:t>
      </w:r>
      <w:r w:rsidRPr="00A818AC">
        <w:rPr>
          <w:rFonts w:ascii="Calibri" w:eastAsia="Times New Roman" w:hAnsi="Calibri" w:cs="Calibri"/>
          <w:i/>
          <w:iCs/>
        </w:rPr>
        <w:t>.</w:t>
      </w:r>
    </w:p>
    <w:p w14:paraId="488D3527"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a.</w:t>
      </w:r>
      <w:r w:rsidRPr="00A818AC">
        <w:rPr>
          <w:rFonts w:ascii="Calibri" w:eastAsia="Times New Roman" w:hAnsi="Calibri" w:cs="Calibri"/>
        </w:rPr>
        <w:t> </w:t>
      </w:r>
      <w:r w:rsidRPr="00A818AC">
        <w:rPr>
          <w:rFonts w:ascii="Calibri" w:eastAsia="Times New Roman" w:hAnsi="Calibri" w:cs="Calibri"/>
        </w:rPr>
        <w:t>Luminaire mounting height is measured from the parking lot or driveway surface and may range from ten feet (10’) to thirty feet (30’), based on review of site plan, proposed uses, surrounding uses, parking area size, building mass, topography of site, and impacts on adjacent properties.</w:t>
      </w:r>
    </w:p>
    <w:p w14:paraId="6C3CFC4C"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b.</w:t>
      </w:r>
      <w:r w:rsidRPr="00A818AC">
        <w:rPr>
          <w:rFonts w:ascii="Calibri" w:eastAsia="Times New Roman" w:hAnsi="Calibri" w:cs="Calibri"/>
        </w:rPr>
        <w:t> </w:t>
      </w:r>
      <w:r w:rsidRPr="00A818AC">
        <w:rPr>
          <w:rFonts w:ascii="Calibri" w:eastAsia="Times New Roman" w:hAnsi="Calibri" w:cs="Calibri"/>
        </w:rPr>
        <w:t>Poles and fixtures shall be black, dark brown, or another neutral color approved by the Director or Designee.</w:t>
      </w:r>
    </w:p>
    <w:p w14:paraId="7AA7D55C"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c.</w:t>
      </w:r>
      <w:r w:rsidRPr="00A818AC">
        <w:rPr>
          <w:rFonts w:ascii="Calibri" w:eastAsia="Times New Roman" w:hAnsi="Calibri" w:cs="Calibri"/>
        </w:rPr>
        <w:t> </w:t>
      </w:r>
      <w:r w:rsidRPr="00A818AC">
        <w:rPr>
          <w:rFonts w:ascii="Calibri" w:eastAsia="Times New Roman" w:hAnsi="Calibri" w:cs="Calibri"/>
        </w:rPr>
        <w:t>All attempts shall be made to place the base of light poles within landscape areas.</w:t>
      </w:r>
    </w:p>
    <w:p w14:paraId="13B11E0A"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d.</w:t>
      </w:r>
      <w:r w:rsidRPr="00A818AC">
        <w:rPr>
          <w:rFonts w:ascii="Calibri" w:eastAsia="Times New Roman" w:hAnsi="Calibri" w:cs="Calibri"/>
        </w:rPr>
        <w:t> </w:t>
      </w:r>
      <w:r w:rsidRPr="00A818AC">
        <w:rPr>
          <w:rFonts w:ascii="Calibri" w:eastAsia="Times New Roman" w:hAnsi="Calibri" w:cs="Calibri"/>
        </w:rPr>
        <w:t>Light poles in parking areas may not exceed thirty feet (30’) in height. Poles exceeding twenty feet (20’) in height are appropriate only for parking areas exceeding two hundred (200) stalls and not within seventy-five feet (75’) of a residential zone.</w:t>
      </w:r>
    </w:p>
    <w:p w14:paraId="0CDA239A" w14:textId="77777777" w:rsidR="00A818AC" w:rsidRPr="00A818AC" w:rsidRDefault="00A818AC" w:rsidP="00A818AC">
      <w:pPr>
        <w:ind w:left="360" w:hanging="360"/>
        <w:jc w:val="both"/>
        <w:textAlignment w:val="baseline"/>
        <w:rPr>
          <w:rFonts w:ascii="Calibri" w:eastAsia="Times New Roman" w:hAnsi="Calibri" w:cs="Calibri"/>
        </w:rPr>
      </w:pPr>
      <w:r w:rsidRPr="00A818AC">
        <w:rPr>
          <w:rFonts w:ascii="Calibri" w:eastAsia="Times New Roman" w:hAnsi="Calibri" w:cs="Calibri"/>
        </w:rPr>
        <w:t>C.</w:t>
      </w:r>
      <w:r w:rsidRPr="00A818AC">
        <w:rPr>
          <w:rFonts w:ascii="Calibri" w:eastAsia="Times New Roman" w:hAnsi="Calibri" w:cs="Calibri"/>
        </w:rPr>
        <w:tab/>
      </w:r>
      <w:r w:rsidRPr="00A818AC">
        <w:rPr>
          <w:rFonts w:ascii="Calibri" w:eastAsia="Times New Roman" w:hAnsi="Calibri" w:cs="Calibri"/>
          <w:u w:val="single"/>
        </w:rPr>
        <w:t>Other Outdoor Lighting Standards</w:t>
      </w:r>
      <w:r w:rsidRPr="00A818AC">
        <w:rPr>
          <w:rFonts w:ascii="Calibri" w:eastAsia="Times New Roman" w:hAnsi="Calibri" w:cs="Calibri"/>
          <w:i/>
          <w:iCs/>
        </w:rPr>
        <w:t>.</w:t>
      </w:r>
    </w:p>
    <w:p w14:paraId="279486BD" w14:textId="77777777" w:rsidR="00A818AC" w:rsidRPr="00A818AC" w:rsidRDefault="00A818AC" w:rsidP="00A818AC">
      <w:pPr>
        <w:ind w:left="720" w:hanging="360"/>
        <w:jc w:val="both"/>
        <w:textAlignment w:val="baseline"/>
        <w:rPr>
          <w:rFonts w:ascii="Calibri" w:eastAsia="Times New Roman" w:hAnsi="Calibri" w:cs="Calibri"/>
        </w:rPr>
      </w:pPr>
      <w:r w:rsidRPr="00A818AC">
        <w:rPr>
          <w:rFonts w:ascii="Calibri" w:eastAsia="Times New Roman" w:hAnsi="Calibri" w:cs="Calibri"/>
        </w:rPr>
        <w:t>1.</w:t>
      </w:r>
      <w:r w:rsidRPr="00A818AC">
        <w:rPr>
          <w:rFonts w:ascii="Calibri" w:eastAsia="Times New Roman" w:hAnsi="Calibri" w:cs="Calibri"/>
        </w:rPr>
        <w:t> </w:t>
      </w:r>
      <w:r w:rsidRPr="00A818AC">
        <w:tab/>
      </w:r>
      <w:r w:rsidRPr="00A818AC">
        <w:rPr>
          <w:rFonts w:ascii="Calibri" w:eastAsia="Times New Roman" w:hAnsi="Calibri" w:cs="Calibri"/>
        </w:rPr>
        <w:t>Wall-mounted lighting fixtures may not be located above eighteen feet (18’) in height unless being used as building accent lighting. Fixture styles and finishes shall complement the building exterior.</w:t>
      </w:r>
    </w:p>
    <w:p w14:paraId="0801D88E" w14:textId="77777777" w:rsidR="00A818AC" w:rsidRPr="00A818AC" w:rsidRDefault="00A818AC" w:rsidP="00A818AC">
      <w:pPr>
        <w:ind w:left="720" w:hanging="360"/>
        <w:jc w:val="both"/>
        <w:textAlignment w:val="baseline"/>
        <w:rPr>
          <w:rFonts w:ascii="Calibri" w:eastAsia="Times New Roman" w:hAnsi="Calibri" w:cs="Calibri"/>
        </w:rPr>
      </w:pPr>
      <w:r w:rsidRPr="00A818AC">
        <w:rPr>
          <w:rFonts w:ascii="Calibri" w:eastAsia="Times New Roman" w:hAnsi="Calibri" w:cs="Calibri"/>
        </w:rPr>
        <w:t>2.</w:t>
      </w:r>
      <w:r w:rsidRPr="00A818AC">
        <w:rPr>
          <w:rFonts w:ascii="Calibri" w:eastAsia="Times New Roman" w:hAnsi="Calibri" w:cs="Calibri"/>
        </w:rPr>
        <w:t> </w:t>
      </w:r>
      <w:r w:rsidRPr="00A818AC">
        <w:tab/>
      </w:r>
      <w:r w:rsidRPr="00A818AC">
        <w:rPr>
          <w:rFonts w:ascii="Calibri" w:eastAsia="Times New Roman" w:hAnsi="Calibri" w:cs="Calibri"/>
        </w:rPr>
        <w:t>Lighting located along pedestrian pathways or in areas primarily dedicated to human activity shall be bollard style lighting or down-directed lighting not to exceed twelve feet (12’) in height. Pedestrian lighting shall be coordinated through each project and shall complement adjacent projects to the greatest extent practical.</w:t>
      </w:r>
    </w:p>
    <w:p w14:paraId="49DD7589" w14:textId="77777777" w:rsidR="00A818AC" w:rsidRPr="00A818AC" w:rsidRDefault="00A818AC" w:rsidP="00A818AC">
      <w:pPr>
        <w:ind w:left="720" w:hanging="360"/>
        <w:jc w:val="both"/>
        <w:textAlignment w:val="baseline"/>
        <w:rPr>
          <w:rFonts w:ascii="Calibri" w:eastAsia="Times New Roman" w:hAnsi="Calibri" w:cs="Calibri"/>
        </w:rPr>
      </w:pPr>
      <w:r w:rsidRPr="00A818AC">
        <w:rPr>
          <w:rFonts w:ascii="Calibri" w:eastAsia="Times New Roman" w:hAnsi="Calibri" w:cs="Calibri"/>
        </w:rPr>
        <w:t>3.</w:t>
      </w:r>
      <w:r w:rsidRPr="00A818AC">
        <w:rPr>
          <w:rFonts w:ascii="Calibri" w:eastAsia="Times New Roman" w:hAnsi="Calibri" w:cs="Calibri"/>
        </w:rPr>
        <w:t> </w:t>
      </w:r>
      <w:r w:rsidRPr="00A818AC">
        <w:rPr>
          <w:rFonts w:ascii="Calibri" w:eastAsia="Times New Roman" w:hAnsi="Calibri" w:cs="Calibri"/>
        </w:rPr>
        <w:tab/>
        <w:t>In order to avoid light pollution, backlit awnings, up-light spotlights, and floodlights are prohibited.</w:t>
      </w:r>
    </w:p>
    <w:p w14:paraId="4FF2DA37" w14:textId="77777777" w:rsidR="00A818AC" w:rsidRPr="00A818AC" w:rsidRDefault="00A818AC" w:rsidP="00A818AC">
      <w:pPr>
        <w:ind w:left="720" w:hanging="360"/>
        <w:jc w:val="both"/>
        <w:textAlignment w:val="baseline"/>
        <w:rPr>
          <w:rFonts w:ascii="Calibri" w:eastAsia="Times New Roman" w:hAnsi="Calibri" w:cs="Calibri"/>
        </w:rPr>
      </w:pPr>
      <w:r w:rsidRPr="00A818AC">
        <w:rPr>
          <w:rFonts w:ascii="Calibri" w:eastAsia="Times New Roman" w:hAnsi="Calibri" w:cs="Calibri"/>
        </w:rPr>
        <w:t>4.</w:t>
      </w:r>
      <w:r w:rsidRPr="00A818AC">
        <w:rPr>
          <w:rFonts w:ascii="Calibri" w:eastAsia="Times New Roman" w:hAnsi="Calibri" w:cs="Calibri"/>
        </w:rPr>
        <w:t> </w:t>
      </w:r>
      <w:r w:rsidRPr="00A818AC">
        <w:rPr>
          <w:rFonts w:ascii="Calibri" w:eastAsia="Times New Roman" w:hAnsi="Calibri" w:cs="Calibri"/>
        </w:rPr>
        <w:tab/>
        <w:t>Street lighting shall either be chosen from the city’s approved streetlight list or installed to match a theme set by developments within the zone or neighborhood.</w:t>
      </w:r>
    </w:p>
    <w:p w14:paraId="32AA5AD4" w14:textId="77777777" w:rsidR="00A818AC" w:rsidRPr="00A818AC" w:rsidRDefault="00A818AC" w:rsidP="00A818AC">
      <w:pPr>
        <w:ind w:left="720" w:hanging="360"/>
        <w:jc w:val="both"/>
        <w:textAlignment w:val="baseline"/>
        <w:rPr>
          <w:rFonts w:ascii="Calibri" w:eastAsia="Times New Roman" w:hAnsi="Calibri" w:cs="Calibri"/>
        </w:rPr>
      </w:pPr>
      <w:r w:rsidRPr="00A818AC">
        <w:rPr>
          <w:rFonts w:ascii="Calibri" w:eastAsia="Times New Roman" w:hAnsi="Calibri" w:cs="Calibri"/>
        </w:rPr>
        <w:t>5.</w:t>
      </w:r>
      <w:r w:rsidRPr="00A818AC">
        <w:rPr>
          <w:rFonts w:ascii="Calibri" w:eastAsia="Times New Roman" w:hAnsi="Calibri" w:cs="Calibri"/>
        </w:rPr>
        <w:t> </w:t>
      </w:r>
      <w:r w:rsidRPr="00A818AC">
        <w:tab/>
      </w:r>
      <w:r w:rsidRPr="00A818AC">
        <w:rPr>
          <w:rFonts w:ascii="Calibri" w:eastAsia="Times New Roman" w:hAnsi="Calibri" w:cs="Calibri"/>
        </w:rPr>
        <w:t>Lighting for outdoor athletic facilities may be mounted on a roof or wall at a height above the typical eighteen-foot (18’) maximum, provided it is demonstrated by the applicant. through submittal of appropriate documentation and light studies, that the facility cannot otherwise be properly lighted. This lighting shall comply with the following requirements:</w:t>
      </w:r>
    </w:p>
    <w:p w14:paraId="4C6B519A"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a.   Light fixtures and necessary supports may not extend more than four feet (4’) above the roof line;</w:t>
      </w:r>
    </w:p>
    <w:p w14:paraId="4C2671F0"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b.   Light fixtures shall include appropriate shields to ensure no light trespass off the site;</w:t>
      </w:r>
    </w:p>
    <w:p w14:paraId="79EDDABA"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c.   Light fixtures shall include appropriate shields and louvers to minimize, to the greatest extent possible, any point source light pollution;</w:t>
      </w:r>
    </w:p>
    <w:p w14:paraId="34ED09E8"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d.   Light fixtures and supports shall be painted to blend with the color scheme of the structure to which they are mounted;</w:t>
      </w:r>
    </w:p>
    <w:p w14:paraId="04A1D856"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e.   Light fixtures shall be dimmable to address any possible unforeseen light impacts once they are constructed and operable; and</w:t>
      </w:r>
    </w:p>
    <w:p w14:paraId="4FF5008E" w14:textId="77777777" w:rsidR="00A818AC" w:rsidRPr="00A818AC" w:rsidRDefault="00A818AC" w:rsidP="00A818AC">
      <w:pPr>
        <w:ind w:left="1080" w:hanging="360"/>
        <w:jc w:val="both"/>
        <w:textAlignment w:val="baseline"/>
        <w:rPr>
          <w:rFonts w:ascii="Calibri" w:eastAsia="Times New Roman" w:hAnsi="Calibri" w:cs="Calibri"/>
        </w:rPr>
      </w:pPr>
      <w:r w:rsidRPr="00A818AC">
        <w:rPr>
          <w:rFonts w:ascii="Calibri" w:eastAsia="Times New Roman" w:hAnsi="Calibri" w:cs="Calibri"/>
        </w:rPr>
        <w:t>f.   The Planning Commission shall review the hours of light usage and shall approve an appropriate usage schedule depending on the specific situation and impacts on the surrounding area.</w:t>
      </w:r>
    </w:p>
    <w:p w14:paraId="052332F6" w14:textId="77777777" w:rsidR="00A818AC" w:rsidRPr="00A818AC" w:rsidRDefault="00A818AC" w:rsidP="00A818AC">
      <w:pPr>
        <w:ind w:left="360" w:hanging="360"/>
        <w:jc w:val="both"/>
        <w:textAlignment w:val="baseline"/>
        <w:rPr>
          <w:rFonts w:ascii="Calibri" w:eastAsia="Times New Roman" w:hAnsi="Calibri" w:cs="Calibri"/>
        </w:rPr>
      </w:pPr>
      <w:r w:rsidRPr="00A818AC">
        <w:rPr>
          <w:rFonts w:ascii="Calibri" w:eastAsia="Times New Roman" w:hAnsi="Calibri" w:cs="Calibri"/>
        </w:rPr>
        <w:t>D.</w:t>
      </w:r>
      <w:r w:rsidRPr="00A818AC">
        <w:tab/>
      </w:r>
      <w:r w:rsidRPr="00A818AC">
        <w:rPr>
          <w:rFonts w:ascii="Calibri" w:eastAsia="Times New Roman" w:hAnsi="Calibri" w:cs="Calibri"/>
          <w:u w:val="single"/>
        </w:rPr>
        <w:t>Upgrading Preexisting Lighting</w:t>
      </w:r>
      <w:r w:rsidRPr="00A818AC">
        <w:rPr>
          <w:rFonts w:ascii="Calibri" w:eastAsia="Times New Roman" w:hAnsi="Calibri" w:cs="Calibri"/>
          <w:i/>
          <w:iCs/>
        </w:rPr>
        <w:t>.</w:t>
      </w:r>
      <w:r w:rsidRPr="00A818AC">
        <w:rPr>
          <w:rFonts w:ascii="Calibri" w:eastAsia="Times New Roman" w:hAnsi="Calibri" w:cs="Calibri"/>
        </w:rPr>
        <w:t> An applicant shall bring preexisting lighting into compliance with this code upon application with the business license department for a change in ownership, new business in a stand-alone structure or a multi-tenant structure in which the new business utilizes more than fifty percent (50%) of the building square footage on the site, in conjunction with an application for a building permit for any alteration, remodel or expansion of any structure on the site, or in conjunction with changes to the approved site plan.</w:t>
      </w:r>
    </w:p>
    <w:p w14:paraId="3266C602" w14:textId="77777777" w:rsidR="00A818AC" w:rsidRPr="00A818AC" w:rsidRDefault="00A818AC" w:rsidP="00A818AC">
      <w:pPr>
        <w:ind w:left="360" w:hanging="360"/>
        <w:jc w:val="both"/>
        <w:textAlignment w:val="baseline"/>
        <w:rPr>
          <w:rFonts w:ascii="Calibri" w:eastAsia="Times New Roman" w:hAnsi="Calibri" w:cs="Calibri"/>
        </w:rPr>
      </w:pPr>
      <w:r w:rsidRPr="00A818AC">
        <w:rPr>
          <w:rFonts w:ascii="Calibri" w:eastAsia="Times New Roman" w:hAnsi="Calibri" w:cs="Calibri"/>
        </w:rPr>
        <w:t>E.</w:t>
      </w:r>
      <w:r w:rsidRPr="00A818AC">
        <w:rPr>
          <w:rFonts w:ascii="Calibri" w:eastAsia="Times New Roman" w:hAnsi="Calibri" w:cs="Calibri"/>
        </w:rPr>
        <w:tab/>
      </w:r>
      <w:r w:rsidRPr="00A818AC">
        <w:rPr>
          <w:rFonts w:ascii="Calibri" w:eastAsia="Times New Roman" w:hAnsi="Calibri" w:cs="Calibri"/>
          <w:u w:val="single"/>
        </w:rPr>
        <w:t>Lighting Plan Submission Requirements</w:t>
      </w:r>
      <w:r w:rsidRPr="00A818AC">
        <w:rPr>
          <w:rFonts w:ascii="Calibri" w:eastAsia="Times New Roman" w:hAnsi="Calibri" w:cs="Calibri"/>
          <w:i/>
          <w:iCs/>
        </w:rPr>
        <w:t>.</w:t>
      </w:r>
      <w:r w:rsidRPr="00A818AC">
        <w:rPr>
          <w:rFonts w:ascii="Calibri" w:eastAsia="Times New Roman" w:hAnsi="Calibri" w:cs="Calibri"/>
        </w:rPr>
        <w:t> A lighting plan is required for all developments and shall contain the following:</w:t>
      </w:r>
    </w:p>
    <w:p w14:paraId="2BC70EDF" w14:textId="77777777" w:rsidR="00A818AC" w:rsidRPr="00A818AC" w:rsidRDefault="00A818AC">
      <w:pPr>
        <w:numPr>
          <w:ilvl w:val="0"/>
          <w:numId w:val="37"/>
        </w:numPr>
        <w:spacing w:after="120"/>
        <w:jc w:val="both"/>
        <w:textAlignment w:val="baseline"/>
        <w:rPr>
          <w:rFonts w:ascii="Calibri" w:eastAsia="Times New Roman" w:hAnsi="Calibri" w:cs="Calibri"/>
        </w:rPr>
      </w:pPr>
      <w:r w:rsidRPr="00A818AC">
        <w:rPr>
          <w:rFonts w:ascii="Calibri" w:eastAsia="Times New Roman" w:hAnsi="Calibri" w:cs="Calibri"/>
        </w:rPr>
        <w:t>Plans indicating the location on the premises and the type of illumination devices, fixtures, lamps, supports, reflectors, installation and electrical details;</w:t>
      </w:r>
    </w:p>
    <w:p w14:paraId="0E925A2E" w14:textId="77777777" w:rsidR="00A818AC" w:rsidRPr="00A818AC" w:rsidRDefault="00A818AC">
      <w:pPr>
        <w:numPr>
          <w:ilvl w:val="0"/>
          <w:numId w:val="37"/>
        </w:numPr>
        <w:spacing w:after="120"/>
        <w:jc w:val="both"/>
        <w:textAlignment w:val="baseline"/>
        <w:rPr>
          <w:rFonts w:ascii="Calibri" w:eastAsia="Times New Roman" w:hAnsi="Calibri" w:cs="Calibri"/>
        </w:rPr>
      </w:pPr>
      <w:r w:rsidRPr="00A818AC">
        <w:rPr>
          <w:rFonts w:ascii="Calibri" w:eastAsia="Times New Roman" w:hAnsi="Calibri" w:cs="Calibri"/>
        </w:rPr>
        <w:t xml:space="preserve">Description of illuminating devices, fixtures, lamps, supports, reflectors, and other devices that may include manufacturer catalog cuts and drawings, including a section where required; </w:t>
      </w:r>
    </w:p>
    <w:p w14:paraId="1F9A5009" w14:textId="77777777" w:rsidR="00A818AC" w:rsidRPr="00A818AC" w:rsidRDefault="00A818AC">
      <w:pPr>
        <w:numPr>
          <w:ilvl w:val="0"/>
          <w:numId w:val="37"/>
        </w:numPr>
        <w:spacing w:after="120"/>
        <w:jc w:val="both"/>
        <w:textAlignment w:val="baseline"/>
        <w:rPr>
          <w:rFonts w:ascii="Calibri" w:eastAsia="Times New Roman" w:hAnsi="Calibri" w:cs="Calibri"/>
        </w:rPr>
      </w:pPr>
      <w:r w:rsidRPr="00A818AC">
        <w:rPr>
          <w:rFonts w:ascii="Calibri" w:eastAsia="Times New Roman" w:hAnsi="Calibri" w:cs="Calibri"/>
        </w:rPr>
        <w:t>Photometric data, such as that furnished by manufacturers, or similar showing the angle of the cutoff or light emission; and</w:t>
      </w:r>
    </w:p>
    <w:p w14:paraId="7DFD1B05" w14:textId="77777777" w:rsidR="00A818AC" w:rsidRPr="00A818AC" w:rsidRDefault="00A818AC">
      <w:pPr>
        <w:numPr>
          <w:ilvl w:val="0"/>
          <w:numId w:val="37"/>
        </w:numPr>
        <w:spacing w:after="120"/>
        <w:jc w:val="both"/>
        <w:textAlignment w:val="baseline"/>
        <w:rPr>
          <w:rFonts w:ascii="Calibri" w:eastAsia="Times New Roman" w:hAnsi="Calibri" w:cs="Calibri"/>
        </w:rPr>
      </w:pPr>
      <w:r w:rsidRPr="00A818AC">
        <w:rPr>
          <w:rFonts w:ascii="Calibri" w:eastAsia="Times New Roman" w:hAnsi="Calibri" w:cs="Calibri"/>
        </w:rPr>
        <w:t>A point-by-point light plan to determine the adequacy of the lighting over the site.</w:t>
      </w:r>
    </w:p>
    <w:p w14:paraId="72028008" w14:textId="77777777" w:rsidR="00A818AC" w:rsidRPr="00A818AC" w:rsidRDefault="00A818AC" w:rsidP="00A818AC">
      <w:pPr>
        <w:outlineLvl w:val="1"/>
        <w:rPr>
          <w:rFonts w:ascii="Segoe UI" w:hAnsi="Segoe UI" w:cs="Segoe UI"/>
          <w:b/>
          <w:bCs/>
          <w:sz w:val="18"/>
          <w:szCs w:val="18"/>
        </w:rPr>
      </w:pPr>
      <w:bookmarkStart w:id="16" w:name="_Toc110265550"/>
      <w:bookmarkStart w:id="17" w:name="_Toc110339653"/>
      <w:r w:rsidRPr="00A818AC">
        <w:rPr>
          <w:b/>
          <w:bCs/>
        </w:rPr>
        <w:t>19.</w:t>
      </w:r>
      <w:r w:rsidRPr="00A818AC">
        <w:rPr>
          <w:b/>
          <w:bCs/>
          <w:highlight w:val="yellow"/>
        </w:rPr>
        <w:t>32</w:t>
      </w:r>
      <w:r w:rsidRPr="00A818AC">
        <w:rPr>
          <w:b/>
          <w:bCs/>
        </w:rPr>
        <w:t>.100 – Fences Hedges and Walls.</w:t>
      </w:r>
      <w:bookmarkEnd w:id="16"/>
      <w:bookmarkEnd w:id="17"/>
      <w:r w:rsidRPr="00A818AC">
        <w:rPr>
          <w:b/>
          <w:bCs/>
        </w:rPr>
        <w:t> </w:t>
      </w:r>
    </w:p>
    <w:p w14:paraId="64F69E6D" w14:textId="77777777" w:rsidR="00A818AC" w:rsidRPr="00A818AC" w:rsidRDefault="00A818AC" w:rsidP="00A818AC">
      <w:pPr>
        <w:shd w:val="clear" w:color="auto" w:fill="FFFFFF" w:themeFill="background1"/>
        <w:jc w:val="both"/>
        <w:rPr>
          <w:rFonts w:eastAsia="Times New Roman"/>
          <w:color w:val="222222"/>
        </w:rPr>
      </w:pPr>
      <w:r w:rsidRPr="00A818AC">
        <w:rPr>
          <w:rFonts w:eastAsia="Times New Roman"/>
          <w:color w:val="222222"/>
        </w:rPr>
        <w:t>The following standards apply to new development of fences, hedges, and walls:</w:t>
      </w:r>
    </w:p>
    <w:p w14:paraId="6428AE9C" w14:textId="77777777" w:rsidR="00A818AC" w:rsidRPr="00A818AC" w:rsidRDefault="00A818AC" w:rsidP="00A818AC">
      <w:pPr>
        <w:ind w:left="360" w:hanging="360"/>
        <w:jc w:val="both"/>
        <w:rPr>
          <w:rFonts w:eastAsia="Times New Roman"/>
        </w:rPr>
      </w:pPr>
      <w:r w:rsidRPr="00A818AC">
        <w:rPr>
          <w:rFonts w:eastAsia="Times New Roman"/>
        </w:rPr>
        <w:t>A.</w:t>
      </w:r>
      <w:r w:rsidRPr="00A818AC">
        <w:rPr>
          <w:rFonts w:eastAsia="Times New Roman"/>
        </w:rPr>
        <w:t> </w:t>
      </w:r>
      <w:r w:rsidRPr="00A818AC">
        <w:tab/>
      </w:r>
      <w:r w:rsidRPr="00A818AC">
        <w:rPr>
          <w:rFonts w:eastAsia="Times New Roman"/>
          <w:u w:val="single"/>
        </w:rPr>
        <w:t>Required Setbacks</w:t>
      </w:r>
      <w:r w:rsidRPr="00A818AC">
        <w:rPr>
          <w:rFonts w:eastAsia="Times New Roman"/>
          <w:i/>
          <w:iCs/>
        </w:rPr>
        <w:t>.</w:t>
      </w:r>
      <w:r w:rsidRPr="00A818AC">
        <w:rPr>
          <w:rFonts w:eastAsia="Times New Roman"/>
        </w:rPr>
        <w:t> A fence, hedge, wall, column, pier, post, or any similar structure or any combination of such structures is permitted in the required setback of a zone if it meets the following conditions:</w:t>
      </w:r>
    </w:p>
    <w:p w14:paraId="07BF8FE9" w14:textId="77777777" w:rsidR="00A818AC" w:rsidRPr="00A818AC" w:rsidRDefault="00A818AC" w:rsidP="00A818AC">
      <w:pPr>
        <w:ind w:left="720" w:hanging="360"/>
        <w:jc w:val="both"/>
        <w:rPr>
          <w:rFonts w:eastAsia="Times New Roman"/>
        </w:rPr>
      </w:pPr>
      <w:r w:rsidRPr="00A818AC">
        <w:rPr>
          <w:rFonts w:eastAsia="Times New Roman"/>
        </w:rPr>
        <w:t>1.</w:t>
      </w:r>
      <w:r w:rsidRPr="00A818AC">
        <w:rPr>
          <w:rFonts w:eastAsia="Times New Roman"/>
        </w:rPr>
        <w:t> </w:t>
      </w:r>
      <w:r w:rsidRPr="00A818AC">
        <w:tab/>
      </w:r>
      <w:r w:rsidRPr="00A818AC">
        <w:rPr>
          <w:rFonts w:eastAsia="Times New Roman"/>
        </w:rPr>
        <w:t>No fence, hedge, or wall extends beyond or across a property line without a recorded agreement with the abutting property owner;</w:t>
      </w:r>
    </w:p>
    <w:p w14:paraId="5B008D13" w14:textId="77777777" w:rsidR="00A818AC" w:rsidRPr="00A818AC" w:rsidRDefault="00A818AC" w:rsidP="00A818AC">
      <w:pPr>
        <w:ind w:left="720" w:hanging="360"/>
        <w:jc w:val="both"/>
        <w:rPr>
          <w:rFonts w:eastAsia="Times New Roman"/>
        </w:rPr>
      </w:pPr>
      <w:r w:rsidRPr="00A818AC">
        <w:rPr>
          <w:rFonts w:eastAsia="Times New Roman"/>
        </w:rPr>
        <w:t>2.</w:t>
      </w:r>
      <w:r w:rsidRPr="00A818AC">
        <w:rPr>
          <w:rFonts w:eastAsia="Times New Roman"/>
        </w:rPr>
        <w:t> </w:t>
      </w:r>
      <w:r w:rsidRPr="00A818AC">
        <w:tab/>
      </w:r>
      <w:r w:rsidRPr="00A818AC">
        <w:rPr>
          <w:rFonts w:eastAsia="Times New Roman"/>
        </w:rPr>
        <w:t>Only one fence or wall is allowed per property line. Double fences, walls or combination thereof are prohibited; and</w:t>
      </w:r>
    </w:p>
    <w:p w14:paraId="3F30EAEB" w14:textId="77777777" w:rsidR="00A818AC" w:rsidRPr="00A818AC" w:rsidRDefault="00A818AC" w:rsidP="00A818AC">
      <w:pPr>
        <w:ind w:left="720" w:hanging="360"/>
        <w:jc w:val="both"/>
        <w:rPr>
          <w:rFonts w:eastAsia="Times New Roman"/>
        </w:rPr>
      </w:pPr>
      <w:r w:rsidRPr="00A818AC">
        <w:rPr>
          <w:rFonts w:eastAsia="Times New Roman"/>
        </w:rPr>
        <w:t>3.</w:t>
      </w:r>
      <w:r w:rsidRPr="00A818AC">
        <w:rPr>
          <w:rFonts w:eastAsia="Times New Roman"/>
        </w:rPr>
        <w:t> </w:t>
      </w:r>
      <w:r w:rsidRPr="00A818AC">
        <w:tab/>
      </w:r>
      <w:r w:rsidRPr="00A818AC">
        <w:rPr>
          <w:rFonts w:eastAsia="Times New Roman"/>
        </w:rPr>
        <w:t>No barbed wire or other sharp, pointed, or electrically charged fence may be erected or maintained, except a temporary fence on a construction site to protect the property during the period of construction may be topped with barbed wire where the barbed wire is not less than eight feet (8’) above the ground and does not extend more than two feet (2’) above the temporary fence.</w:t>
      </w:r>
    </w:p>
    <w:p w14:paraId="52B10B1E" w14:textId="77777777" w:rsidR="00A818AC" w:rsidRPr="00A818AC" w:rsidRDefault="00A818AC" w:rsidP="00A818AC">
      <w:pPr>
        <w:ind w:left="360" w:hanging="360"/>
        <w:jc w:val="both"/>
        <w:rPr>
          <w:rFonts w:eastAsia="Times New Roman"/>
        </w:rPr>
      </w:pPr>
      <w:r w:rsidRPr="00A818AC">
        <w:rPr>
          <w:rFonts w:eastAsia="Times New Roman"/>
        </w:rPr>
        <w:t>B.</w:t>
      </w:r>
      <w:r w:rsidRPr="00A818AC">
        <w:rPr>
          <w:rFonts w:eastAsia="Times New Roman"/>
        </w:rPr>
        <w:t> </w:t>
      </w:r>
      <w:r w:rsidRPr="00A818AC">
        <w:tab/>
      </w:r>
      <w:r w:rsidRPr="00A818AC">
        <w:rPr>
          <w:rFonts w:eastAsia="Times New Roman"/>
          <w:u w:val="single"/>
        </w:rPr>
        <w:t>Height</w:t>
      </w:r>
      <w:r w:rsidRPr="00A818AC">
        <w:rPr>
          <w:rFonts w:eastAsia="Times New Roman"/>
          <w:i/>
          <w:iCs/>
        </w:rPr>
        <w:t>.</w:t>
      </w:r>
      <w:r w:rsidRPr="00A818AC">
        <w:rPr>
          <w:rFonts w:eastAsia="Times New Roman"/>
        </w:rPr>
        <w:t> No fence or wall may exceed seven feet (7’) in height, four feet (4’) in height from the front of the primary structure forward, or three feet (3’) in the sight distance triangle, measured as follows:</w:t>
      </w:r>
    </w:p>
    <w:p w14:paraId="6D045E41" w14:textId="77777777" w:rsidR="00A818AC" w:rsidRPr="00A818AC" w:rsidRDefault="00A818AC" w:rsidP="00A818AC">
      <w:pPr>
        <w:ind w:left="720" w:hanging="360"/>
        <w:jc w:val="both"/>
        <w:rPr>
          <w:rFonts w:eastAsia="Times New Roman"/>
        </w:rPr>
      </w:pPr>
      <w:r w:rsidRPr="00A818AC">
        <w:rPr>
          <w:rFonts w:eastAsia="Times New Roman"/>
        </w:rPr>
        <w:t>1.</w:t>
      </w:r>
      <w:r w:rsidRPr="00A818AC">
        <w:rPr>
          <w:rFonts w:eastAsia="Times New Roman"/>
        </w:rPr>
        <w:t> </w:t>
      </w:r>
      <w:r w:rsidRPr="00A818AC">
        <w:tab/>
      </w:r>
      <w:r w:rsidRPr="00A818AC">
        <w:rPr>
          <w:rFonts w:eastAsia="Times New Roman"/>
        </w:rPr>
        <w:t>In a required yard abutting a street, the total effective height above the finished grade measured on the side nearest the street;</w:t>
      </w:r>
    </w:p>
    <w:p w14:paraId="5BA0D414" w14:textId="77777777" w:rsidR="00A818AC" w:rsidRPr="00A818AC" w:rsidRDefault="00A818AC" w:rsidP="00A818AC">
      <w:pPr>
        <w:ind w:left="720" w:hanging="360"/>
        <w:jc w:val="both"/>
        <w:rPr>
          <w:rFonts w:eastAsia="Times New Roman"/>
        </w:rPr>
      </w:pPr>
      <w:r w:rsidRPr="00A818AC">
        <w:rPr>
          <w:rFonts w:eastAsia="Times New Roman"/>
        </w:rPr>
        <w:t>2.</w:t>
      </w:r>
      <w:r w:rsidRPr="00A818AC">
        <w:rPr>
          <w:rFonts w:eastAsia="Times New Roman"/>
        </w:rPr>
        <w:t> </w:t>
      </w:r>
      <w:r w:rsidRPr="00A818AC">
        <w:tab/>
      </w:r>
      <w:r w:rsidRPr="00A818AC">
        <w:rPr>
          <w:rFonts w:eastAsia="Times New Roman"/>
        </w:rPr>
        <w:t>In any other required yard, the total effective height above the finished grade measured on the side nearest the abutting property;</w:t>
      </w:r>
    </w:p>
    <w:p w14:paraId="43F4F5D5" w14:textId="77777777" w:rsidR="00A818AC" w:rsidRPr="00A818AC" w:rsidRDefault="00A818AC" w:rsidP="00A818AC">
      <w:pPr>
        <w:ind w:left="720" w:hanging="360"/>
        <w:jc w:val="both"/>
        <w:rPr>
          <w:rFonts w:eastAsia="Times New Roman"/>
        </w:rPr>
      </w:pPr>
      <w:r w:rsidRPr="00A818AC">
        <w:rPr>
          <w:rFonts w:eastAsia="Times New Roman"/>
        </w:rPr>
        <w:t>3.</w:t>
      </w:r>
      <w:r w:rsidRPr="00A818AC">
        <w:rPr>
          <w:rFonts w:eastAsia="Times New Roman"/>
        </w:rPr>
        <w:t> </w:t>
      </w:r>
      <w:r w:rsidRPr="00A818AC">
        <w:tab/>
      </w:r>
      <w:r w:rsidRPr="00A818AC">
        <w:rPr>
          <w:rFonts w:eastAsia="Times New Roman"/>
        </w:rPr>
        <w:t>On a property line, measured from the finished grade of either side when the abutting property owners are in agreement; and</w:t>
      </w:r>
    </w:p>
    <w:p w14:paraId="2787BBCE" w14:textId="77777777" w:rsidR="00A818AC" w:rsidRPr="00A818AC" w:rsidRDefault="00A818AC" w:rsidP="00A818AC">
      <w:pPr>
        <w:ind w:left="720" w:hanging="360"/>
        <w:jc w:val="both"/>
        <w:rPr>
          <w:rFonts w:eastAsia="Times New Roman"/>
        </w:rPr>
      </w:pPr>
      <w:r w:rsidRPr="00A818AC">
        <w:rPr>
          <w:rFonts w:eastAsia="Times New Roman"/>
        </w:rPr>
        <w:t>4.</w:t>
      </w:r>
      <w:r w:rsidRPr="00A818AC">
        <w:rPr>
          <w:rFonts w:eastAsia="Times New Roman"/>
        </w:rPr>
        <w:t> </w:t>
      </w:r>
      <w:r w:rsidRPr="00A818AC">
        <w:tab/>
      </w:r>
      <w:r w:rsidRPr="00A818AC">
        <w:rPr>
          <w:rFonts w:eastAsia="Times New Roman"/>
        </w:rPr>
        <w:t>A temporary fence on a construction site may be as high as required to protect the property during the period of construction.</w:t>
      </w:r>
    </w:p>
    <w:p w14:paraId="1D3C95FF" w14:textId="77777777" w:rsidR="00A818AC" w:rsidRPr="00A818AC" w:rsidRDefault="00A818AC" w:rsidP="00A818AC">
      <w:pPr>
        <w:ind w:left="360" w:hanging="360"/>
        <w:jc w:val="both"/>
        <w:rPr>
          <w:rFonts w:eastAsia="Times New Roman"/>
        </w:rPr>
      </w:pPr>
      <w:r w:rsidRPr="00A818AC">
        <w:rPr>
          <w:rFonts w:eastAsia="Times New Roman"/>
        </w:rPr>
        <w:t>C.</w:t>
      </w:r>
      <w:r w:rsidRPr="00A818AC">
        <w:rPr>
          <w:rFonts w:eastAsia="Times New Roman"/>
        </w:rPr>
        <w:t> </w:t>
      </w:r>
      <w:r w:rsidRPr="00A818AC">
        <w:tab/>
      </w:r>
      <w:r w:rsidRPr="00A818AC">
        <w:rPr>
          <w:rFonts w:eastAsia="Times New Roman"/>
          <w:u w:val="single"/>
        </w:rPr>
        <w:t>Athletic Facilities</w:t>
      </w:r>
      <w:r w:rsidRPr="00A818AC">
        <w:rPr>
          <w:rFonts w:eastAsia="Times New Roman"/>
          <w:i/>
          <w:iCs/>
        </w:rPr>
        <w:t>.</w:t>
      </w:r>
      <w:r w:rsidRPr="00A818AC">
        <w:rPr>
          <w:rFonts w:eastAsia="Times New Roman"/>
        </w:rPr>
        <w:t> Fencing around athletic facilities, including, without limitation, tennis courts, may be fourteen feet (14’) in height so long as all portions above six feet (6’) are constructed with at least fifty percent nonopaque materials.</w:t>
      </w:r>
    </w:p>
    <w:p w14:paraId="3853080B" w14:textId="77777777" w:rsidR="00A818AC" w:rsidRPr="00A818AC" w:rsidRDefault="00A818AC" w:rsidP="00A818AC">
      <w:pPr>
        <w:outlineLvl w:val="1"/>
        <w:rPr>
          <w:rFonts w:ascii="Segoe UI" w:hAnsi="Segoe UI" w:cs="Segoe UI"/>
          <w:b/>
          <w:bCs/>
          <w:sz w:val="18"/>
          <w:szCs w:val="18"/>
        </w:rPr>
      </w:pPr>
      <w:bookmarkStart w:id="18" w:name="_Toc110265551"/>
      <w:bookmarkStart w:id="19" w:name="_Toc110339654"/>
      <w:r w:rsidRPr="00A818AC">
        <w:rPr>
          <w:b/>
          <w:bCs/>
        </w:rPr>
        <w:t>19.</w:t>
      </w:r>
      <w:r w:rsidRPr="00A818AC">
        <w:rPr>
          <w:b/>
          <w:bCs/>
          <w:highlight w:val="yellow"/>
        </w:rPr>
        <w:t>32</w:t>
      </w:r>
      <w:r w:rsidRPr="00A818AC">
        <w:rPr>
          <w:b/>
          <w:bCs/>
        </w:rPr>
        <w:t>.110 – General Information.</w:t>
      </w:r>
      <w:bookmarkEnd w:id="18"/>
      <w:bookmarkEnd w:id="19"/>
      <w:r w:rsidRPr="00A818AC">
        <w:rPr>
          <w:b/>
          <w:bCs/>
        </w:rPr>
        <w:t> </w:t>
      </w:r>
    </w:p>
    <w:p w14:paraId="64684E82" w14:textId="77777777" w:rsidR="00A818AC" w:rsidRPr="00A818AC" w:rsidRDefault="00A818AC" w:rsidP="00A818AC">
      <w:pPr>
        <w:jc w:val="both"/>
        <w:textAlignment w:val="baseline"/>
      </w:pPr>
      <w:r w:rsidRPr="00A818AC">
        <w:rPr>
          <w:rFonts w:ascii="Calibri" w:eastAsia="Times New Roman" w:hAnsi="Calibri" w:cs="Calibri"/>
        </w:rPr>
        <w:t>It is the responsibility of the applicant to comply with all other applicable standards of Title 19 and all other municipal ordinances.</w:t>
      </w:r>
    </w:p>
    <w:p w14:paraId="44BA1EF2" w14:textId="36C6FE0B" w:rsidR="00386FD2" w:rsidRDefault="00386FD2" w:rsidP="00801005"/>
    <w:sectPr w:rsidR="0038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25228064" textId="2073880413" start="62" length="9" invalidationStart="62" invalidationLength="9" id="c5PWE0vU"/>
  </int:Manifest>
  <int:Observations>
    <int:Content id="c5PWE0v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FA"/>
    <w:multiLevelType w:val="hybridMultilevel"/>
    <w:tmpl w:val="FE9676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2183C"/>
    <w:multiLevelType w:val="multilevel"/>
    <w:tmpl w:val="C290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F48CF"/>
    <w:multiLevelType w:val="hybridMultilevel"/>
    <w:tmpl w:val="FAB490BA"/>
    <w:lvl w:ilvl="0" w:tplc="B8EE1F84">
      <w:start w:val="1"/>
      <w:numFmt w:val="bullet"/>
      <w:lvlText w:val=""/>
      <w:lvlJc w:val="left"/>
      <w:pPr>
        <w:ind w:left="720" w:hanging="360"/>
      </w:pPr>
      <w:rPr>
        <w:rFonts w:ascii="Symbol" w:hAnsi="Symbol" w:hint="default"/>
      </w:rPr>
    </w:lvl>
    <w:lvl w:ilvl="1" w:tplc="83641C3A">
      <w:start w:val="1"/>
      <w:numFmt w:val="bullet"/>
      <w:lvlText w:val="o"/>
      <w:lvlJc w:val="left"/>
      <w:pPr>
        <w:ind w:left="1440" w:hanging="360"/>
      </w:pPr>
      <w:rPr>
        <w:rFonts w:ascii="Courier New" w:hAnsi="Courier New" w:hint="default"/>
      </w:rPr>
    </w:lvl>
    <w:lvl w:ilvl="2" w:tplc="3F364F50">
      <w:start w:val="1"/>
      <w:numFmt w:val="bullet"/>
      <w:lvlText w:val=""/>
      <w:lvlJc w:val="left"/>
      <w:pPr>
        <w:ind w:left="2160" w:hanging="360"/>
      </w:pPr>
      <w:rPr>
        <w:rFonts w:ascii="Wingdings" w:hAnsi="Wingdings" w:hint="default"/>
      </w:rPr>
    </w:lvl>
    <w:lvl w:ilvl="3" w:tplc="0BAE66B6">
      <w:start w:val="1"/>
      <w:numFmt w:val="bullet"/>
      <w:lvlText w:val=""/>
      <w:lvlJc w:val="left"/>
      <w:pPr>
        <w:ind w:left="2880" w:hanging="360"/>
      </w:pPr>
      <w:rPr>
        <w:rFonts w:ascii="Symbol" w:hAnsi="Symbol" w:hint="default"/>
      </w:rPr>
    </w:lvl>
    <w:lvl w:ilvl="4" w:tplc="ACB2C770">
      <w:start w:val="1"/>
      <w:numFmt w:val="bullet"/>
      <w:lvlText w:val="o"/>
      <w:lvlJc w:val="left"/>
      <w:pPr>
        <w:ind w:left="3600" w:hanging="360"/>
      </w:pPr>
      <w:rPr>
        <w:rFonts w:ascii="Courier New" w:hAnsi="Courier New" w:hint="default"/>
      </w:rPr>
    </w:lvl>
    <w:lvl w:ilvl="5" w:tplc="91F61EC0">
      <w:start w:val="1"/>
      <w:numFmt w:val="bullet"/>
      <w:lvlText w:val=""/>
      <w:lvlJc w:val="left"/>
      <w:pPr>
        <w:ind w:left="4320" w:hanging="360"/>
      </w:pPr>
      <w:rPr>
        <w:rFonts w:ascii="Wingdings" w:hAnsi="Wingdings" w:hint="default"/>
      </w:rPr>
    </w:lvl>
    <w:lvl w:ilvl="6" w:tplc="2E5A8BBC">
      <w:start w:val="1"/>
      <w:numFmt w:val="bullet"/>
      <w:lvlText w:val=""/>
      <w:lvlJc w:val="left"/>
      <w:pPr>
        <w:ind w:left="5040" w:hanging="360"/>
      </w:pPr>
      <w:rPr>
        <w:rFonts w:ascii="Symbol" w:hAnsi="Symbol" w:hint="default"/>
      </w:rPr>
    </w:lvl>
    <w:lvl w:ilvl="7" w:tplc="24F67950">
      <w:start w:val="1"/>
      <w:numFmt w:val="bullet"/>
      <w:lvlText w:val="o"/>
      <w:lvlJc w:val="left"/>
      <w:pPr>
        <w:ind w:left="5760" w:hanging="360"/>
      </w:pPr>
      <w:rPr>
        <w:rFonts w:ascii="Courier New" w:hAnsi="Courier New" w:hint="default"/>
      </w:rPr>
    </w:lvl>
    <w:lvl w:ilvl="8" w:tplc="7DA45BF4">
      <w:start w:val="1"/>
      <w:numFmt w:val="bullet"/>
      <w:lvlText w:val=""/>
      <w:lvlJc w:val="left"/>
      <w:pPr>
        <w:ind w:left="6480" w:hanging="360"/>
      </w:pPr>
      <w:rPr>
        <w:rFonts w:ascii="Wingdings" w:hAnsi="Wingdings" w:hint="default"/>
      </w:rPr>
    </w:lvl>
  </w:abstractNum>
  <w:abstractNum w:abstractNumId="3" w15:restartNumberingAfterBreak="0">
    <w:nsid w:val="096B6D55"/>
    <w:multiLevelType w:val="hybridMultilevel"/>
    <w:tmpl w:val="D7EE6BE2"/>
    <w:lvl w:ilvl="0" w:tplc="351E4262">
      <w:start w:val="1"/>
      <w:numFmt w:val="upperLetter"/>
      <w:lvlText w:val="%1."/>
      <w:lvlJc w:val="left"/>
      <w:pPr>
        <w:ind w:left="720" w:hanging="360"/>
      </w:pPr>
      <w:rPr>
        <w:rFonts w:asciiTheme="minorHAnsi" w:eastAsiaTheme="minorHAnsi" w:hAnsiTheme="minorHAnsi" w:cstheme="minorHAnsi"/>
      </w:rPr>
    </w:lvl>
    <w:lvl w:ilvl="1" w:tplc="D86C31D2">
      <w:start w:val="1"/>
      <w:numFmt w:val="decimal"/>
      <w:lvlText w:val="%2."/>
      <w:lvlJc w:val="left"/>
      <w:pPr>
        <w:ind w:left="1440" w:hanging="360"/>
      </w:pPr>
    </w:lvl>
    <w:lvl w:ilvl="2" w:tplc="AC42FDAC">
      <w:start w:val="1"/>
      <w:numFmt w:val="lowerLetter"/>
      <w:lvlText w:val="%3."/>
      <w:lvlJc w:val="left"/>
      <w:pPr>
        <w:ind w:left="2160" w:hanging="180"/>
      </w:pPr>
    </w:lvl>
    <w:lvl w:ilvl="3" w:tplc="536AA4D0">
      <w:start w:val="1"/>
      <w:numFmt w:val="decimal"/>
      <w:lvlText w:val="%4."/>
      <w:lvlJc w:val="left"/>
      <w:pPr>
        <w:ind w:left="2880" w:hanging="360"/>
      </w:pPr>
    </w:lvl>
    <w:lvl w:ilvl="4" w:tplc="58F4253A">
      <w:start w:val="1"/>
      <w:numFmt w:val="lowerLetter"/>
      <w:lvlText w:val="%5."/>
      <w:lvlJc w:val="left"/>
      <w:pPr>
        <w:ind w:left="3600" w:hanging="360"/>
      </w:pPr>
    </w:lvl>
    <w:lvl w:ilvl="5" w:tplc="925085EA">
      <w:start w:val="1"/>
      <w:numFmt w:val="lowerRoman"/>
      <w:lvlText w:val="%6."/>
      <w:lvlJc w:val="right"/>
      <w:pPr>
        <w:ind w:left="4320" w:hanging="180"/>
      </w:pPr>
    </w:lvl>
    <w:lvl w:ilvl="6" w:tplc="E45E8DDE">
      <w:start w:val="1"/>
      <w:numFmt w:val="decimal"/>
      <w:lvlText w:val="%7."/>
      <w:lvlJc w:val="left"/>
      <w:pPr>
        <w:ind w:left="5040" w:hanging="360"/>
      </w:pPr>
    </w:lvl>
    <w:lvl w:ilvl="7" w:tplc="19E83F50">
      <w:start w:val="1"/>
      <w:numFmt w:val="lowerLetter"/>
      <w:lvlText w:val="%8."/>
      <w:lvlJc w:val="left"/>
      <w:pPr>
        <w:ind w:left="5760" w:hanging="360"/>
      </w:pPr>
    </w:lvl>
    <w:lvl w:ilvl="8" w:tplc="498E1D94">
      <w:start w:val="1"/>
      <w:numFmt w:val="lowerRoman"/>
      <w:lvlText w:val="%9."/>
      <w:lvlJc w:val="right"/>
      <w:pPr>
        <w:ind w:left="6480" w:hanging="180"/>
      </w:pPr>
    </w:lvl>
  </w:abstractNum>
  <w:abstractNum w:abstractNumId="4" w15:restartNumberingAfterBreak="0">
    <w:nsid w:val="0BE63540"/>
    <w:multiLevelType w:val="multilevel"/>
    <w:tmpl w:val="469C479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782888"/>
    <w:multiLevelType w:val="multilevel"/>
    <w:tmpl w:val="339676E8"/>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6E750F1"/>
    <w:multiLevelType w:val="multilevel"/>
    <w:tmpl w:val="096E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63567"/>
    <w:multiLevelType w:val="hybridMultilevel"/>
    <w:tmpl w:val="08A61F72"/>
    <w:lvl w:ilvl="0" w:tplc="BBC05CDA">
      <w:start w:val="1"/>
      <w:numFmt w:val="decimal"/>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C7934"/>
    <w:multiLevelType w:val="multilevel"/>
    <w:tmpl w:val="0EFAE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25CC0"/>
    <w:multiLevelType w:val="multilevel"/>
    <w:tmpl w:val="04163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255F4"/>
    <w:multiLevelType w:val="multilevel"/>
    <w:tmpl w:val="714610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5FF3EF7"/>
    <w:multiLevelType w:val="multilevel"/>
    <w:tmpl w:val="B1300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A4F14"/>
    <w:multiLevelType w:val="multilevel"/>
    <w:tmpl w:val="A1B2D32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ascii="Calibri" w:hAnsi="Calibri" w:cs="Calibri" w:hint="default"/>
        <w:color w:val="000000"/>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EE095A"/>
    <w:multiLevelType w:val="multilevel"/>
    <w:tmpl w:val="D2E642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344329"/>
    <w:multiLevelType w:val="multilevel"/>
    <w:tmpl w:val="6FBA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F1C94"/>
    <w:multiLevelType w:val="multilevel"/>
    <w:tmpl w:val="FCD2B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8727C"/>
    <w:multiLevelType w:val="multilevel"/>
    <w:tmpl w:val="A03204B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A991F0B"/>
    <w:multiLevelType w:val="multilevel"/>
    <w:tmpl w:val="3C6EC1A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5FE3137"/>
    <w:multiLevelType w:val="multilevel"/>
    <w:tmpl w:val="8D848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BA034C"/>
    <w:multiLevelType w:val="multilevel"/>
    <w:tmpl w:val="4F5A94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9E615D3"/>
    <w:multiLevelType w:val="multilevel"/>
    <w:tmpl w:val="D23E0C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E454374"/>
    <w:multiLevelType w:val="multilevel"/>
    <w:tmpl w:val="079A23F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1F5409F"/>
    <w:multiLevelType w:val="multilevel"/>
    <w:tmpl w:val="AA701F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2022D8C"/>
    <w:multiLevelType w:val="hybridMultilevel"/>
    <w:tmpl w:val="25C8F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CC7EDA"/>
    <w:multiLevelType w:val="multilevel"/>
    <w:tmpl w:val="98CEC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66B36"/>
    <w:multiLevelType w:val="multilevel"/>
    <w:tmpl w:val="72B05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AF4FD6"/>
    <w:multiLevelType w:val="hybridMultilevel"/>
    <w:tmpl w:val="200EF9E4"/>
    <w:lvl w:ilvl="0" w:tplc="48CADC1E">
      <w:start w:val="1"/>
      <w:numFmt w:val="upperLetter"/>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D4AEB"/>
    <w:multiLevelType w:val="multilevel"/>
    <w:tmpl w:val="D75A144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4F47366"/>
    <w:multiLevelType w:val="multilevel"/>
    <w:tmpl w:val="E5B29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6B120D"/>
    <w:multiLevelType w:val="multilevel"/>
    <w:tmpl w:val="55203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021E14"/>
    <w:multiLevelType w:val="multilevel"/>
    <w:tmpl w:val="2D32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331CF"/>
    <w:multiLevelType w:val="hybridMultilevel"/>
    <w:tmpl w:val="0ABC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622D7"/>
    <w:multiLevelType w:val="multilevel"/>
    <w:tmpl w:val="7618E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C43B32"/>
    <w:multiLevelType w:val="multilevel"/>
    <w:tmpl w:val="748A5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455F87"/>
    <w:multiLevelType w:val="multilevel"/>
    <w:tmpl w:val="1FDC8A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E722AC2"/>
    <w:multiLevelType w:val="multilevel"/>
    <w:tmpl w:val="1B08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C32FE"/>
    <w:multiLevelType w:val="multilevel"/>
    <w:tmpl w:val="DD28F9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20267618">
    <w:abstractNumId w:val="3"/>
  </w:num>
  <w:num w:numId="2" w16cid:durableId="2105415580">
    <w:abstractNumId w:val="0"/>
  </w:num>
  <w:num w:numId="3" w16cid:durableId="501435420">
    <w:abstractNumId w:val="7"/>
  </w:num>
  <w:num w:numId="4" w16cid:durableId="721557289">
    <w:abstractNumId w:val="26"/>
  </w:num>
  <w:num w:numId="5" w16cid:durableId="93981402">
    <w:abstractNumId w:val="2"/>
  </w:num>
  <w:num w:numId="6" w16cid:durableId="454257943">
    <w:abstractNumId w:val="31"/>
  </w:num>
  <w:num w:numId="7" w16cid:durableId="2086368321">
    <w:abstractNumId w:val="19"/>
  </w:num>
  <w:num w:numId="8" w16cid:durableId="904805415">
    <w:abstractNumId w:val="21"/>
  </w:num>
  <w:num w:numId="9" w16cid:durableId="1773931590">
    <w:abstractNumId w:val="22"/>
  </w:num>
  <w:num w:numId="10" w16cid:durableId="172571116">
    <w:abstractNumId w:val="14"/>
  </w:num>
  <w:num w:numId="11" w16cid:durableId="1685939733">
    <w:abstractNumId w:val="12"/>
  </w:num>
  <w:num w:numId="12" w16cid:durableId="277491107">
    <w:abstractNumId w:val="24"/>
  </w:num>
  <w:num w:numId="13" w16cid:durableId="1278022760">
    <w:abstractNumId w:val="34"/>
  </w:num>
  <w:num w:numId="14" w16cid:durableId="323898350">
    <w:abstractNumId w:val="10"/>
  </w:num>
  <w:num w:numId="15" w16cid:durableId="1024327696">
    <w:abstractNumId w:val="6"/>
  </w:num>
  <w:num w:numId="16" w16cid:durableId="342244019">
    <w:abstractNumId w:val="33"/>
  </w:num>
  <w:num w:numId="17" w16cid:durableId="692266307">
    <w:abstractNumId w:val="27"/>
  </w:num>
  <w:num w:numId="18" w16cid:durableId="989552908">
    <w:abstractNumId w:val="17"/>
  </w:num>
  <w:num w:numId="19" w16cid:durableId="1616868615">
    <w:abstractNumId w:val="4"/>
  </w:num>
  <w:num w:numId="20" w16cid:durableId="1288774580">
    <w:abstractNumId w:val="16"/>
  </w:num>
  <w:num w:numId="21" w16cid:durableId="1993366111">
    <w:abstractNumId w:val="5"/>
  </w:num>
  <w:num w:numId="22" w16cid:durableId="863909582">
    <w:abstractNumId w:val="35"/>
  </w:num>
  <w:num w:numId="23" w16cid:durableId="874006493">
    <w:abstractNumId w:val="11"/>
  </w:num>
  <w:num w:numId="24" w16cid:durableId="739985662">
    <w:abstractNumId w:val="29"/>
  </w:num>
  <w:num w:numId="25" w16cid:durableId="172844888">
    <w:abstractNumId w:val="36"/>
  </w:num>
  <w:num w:numId="26" w16cid:durableId="1466579242">
    <w:abstractNumId w:val="1"/>
  </w:num>
  <w:num w:numId="27" w16cid:durableId="1334601179">
    <w:abstractNumId w:val="15"/>
  </w:num>
  <w:num w:numId="28" w16cid:durableId="1188642330">
    <w:abstractNumId w:val="25"/>
  </w:num>
  <w:num w:numId="29" w16cid:durableId="95829278">
    <w:abstractNumId w:val="18"/>
  </w:num>
  <w:num w:numId="30" w16cid:durableId="1889805643">
    <w:abstractNumId w:val="13"/>
  </w:num>
  <w:num w:numId="31" w16cid:durableId="1449423581">
    <w:abstractNumId w:val="20"/>
  </w:num>
  <w:num w:numId="32" w16cid:durableId="1397238187">
    <w:abstractNumId w:val="30"/>
  </w:num>
  <w:num w:numId="33" w16cid:durableId="971668927">
    <w:abstractNumId w:val="9"/>
  </w:num>
  <w:num w:numId="34" w16cid:durableId="1487742608">
    <w:abstractNumId w:val="32"/>
  </w:num>
  <w:num w:numId="35" w16cid:durableId="218790468">
    <w:abstractNumId w:val="28"/>
  </w:num>
  <w:num w:numId="36" w16cid:durableId="1195996859">
    <w:abstractNumId w:val="8"/>
  </w:num>
  <w:num w:numId="37" w16cid:durableId="113640732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C1E1FC"/>
    <w:rsid w:val="0000640D"/>
    <w:rsid w:val="0001000A"/>
    <w:rsid w:val="00011352"/>
    <w:rsid w:val="0001299A"/>
    <w:rsid w:val="0001503B"/>
    <w:rsid w:val="000269DA"/>
    <w:rsid w:val="00030B2E"/>
    <w:rsid w:val="00050747"/>
    <w:rsid w:val="0006105E"/>
    <w:rsid w:val="00064B5D"/>
    <w:rsid w:val="000701A4"/>
    <w:rsid w:val="00073F40"/>
    <w:rsid w:val="000771E0"/>
    <w:rsid w:val="000803B0"/>
    <w:rsid w:val="000809D4"/>
    <w:rsid w:val="00094ABC"/>
    <w:rsid w:val="000A172B"/>
    <w:rsid w:val="000A2901"/>
    <w:rsid w:val="000B51D0"/>
    <w:rsid w:val="000C2079"/>
    <w:rsid w:val="000C4986"/>
    <w:rsid w:val="000E1B36"/>
    <w:rsid w:val="00100C0E"/>
    <w:rsid w:val="00101008"/>
    <w:rsid w:val="00107422"/>
    <w:rsid w:val="0011390B"/>
    <w:rsid w:val="00116C11"/>
    <w:rsid w:val="001323BD"/>
    <w:rsid w:val="0014199E"/>
    <w:rsid w:val="001426AB"/>
    <w:rsid w:val="001454D2"/>
    <w:rsid w:val="00166C29"/>
    <w:rsid w:val="001719C0"/>
    <w:rsid w:val="00173D9B"/>
    <w:rsid w:val="001873B6"/>
    <w:rsid w:val="0019010E"/>
    <w:rsid w:val="0019015C"/>
    <w:rsid w:val="00190C3E"/>
    <w:rsid w:val="0019435C"/>
    <w:rsid w:val="001B6674"/>
    <w:rsid w:val="001B7CD8"/>
    <w:rsid w:val="001C18BF"/>
    <w:rsid w:val="001C22E8"/>
    <w:rsid w:val="001C339F"/>
    <w:rsid w:val="001E5F68"/>
    <w:rsid w:val="001F0A72"/>
    <w:rsid w:val="001F6A33"/>
    <w:rsid w:val="002026C5"/>
    <w:rsid w:val="00213C9E"/>
    <w:rsid w:val="00233566"/>
    <w:rsid w:val="00234700"/>
    <w:rsid w:val="002425C1"/>
    <w:rsid w:val="0024691C"/>
    <w:rsid w:val="00247AD2"/>
    <w:rsid w:val="00254D6C"/>
    <w:rsid w:val="0028171D"/>
    <w:rsid w:val="00283F90"/>
    <w:rsid w:val="0029064B"/>
    <w:rsid w:val="002906CF"/>
    <w:rsid w:val="00297EE4"/>
    <w:rsid w:val="002A1D90"/>
    <w:rsid w:val="002A223A"/>
    <w:rsid w:val="002A54ED"/>
    <w:rsid w:val="002B154B"/>
    <w:rsid w:val="002C1A12"/>
    <w:rsid w:val="002C6445"/>
    <w:rsid w:val="002E13BD"/>
    <w:rsid w:val="002E150E"/>
    <w:rsid w:val="002E48E9"/>
    <w:rsid w:val="002E56F2"/>
    <w:rsid w:val="002F2ADD"/>
    <w:rsid w:val="00311720"/>
    <w:rsid w:val="003348F8"/>
    <w:rsid w:val="00342EAE"/>
    <w:rsid w:val="00372526"/>
    <w:rsid w:val="0038490A"/>
    <w:rsid w:val="00386FD2"/>
    <w:rsid w:val="00401DB7"/>
    <w:rsid w:val="00433586"/>
    <w:rsid w:val="00433D09"/>
    <w:rsid w:val="00434F01"/>
    <w:rsid w:val="00435509"/>
    <w:rsid w:val="004510DD"/>
    <w:rsid w:val="00454A95"/>
    <w:rsid w:val="00457A8C"/>
    <w:rsid w:val="004642C9"/>
    <w:rsid w:val="00471BA6"/>
    <w:rsid w:val="00471E2C"/>
    <w:rsid w:val="004729E6"/>
    <w:rsid w:val="00473CCE"/>
    <w:rsid w:val="00476748"/>
    <w:rsid w:val="00476EB4"/>
    <w:rsid w:val="00481ADE"/>
    <w:rsid w:val="00483CBC"/>
    <w:rsid w:val="0048477A"/>
    <w:rsid w:val="004C3BC0"/>
    <w:rsid w:val="004E0D48"/>
    <w:rsid w:val="004E5115"/>
    <w:rsid w:val="004F06B6"/>
    <w:rsid w:val="004F7E60"/>
    <w:rsid w:val="00512FC1"/>
    <w:rsid w:val="005151F8"/>
    <w:rsid w:val="00524363"/>
    <w:rsid w:val="00537248"/>
    <w:rsid w:val="00545610"/>
    <w:rsid w:val="00546C6C"/>
    <w:rsid w:val="005565D7"/>
    <w:rsid w:val="005656E3"/>
    <w:rsid w:val="005700CC"/>
    <w:rsid w:val="0057562B"/>
    <w:rsid w:val="00580302"/>
    <w:rsid w:val="00584142"/>
    <w:rsid w:val="005975DB"/>
    <w:rsid w:val="00597D9B"/>
    <w:rsid w:val="005A2D1F"/>
    <w:rsid w:val="005A2E40"/>
    <w:rsid w:val="005A4706"/>
    <w:rsid w:val="005B6584"/>
    <w:rsid w:val="005C2C36"/>
    <w:rsid w:val="005D0549"/>
    <w:rsid w:val="005E1525"/>
    <w:rsid w:val="005F1068"/>
    <w:rsid w:val="006048CB"/>
    <w:rsid w:val="00612C55"/>
    <w:rsid w:val="00637AE7"/>
    <w:rsid w:val="00641112"/>
    <w:rsid w:val="00661D2A"/>
    <w:rsid w:val="00665AAA"/>
    <w:rsid w:val="00670B2D"/>
    <w:rsid w:val="00670E95"/>
    <w:rsid w:val="00680868"/>
    <w:rsid w:val="006819DC"/>
    <w:rsid w:val="006B3C57"/>
    <w:rsid w:val="006B468A"/>
    <w:rsid w:val="006B48A9"/>
    <w:rsid w:val="006B771B"/>
    <w:rsid w:val="006C2023"/>
    <w:rsid w:val="006C47B1"/>
    <w:rsid w:val="006C78CE"/>
    <w:rsid w:val="006D445E"/>
    <w:rsid w:val="006D6067"/>
    <w:rsid w:val="006D6D15"/>
    <w:rsid w:val="006F02BB"/>
    <w:rsid w:val="00707D06"/>
    <w:rsid w:val="00713C80"/>
    <w:rsid w:val="00716FC0"/>
    <w:rsid w:val="0072325C"/>
    <w:rsid w:val="00725573"/>
    <w:rsid w:val="00732E43"/>
    <w:rsid w:val="00737FB0"/>
    <w:rsid w:val="007469B4"/>
    <w:rsid w:val="00751A96"/>
    <w:rsid w:val="00751B76"/>
    <w:rsid w:val="00762F30"/>
    <w:rsid w:val="00763642"/>
    <w:rsid w:val="0079201F"/>
    <w:rsid w:val="0079557F"/>
    <w:rsid w:val="007A4C2E"/>
    <w:rsid w:val="007B01B4"/>
    <w:rsid w:val="007D3A40"/>
    <w:rsid w:val="007D4292"/>
    <w:rsid w:val="007D5C73"/>
    <w:rsid w:val="007E3670"/>
    <w:rsid w:val="007E5F64"/>
    <w:rsid w:val="007F37D0"/>
    <w:rsid w:val="007F7539"/>
    <w:rsid w:val="00801005"/>
    <w:rsid w:val="008026D2"/>
    <w:rsid w:val="00817F2A"/>
    <w:rsid w:val="00830AB4"/>
    <w:rsid w:val="00835202"/>
    <w:rsid w:val="0083575F"/>
    <w:rsid w:val="00846B6C"/>
    <w:rsid w:val="008551E6"/>
    <w:rsid w:val="00862008"/>
    <w:rsid w:val="008651E5"/>
    <w:rsid w:val="00871537"/>
    <w:rsid w:val="0087737E"/>
    <w:rsid w:val="00886E21"/>
    <w:rsid w:val="008A70F8"/>
    <w:rsid w:val="008B0CF9"/>
    <w:rsid w:val="008D4D93"/>
    <w:rsid w:val="008E65E4"/>
    <w:rsid w:val="00900A44"/>
    <w:rsid w:val="00901EE7"/>
    <w:rsid w:val="00920B4E"/>
    <w:rsid w:val="00930B53"/>
    <w:rsid w:val="00932FA3"/>
    <w:rsid w:val="009353AB"/>
    <w:rsid w:val="009355C4"/>
    <w:rsid w:val="009514F9"/>
    <w:rsid w:val="00962ADB"/>
    <w:rsid w:val="00964C36"/>
    <w:rsid w:val="00971A82"/>
    <w:rsid w:val="009817F6"/>
    <w:rsid w:val="009854B2"/>
    <w:rsid w:val="009868E5"/>
    <w:rsid w:val="00993CCB"/>
    <w:rsid w:val="009B0242"/>
    <w:rsid w:val="009B4BEB"/>
    <w:rsid w:val="009D2364"/>
    <w:rsid w:val="009D2FDD"/>
    <w:rsid w:val="009D41C2"/>
    <w:rsid w:val="009D4E01"/>
    <w:rsid w:val="009D619C"/>
    <w:rsid w:val="009F7A4B"/>
    <w:rsid w:val="00A00010"/>
    <w:rsid w:val="00A0083B"/>
    <w:rsid w:val="00A13A28"/>
    <w:rsid w:val="00A1430D"/>
    <w:rsid w:val="00A14982"/>
    <w:rsid w:val="00A1770D"/>
    <w:rsid w:val="00A22206"/>
    <w:rsid w:val="00A36BC4"/>
    <w:rsid w:val="00A439A5"/>
    <w:rsid w:val="00A5569F"/>
    <w:rsid w:val="00A55F94"/>
    <w:rsid w:val="00A56965"/>
    <w:rsid w:val="00A57BBD"/>
    <w:rsid w:val="00A61784"/>
    <w:rsid w:val="00A6496F"/>
    <w:rsid w:val="00A71CB7"/>
    <w:rsid w:val="00A818AC"/>
    <w:rsid w:val="00A90E7D"/>
    <w:rsid w:val="00A91559"/>
    <w:rsid w:val="00AA308A"/>
    <w:rsid w:val="00AA4077"/>
    <w:rsid w:val="00AB02AD"/>
    <w:rsid w:val="00AB2BEF"/>
    <w:rsid w:val="00AB330D"/>
    <w:rsid w:val="00AC43C3"/>
    <w:rsid w:val="00AD0B67"/>
    <w:rsid w:val="00AE74C2"/>
    <w:rsid w:val="00B13912"/>
    <w:rsid w:val="00B24AB0"/>
    <w:rsid w:val="00B25248"/>
    <w:rsid w:val="00B269FD"/>
    <w:rsid w:val="00B270E5"/>
    <w:rsid w:val="00B30BB1"/>
    <w:rsid w:val="00B30FB3"/>
    <w:rsid w:val="00B33C7A"/>
    <w:rsid w:val="00B45388"/>
    <w:rsid w:val="00B468EA"/>
    <w:rsid w:val="00B50445"/>
    <w:rsid w:val="00B51A04"/>
    <w:rsid w:val="00B52790"/>
    <w:rsid w:val="00B74CC4"/>
    <w:rsid w:val="00B82BB8"/>
    <w:rsid w:val="00B87BEB"/>
    <w:rsid w:val="00B932BF"/>
    <w:rsid w:val="00B94188"/>
    <w:rsid w:val="00B95937"/>
    <w:rsid w:val="00BA61E1"/>
    <w:rsid w:val="00BA6FA1"/>
    <w:rsid w:val="00BC07AB"/>
    <w:rsid w:val="00BC3EA5"/>
    <w:rsid w:val="00BD7AFD"/>
    <w:rsid w:val="00BE60AE"/>
    <w:rsid w:val="00BE719D"/>
    <w:rsid w:val="00BF0679"/>
    <w:rsid w:val="00BF3F79"/>
    <w:rsid w:val="00BF7DAB"/>
    <w:rsid w:val="00BF7EC9"/>
    <w:rsid w:val="00C1486D"/>
    <w:rsid w:val="00C14AD1"/>
    <w:rsid w:val="00C171F5"/>
    <w:rsid w:val="00C20818"/>
    <w:rsid w:val="00C32DD7"/>
    <w:rsid w:val="00C40672"/>
    <w:rsid w:val="00C42897"/>
    <w:rsid w:val="00C458AD"/>
    <w:rsid w:val="00C51E43"/>
    <w:rsid w:val="00C61D9B"/>
    <w:rsid w:val="00C76BAA"/>
    <w:rsid w:val="00C852A3"/>
    <w:rsid w:val="00C87E3B"/>
    <w:rsid w:val="00CB171D"/>
    <w:rsid w:val="00CB304B"/>
    <w:rsid w:val="00CB7F26"/>
    <w:rsid w:val="00CC081A"/>
    <w:rsid w:val="00CC5324"/>
    <w:rsid w:val="00CD0DEA"/>
    <w:rsid w:val="00CD5966"/>
    <w:rsid w:val="00CE0738"/>
    <w:rsid w:val="00CE3806"/>
    <w:rsid w:val="00CF7D11"/>
    <w:rsid w:val="00D03051"/>
    <w:rsid w:val="00D030B0"/>
    <w:rsid w:val="00D17A02"/>
    <w:rsid w:val="00D212BE"/>
    <w:rsid w:val="00D223AC"/>
    <w:rsid w:val="00D277EF"/>
    <w:rsid w:val="00D3706F"/>
    <w:rsid w:val="00D40C11"/>
    <w:rsid w:val="00D40E74"/>
    <w:rsid w:val="00D54C35"/>
    <w:rsid w:val="00D62809"/>
    <w:rsid w:val="00D62B36"/>
    <w:rsid w:val="00D6532C"/>
    <w:rsid w:val="00D657DE"/>
    <w:rsid w:val="00D6641F"/>
    <w:rsid w:val="00D70975"/>
    <w:rsid w:val="00D83E89"/>
    <w:rsid w:val="00D9196D"/>
    <w:rsid w:val="00DA2732"/>
    <w:rsid w:val="00DA4C34"/>
    <w:rsid w:val="00DC6036"/>
    <w:rsid w:val="00DC7633"/>
    <w:rsid w:val="00DD7770"/>
    <w:rsid w:val="00DE1F83"/>
    <w:rsid w:val="00DE6DB1"/>
    <w:rsid w:val="00DF066A"/>
    <w:rsid w:val="00DF4228"/>
    <w:rsid w:val="00DF5302"/>
    <w:rsid w:val="00E36DF8"/>
    <w:rsid w:val="00E403EB"/>
    <w:rsid w:val="00E41321"/>
    <w:rsid w:val="00E42041"/>
    <w:rsid w:val="00E50094"/>
    <w:rsid w:val="00E7610E"/>
    <w:rsid w:val="00E765EA"/>
    <w:rsid w:val="00E9319F"/>
    <w:rsid w:val="00E97826"/>
    <w:rsid w:val="00EA4CE1"/>
    <w:rsid w:val="00EA5986"/>
    <w:rsid w:val="00EA5B46"/>
    <w:rsid w:val="00EB44EC"/>
    <w:rsid w:val="00ED2F1D"/>
    <w:rsid w:val="00EE74EC"/>
    <w:rsid w:val="00EF319F"/>
    <w:rsid w:val="00EF48AF"/>
    <w:rsid w:val="00EF54E6"/>
    <w:rsid w:val="00F00E91"/>
    <w:rsid w:val="00F03E76"/>
    <w:rsid w:val="00F11506"/>
    <w:rsid w:val="00F147C3"/>
    <w:rsid w:val="00F14E04"/>
    <w:rsid w:val="00F230CF"/>
    <w:rsid w:val="00F4056C"/>
    <w:rsid w:val="00F47A2C"/>
    <w:rsid w:val="00F553E2"/>
    <w:rsid w:val="00F5701D"/>
    <w:rsid w:val="00F60C3A"/>
    <w:rsid w:val="00F6562C"/>
    <w:rsid w:val="00F76229"/>
    <w:rsid w:val="00F83479"/>
    <w:rsid w:val="00F86BEB"/>
    <w:rsid w:val="00FB3077"/>
    <w:rsid w:val="00FC30B5"/>
    <w:rsid w:val="00FC43C0"/>
    <w:rsid w:val="00FC54C4"/>
    <w:rsid w:val="00FD1094"/>
    <w:rsid w:val="00FE231A"/>
    <w:rsid w:val="00FE3755"/>
    <w:rsid w:val="00FF62CB"/>
    <w:rsid w:val="00FF7C1C"/>
    <w:rsid w:val="012FEE4C"/>
    <w:rsid w:val="015AA42F"/>
    <w:rsid w:val="01AF7434"/>
    <w:rsid w:val="02B4B4BD"/>
    <w:rsid w:val="02B8E89C"/>
    <w:rsid w:val="0336EE23"/>
    <w:rsid w:val="03690079"/>
    <w:rsid w:val="03ADF768"/>
    <w:rsid w:val="043AEE39"/>
    <w:rsid w:val="046C6AAC"/>
    <w:rsid w:val="047B4E1E"/>
    <w:rsid w:val="04D8F048"/>
    <w:rsid w:val="04E832E1"/>
    <w:rsid w:val="054983F3"/>
    <w:rsid w:val="06C2EA93"/>
    <w:rsid w:val="06DAE400"/>
    <w:rsid w:val="06DF12E0"/>
    <w:rsid w:val="078E10BA"/>
    <w:rsid w:val="0798E9AB"/>
    <w:rsid w:val="08078D0F"/>
    <w:rsid w:val="08CC8180"/>
    <w:rsid w:val="090E8317"/>
    <w:rsid w:val="094745CF"/>
    <w:rsid w:val="098D074A"/>
    <w:rsid w:val="0A421C02"/>
    <w:rsid w:val="0A4FE09A"/>
    <w:rsid w:val="0A9061CD"/>
    <w:rsid w:val="0A955380"/>
    <w:rsid w:val="0B19F976"/>
    <w:rsid w:val="0B68EB02"/>
    <w:rsid w:val="0B782D9B"/>
    <w:rsid w:val="0BB0E9F1"/>
    <w:rsid w:val="0C62AA52"/>
    <w:rsid w:val="0CA1948A"/>
    <w:rsid w:val="0CF4135C"/>
    <w:rsid w:val="0D6DA2E4"/>
    <w:rsid w:val="0D74A300"/>
    <w:rsid w:val="0E144911"/>
    <w:rsid w:val="0E5E055D"/>
    <w:rsid w:val="0ED73DDC"/>
    <w:rsid w:val="0F258FFF"/>
    <w:rsid w:val="0F4779C8"/>
    <w:rsid w:val="0F65D896"/>
    <w:rsid w:val="0F67BDEC"/>
    <w:rsid w:val="0F98BDF8"/>
    <w:rsid w:val="0F9EDE9B"/>
    <w:rsid w:val="0FE2BB30"/>
    <w:rsid w:val="0FF93A29"/>
    <w:rsid w:val="10C1B81F"/>
    <w:rsid w:val="10D69B63"/>
    <w:rsid w:val="113129C2"/>
    <w:rsid w:val="1133261D"/>
    <w:rsid w:val="1171493E"/>
    <w:rsid w:val="11ECDA7F"/>
    <w:rsid w:val="1245D964"/>
    <w:rsid w:val="1259D047"/>
    <w:rsid w:val="12A1507F"/>
    <w:rsid w:val="1359AEA5"/>
    <w:rsid w:val="13A00C63"/>
    <w:rsid w:val="13AAAEFF"/>
    <w:rsid w:val="150341A3"/>
    <w:rsid w:val="155F41CA"/>
    <w:rsid w:val="156B96C4"/>
    <w:rsid w:val="1580A154"/>
    <w:rsid w:val="15952942"/>
    <w:rsid w:val="15E7D02C"/>
    <w:rsid w:val="15F1CC77"/>
    <w:rsid w:val="16427423"/>
    <w:rsid w:val="16B8C3BE"/>
    <w:rsid w:val="1720608B"/>
    <w:rsid w:val="175155FD"/>
    <w:rsid w:val="17F71A66"/>
    <w:rsid w:val="18310B75"/>
    <w:rsid w:val="18531B01"/>
    <w:rsid w:val="18EB7F69"/>
    <w:rsid w:val="191F6316"/>
    <w:rsid w:val="194BE2E7"/>
    <w:rsid w:val="19613280"/>
    <w:rsid w:val="1973D603"/>
    <w:rsid w:val="19A7649A"/>
    <w:rsid w:val="19F86AB9"/>
    <w:rsid w:val="19FC7970"/>
    <w:rsid w:val="1A4602EB"/>
    <w:rsid w:val="1A929BD5"/>
    <w:rsid w:val="1A94C551"/>
    <w:rsid w:val="1AAD76FE"/>
    <w:rsid w:val="1AB5FB01"/>
    <w:rsid w:val="1B6B3C43"/>
    <w:rsid w:val="1BCE62CE"/>
    <w:rsid w:val="1CDC8C01"/>
    <w:rsid w:val="1DC85180"/>
    <w:rsid w:val="1E21B607"/>
    <w:rsid w:val="1EDCB092"/>
    <w:rsid w:val="1EEB7650"/>
    <w:rsid w:val="1F079D0B"/>
    <w:rsid w:val="1F2AD0B1"/>
    <w:rsid w:val="1FD05F6E"/>
    <w:rsid w:val="2016A61E"/>
    <w:rsid w:val="20AD20F6"/>
    <w:rsid w:val="2109DE81"/>
    <w:rsid w:val="21EF2D41"/>
    <w:rsid w:val="2214B3EF"/>
    <w:rsid w:val="221DC85A"/>
    <w:rsid w:val="2248F574"/>
    <w:rsid w:val="226F4FE1"/>
    <w:rsid w:val="228DEC63"/>
    <w:rsid w:val="23E71F98"/>
    <w:rsid w:val="2452600B"/>
    <w:rsid w:val="253E2FF8"/>
    <w:rsid w:val="254C3F84"/>
    <w:rsid w:val="255D84F3"/>
    <w:rsid w:val="25E4A9CF"/>
    <w:rsid w:val="264F4415"/>
    <w:rsid w:val="26699F7F"/>
    <w:rsid w:val="27168737"/>
    <w:rsid w:val="277989C4"/>
    <w:rsid w:val="280AA05F"/>
    <w:rsid w:val="281E9742"/>
    <w:rsid w:val="283E51DF"/>
    <w:rsid w:val="288210EC"/>
    <w:rsid w:val="288348CE"/>
    <w:rsid w:val="288F080A"/>
    <w:rsid w:val="28EFC64C"/>
    <w:rsid w:val="2A02DBAD"/>
    <w:rsid w:val="2A45E2A3"/>
    <w:rsid w:val="2AB289DE"/>
    <w:rsid w:val="2B2254AE"/>
    <w:rsid w:val="2B3D171D"/>
    <w:rsid w:val="2B628640"/>
    <w:rsid w:val="2BA71E08"/>
    <w:rsid w:val="2C65BDA2"/>
    <w:rsid w:val="2C68A9EF"/>
    <w:rsid w:val="2D0F334C"/>
    <w:rsid w:val="2D6E2003"/>
    <w:rsid w:val="2E346882"/>
    <w:rsid w:val="2EBE0909"/>
    <w:rsid w:val="2F67CA8E"/>
    <w:rsid w:val="2FF9B748"/>
    <w:rsid w:val="30631EC2"/>
    <w:rsid w:val="307FE680"/>
    <w:rsid w:val="31148275"/>
    <w:rsid w:val="31DD663D"/>
    <w:rsid w:val="3202BC3D"/>
    <w:rsid w:val="32AE6113"/>
    <w:rsid w:val="33204F09"/>
    <w:rsid w:val="33552811"/>
    <w:rsid w:val="339EC38C"/>
    <w:rsid w:val="341D7036"/>
    <w:rsid w:val="3449675B"/>
    <w:rsid w:val="345D36D0"/>
    <w:rsid w:val="3491B578"/>
    <w:rsid w:val="34C94B8A"/>
    <w:rsid w:val="3504516A"/>
    <w:rsid w:val="358BA22A"/>
    <w:rsid w:val="35BD915F"/>
    <w:rsid w:val="35CBA0EB"/>
    <w:rsid w:val="35D6FE7A"/>
    <w:rsid w:val="36939EE9"/>
    <w:rsid w:val="384CC58C"/>
    <w:rsid w:val="3891BC7B"/>
    <w:rsid w:val="38AD195A"/>
    <w:rsid w:val="39991825"/>
    <w:rsid w:val="3A2FDBD2"/>
    <w:rsid w:val="3AD9B817"/>
    <w:rsid w:val="3AF0F729"/>
    <w:rsid w:val="3AF14BE2"/>
    <w:rsid w:val="3BE4BA1C"/>
    <w:rsid w:val="3C463FFE"/>
    <w:rsid w:val="3C6E38E5"/>
    <w:rsid w:val="3C82BA88"/>
    <w:rsid w:val="3C9DF8EE"/>
    <w:rsid w:val="3CDFD222"/>
    <w:rsid w:val="3D2475C1"/>
    <w:rsid w:val="3D44A596"/>
    <w:rsid w:val="3D676220"/>
    <w:rsid w:val="3E249D01"/>
    <w:rsid w:val="3E4483F4"/>
    <w:rsid w:val="3E66CAEE"/>
    <w:rsid w:val="3E702DD0"/>
    <w:rsid w:val="3E9B8325"/>
    <w:rsid w:val="3EF245A5"/>
    <w:rsid w:val="3F334DBE"/>
    <w:rsid w:val="3FFC3156"/>
    <w:rsid w:val="407BE1B1"/>
    <w:rsid w:val="4113A1DC"/>
    <w:rsid w:val="4187C6F5"/>
    <w:rsid w:val="41AE27DD"/>
    <w:rsid w:val="41F89568"/>
    <w:rsid w:val="423AD343"/>
    <w:rsid w:val="424F30ED"/>
    <w:rsid w:val="438766F2"/>
    <w:rsid w:val="43F9F332"/>
    <w:rsid w:val="4408EE0D"/>
    <w:rsid w:val="4420EDF5"/>
    <w:rsid w:val="44489CBD"/>
    <w:rsid w:val="44DC9837"/>
    <w:rsid w:val="4570D6FB"/>
    <w:rsid w:val="45D90DE1"/>
    <w:rsid w:val="4644AD7B"/>
    <w:rsid w:val="4667F3ED"/>
    <w:rsid w:val="46E870C5"/>
    <w:rsid w:val="4749BE2D"/>
    <w:rsid w:val="47B8AA5E"/>
    <w:rsid w:val="47DFE247"/>
    <w:rsid w:val="47F4B38B"/>
    <w:rsid w:val="48855174"/>
    <w:rsid w:val="48B326CF"/>
    <w:rsid w:val="4902079F"/>
    <w:rsid w:val="497E4CF6"/>
    <w:rsid w:val="49B3052D"/>
    <w:rsid w:val="4A5871D2"/>
    <w:rsid w:val="4A5F0D85"/>
    <w:rsid w:val="4A8CFDB3"/>
    <w:rsid w:val="4A99B096"/>
    <w:rsid w:val="4B3696C1"/>
    <w:rsid w:val="4B7A9096"/>
    <w:rsid w:val="4BA86153"/>
    <w:rsid w:val="4BE1B589"/>
    <w:rsid w:val="4C09D70D"/>
    <w:rsid w:val="4C5A8268"/>
    <w:rsid w:val="4CC09CCA"/>
    <w:rsid w:val="4CCD4274"/>
    <w:rsid w:val="4D4A842D"/>
    <w:rsid w:val="4D5DFCB0"/>
    <w:rsid w:val="4D942F74"/>
    <w:rsid w:val="4DF83705"/>
    <w:rsid w:val="4E25EF87"/>
    <w:rsid w:val="4E67090A"/>
    <w:rsid w:val="4EBE4CC3"/>
    <w:rsid w:val="4EDF6A9D"/>
    <w:rsid w:val="4F1DAD8E"/>
    <w:rsid w:val="4FEB45A0"/>
    <w:rsid w:val="50D09DDB"/>
    <w:rsid w:val="51061813"/>
    <w:rsid w:val="51BDF25C"/>
    <w:rsid w:val="51EE6E93"/>
    <w:rsid w:val="5224F054"/>
    <w:rsid w:val="5232FFE0"/>
    <w:rsid w:val="52DA30CD"/>
    <w:rsid w:val="52F9DD47"/>
    <w:rsid w:val="5306B825"/>
    <w:rsid w:val="5336100E"/>
    <w:rsid w:val="534B9A7E"/>
    <w:rsid w:val="535B1663"/>
    <w:rsid w:val="53A57842"/>
    <w:rsid w:val="541989A7"/>
    <w:rsid w:val="5466271D"/>
    <w:rsid w:val="551040F7"/>
    <w:rsid w:val="55283A64"/>
    <w:rsid w:val="55BAB6DD"/>
    <w:rsid w:val="55C4B6F7"/>
    <w:rsid w:val="55DB671E"/>
    <w:rsid w:val="55EBA5D6"/>
    <w:rsid w:val="561D950B"/>
    <w:rsid w:val="5640A8AC"/>
    <w:rsid w:val="564A5FBC"/>
    <w:rsid w:val="570905D1"/>
    <w:rsid w:val="5791B2BF"/>
    <w:rsid w:val="579E8B3D"/>
    <w:rsid w:val="57B4C0E0"/>
    <w:rsid w:val="58474A41"/>
    <w:rsid w:val="5867E74F"/>
    <w:rsid w:val="5905F056"/>
    <w:rsid w:val="5946AB7D"/>
    <w:rsid w:val="596560E2"/>
    <w:rsid w:val="599AD327"/>
    <w:rsid w:val="59FDAE5D"/>
    <w:rsid w:val="5A0BEA3F"/>
    <w:rsid w:val="5A21F50B"/>
    <w:rsid w:val="5A369749"/>
    <w:rsid w:val="5A63F678"/>
    <w:rsid w:val="5A66EBFA"/>
    <w:rsid w:val="5A772AB2"/>
    <w:rsid w:val="5ACD0781"/>
    <w:rsid w:val="5B734E63"/>
    <w:rsid w:val="5BCAD25E"/>
    <w:rsid w:val="5C6F09A6"/>
    <w:rsid w:val="5C85B9CD"/>
    <w:rsid w:val="5C8E3DD0"/>
    <w:rsid w:val="5CC02D05"/>
    <w:rsid w:val="5CEB9C46"/>
    <w:rsid w:val="5D5CEFCC"/>
    <w:rsid w:val="5D6CFBB3"/>
    <w:rsid w:val="5D7EA049"/>
    <w:rsid w:val="5DAE9323"/>
    <w:rsid w:val="5DF467F6"/>
    <w:rsid w:val="5E9A03E9"/>
    <w:rsid w:val="5EA52DF3"/>
    <w:rsid w:val="5F0DDF93"/>
    <w:rsid w:val="6006D2F7"/>
    <w:rsid w:val="605BE160"/>
    <w:rsid w:val="606AD2ED"/>
    <w:rsid w:val="6096BB9D"/>
    <w:rsid w:val="6149E857"/>
    <w:rsid w:val="617162D0"/>
    <w:rsid w:val="61C9E5D9"/>
    <w:rsid w:val="61D10D33"/>
    <w:rsid w:val="62160422"/>
    <w:rsid w:val="626D9D29"/>
    <w:rsid w:val="626F085D"/>
    <w:rsid w:val="629ACD7C"/>
    <w:rsid w:val="629D2A61"/>
    <w:rsid w:val="62EC0B31"/>
    <w:rsid w:val="63CDC4E7"/>
    <w:rsid w:val="6435FDD3"/>
    <w:rsid w:val="644C396A"/>
    <w:rsid w:val="64D12F1A"/>
    <w:rsid w:val="652E1F76"/>
    <w:rsid w:val="65A146F4"/>
    <w:rsid w:val="65D3FC65"/>
    <w:rsid w:val="6645E7BB"/>
    <w:rsid w:val="667B1324"/>
    <w:rsid w:val="6697D1EE"/>
    <w:rsid w:val="675B0414"/>
    <w:rsid w:val="675B69B6"/>
    <w:rsid w:val="675E44C1"/>
    <w:rsid w:val="67697942"/>
    <w:rsid w:val="67DF123B"/>
    <w:rsid w:val="67F82C7D"/>
    <w:rsid w:val="682EAE3E"/>
    <w:rsid w:val="683CBDCA"/>
    <w:rsid w:val="6881B4B9"/>
    <w:rsid w:val="68B4C1D9"/>
    <w:rsid w:val="68C1E1FC"/>
    <w:rsid w:val="69A21087"/>
    <w:rsid w:val="69B0F6F1"/>
    <w:rsid w:val="69D695ED"/>
    <w:rsid w:val="6A025E2E"/>
    <w:rsid w:val="6A3A30B1"/>
    <w:rsid w:val="6AA0828C"/>
    <w:rsid w:val="6AE64D61"/>
    <w:rsid w:val="6B0BEF55"/>
    <w:rsid w:val="6B46C992"/>
    <w:rsid w:val="6BEAAD38"/>
    <w:rsid w:val="6C4357E7"/>
    <w:rsid w:val="6C43DEEE"/>
    <w:rsid w:val="6C63D9D3"/>
    <w:rsid w:val="6C9ABD19"/>
    <w:rsid w:val="6CC8D49E"/>
    <w:rsid w:val="6CF08539"/>
    <w:rsid w:val="6D08A709"/>
    <w:rsid w:val="6D0D9F37"/>
    <w:rsid w:val="6D4ABDA6"/>
    <w:rsid w:val="6D9294E7"/>
    <w:rsid w:val="6E1DB5D2"/>
    <w:rsid w:val="6E719033"/>
    <w:rsid w:val="6E732D3D"/>
    <w:rsid w:val="6E74D6FF"/>
    <w:rsid w:val="6EA43531"/>
    <w:rsid w:val="6EC2C350"/>
    <w:rsid w:val="6F013912"/>
    <w:rsid w:val="6FBAD5F4"/>
    <w:rsid w:val="6FFAC6CC"/>
    <w:rsid w:val="7119096A"/>
    <w:rsid w:val="715870A3"/>
    <w:rsid w:val="715FF4F3"/>
    <w:rsid w:val="71637ED3"/>
    <w:rsid w:val="71D98876"/>
    <w:rsid w:val="722D0765"/>
    <w:rsid w:val="724B0B9F"/>
    <w:rsid w:val="725E77AB"/>
    <w:rsid w:val="729FB66F"/>
    <w:rsid w:val="72BFE960"/>
    <w:rsid w:val="7329B0BA"/>
    <w:rsid w:val="739E8429"/>
    <w:rsid w:val="73D6814A"/>
    <w:rsid w:val="74121940"/>
    <w:rsid w:val="745D915C"/>
    <w:rsid w:val="74A3C1D3"/>
    <w:rsid w:val="7577065B"/>
    <w:rsid w:val="7591C8CA"/>
    <w:rsid w:val="7610EF1B"/>
    <w:rsid w:val="7614A31B"/>
    <w:rsid w:val="762A1778"/>
    <w:rsid w:val="76DF1B9F"/>
    <w:rsid w:val="771DDA6B"/>
    <w:rsid w:val="77D3A3C3"/>
    <w:rsid w:val="7955685B"/>
    <w:rsid w:val="796017C4"/>
    <w:rsid w:val="796FAB12"/>
    <w:rsid w:val="798B4042"/>
    <w:rsid w:val="79D12DFA"/>
    <w:rsid w:val="79E6DF6F"/>
    <w:rsid w:val="79FE6DB1"/>
    <w:rsid w:val="7B546959"/>
    <w:rsid w:val="7B6C62C6"/>
    <w:rsid w:val="7B764CA7"/>
    <w:rsid w:val="7BE4BD93"/>
    <w:rsid w:val="7C9F8D02"/>
    <w:rsid w:val="7D4E3EE8"/>
    <w:rsid w:val="7D5B0AEE"/>
    <w:rsid w:val="7DE14399"/>
    <w:rsid w:val="7DE67F7B"/>
    <w:rsid w:val="7E467BB4"/>
    <w:rsid w:val="7FB7D161"/>
    <w:rsid w:val="7FC1B7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E1FC"/>
  <w15:docId w15:val="{0F263127-0FBE-4D2D-A82A-405D48B7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C0"/>
  </w:style>
  <w:style w:type="paragraph" w:styleId="Heading1">
    <w:name w:val="heading 1"/>
    <w:basedOn w:val="Normal"/>
    <w:next w:val="Normal"/>
    <w:link w:val="Heading1Char"/>
    <w:uiPriority w:val="9"/>
    <w:qFormat/>
    <w:rsid w:val="00746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094"/>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36DF8"/>
  </w:style>
  <w:style w:type="character" w:customStyle="1" w:styleId="eop">
    <w:name w:val="eop"/>
    <w:basedOn w:val="DefaultParagraphFont"/>
    <w:rsid w:val="00E36DF8"/>
  </w:style>
  <w:style w:type="character" w:styleId="CommentReference">
    <w:name w:val="annotation reference"/>
    <w:basedOn w:val="DefaultParagraphFont"/>
    <w:uiPriority w:val="99"/>
    <w:semiHidden/>
    <w:unhideWhenUsed/>
    <w:rsid w:val="00457A8C"/>
    <w:rPr>
      <w:sz w:val="16"/>
      <w:szCs w:val="16"/>
    </w:rPr>
  </w:style>
  <w:style w:type="paragraph" w:styleId="CommentText">
    <w:name w:val="annotation text"/>
    <w:basedOn w:val="Normal"/>
    <w:link w:val="CommentTextChar"/>
    <w:uiPriority w:val="99"/>
    <w:unhideWhenUsed/>
    <w:rsid w:val="00457A8C"/>
    <w:pPr>
      <w:spacing w:line="240" w:lineRule="auto"/>
    </w:pPr>
    <w:rPr>
      <w:sz w:val="20"/>
      <w:szCs w:val="20"/>
    </w:rPr>
  </w:style>
  <w:style w:type="character" w:customStyle="1" w:styleId="CommentTextChar">
    <w:name w:val="Comment Text Char"/>
    <w:basedOn w:val="DefaultParagraphFont"/>
    <w:link w:val="CommentText"/>
    <w:uiPriority w:val="99"/>
    <w:rsid w:val="00457A8C"/>
    <w:rPr>
      <w:sz w:val="20"/>
      <w:szCs w:val="20"/>
    </w:rPr>
  </w:style>
  <w:style w:type="paragraph" w:styleId="CommentSubject">
    <w:name w:val="annotation subject"/>
    <w:basedOn w:val="CommentText"/>
    <w:next w:val="CommentText"/>
    <w:link w:val="CommentSubjectChar"/>
    <w:uiPriority w:val="99"/>
    <w:semiHidden/>
    <w:unhideWhenUsed/>
    <w:rsid w:val="00457A8C"/>
    <w:rPr>
      <w:b/>
      <w:bCs/>
    </w:rPr>
  </w:style>
  <w:style w:type="character" w:customStyle="1" w:styleId="CommentSubjectChar">
    <w:name w:val="Comment Subject Char"/>
    <w:basedOn w:val="CommentTextChar"/>
    <w:link w:val="CommentSubject"/>
    <w:uiPriority w:val="99"/>
    <w:semiHidden/>
    <w:rsid w:val="00457A8C"/>
    <w:rPr>
      <w:b/>
      <w:bCs/>
      <w:sz w:val="20"/>
      <w:szCs w:val="20"/>
    </w:rPr>
  </w:style>
  <w:style w:type="character" w:styleId="Mention">
    <w:name w:val="Mention"/>
    <w:basedOn w:val="DefaultParagraphFont"/>
    <w:uiPriority w:val="99"/>
    <w:unhideWhenUsed/>
    <w:rsid w:val="00457A8C"/>
    <w:rPr>
      <w:color w:val="2B579A"/>
      <w:shd w:val="clear" w:color="auto" w:fill="E1DFDD"/>
    </w:rPr>
  </w:style>
  <w:style w:type="paragraph" w:styleId="ListParagraph">
    <w:name w:val="List Paragraph"/>
    <w:basedOn w:val="Normal"/>
    <w:uiPriority w:val="34"/>
    <w:qFormat/>
    <w:rsid w:val="00FC43C0"/>
    <w:pPr>
      <w:ind w:left="720"/>
      <w:contextualSpacing/>
    </w:pPr>
  </w:style>
  <w:style w:type="paragraph" w:customStyle="1" w:styleId="paragraph">
    <w:name w:val="paragraph"/>
    <w:basedOn w:val="Normal"/>
    <w:rsid w:val="003725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7D4292"/>
  </w:style>
  <w:style w:type="character" w:customStyle="1" w:styleId="num">
    <w:name w:val="num"/>
    <w:basedOn w:val="DefaultParagraphFont"/>
    <w:rsid w:val="007D4292"/>
  </w:style>
  <w:style w:type="character" w:customStyle="1" w:styleId="name">
    <w:name w:val="name"/>
    <w:basedOn w:val="DefaultParagraphFont"/>
    <w:rsid w:val="007D4292"/>
  </w:style>
  <w:style w:type="paragraph" w:customStyle="1" w:styleId="heading">
    <w:name w:val="heading"/>
    <w:basedOn w:val="Normal"/>
    <w:rsid w:val="00471E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E2C"/>
    <w:rPr>
      <w:color w:val="0000FF"/>
      <w:u w:val="single"/>
    </w:rPr>
  </w:style>
  <w:style w:type="paragraph" w:styleId="Revision">
    <w:name w:val="Revision"/>
    <w:hidden/>
    <w:uiPriority w:val="99"/>
    <w:semiHidden/>
    <w:rsid w:val="00234700"/>
    <w:pPr>
      <w:spacing w:after="0" w:line="240" w:lineRule="auto"/>
    </w:pPr>
  </w:style>
  <w:style w:type="character" w:customStyle="1" w:styleId="Heading2Char">
    <w:name w:val="Heading 2 Char"/>
    <w:basedOn w:val="DefaultParagraphFont"/>
    <w:link w:val="Heading2"/>
    <w:uiPriority w:val="9"/>
    <w:rsid w:val="00E50094"/>
    <w:rPr>
      <w:b/>
      <w:bCs/>
    </w:rPr>
  </w:style>
  <w:style w:type="character" w:customStyle="1" w:styleId="advancedproofingissue">
    <w:name w:val="advancedproofingissue"/>
    <w:basedOn w:val="DefaultParagraphFont"/>
    <w:rsid w:val="002A1D90"/>
  </w:style>
  <w:style w:type="character" w:customStyle="1" w:styleId="contextualspellingandgrammarerror">
    <w:name w:val="contextualspellingandgrammarerror"/>
    <w:basedOn w:val="DefaultParagraphFont"/>
    <w:rsid w:val="002A1D90"/>
  </w:style>
  <w:style w:type="character" w:customStyle="1" w:styleId="Heading1Char">
    <w:name w:val="Heading 1 Char"/>
    <w:basedOn w:val="DefaultParagraphFont"/>
    <w:link w:val="Heading1"/>
    <w:uiPriority w:val="9"/>
    <w:rsid w:val="007469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69B4"/>
    <w:pPr>
      <w:outlineLvl w:val="9"/>
    </w:pPr>
  </w:style>
  <w:style w:type="paragraph" w:styleId="TOC2">
    <w:name w:val="toc 2"/>
    <w:basedOn w:val="Normal"/>
    <w:next w:val="Normal"/>
    <w:autoRedefine/>
    <w:uiPriority w:val="39"/>
    <w:unhideWhenUsed/>
    <w:rsid w:val="007469B4"/>
    <w:pPr>
      <w:spacing w:after="100"/>
      <w:ind w:left="220"/>
    </w:pPr>
  </w:style>
  <w:style w:type="paragraph" w:styleId="TOC1">
    <w:name w:val="toc 1"/>
    <w:basedOn w:val="Normal"/>
    <w:next w:val="Normal"/>
    <w:autoRedefine/>
    <w:uiPriority w:val="39"/>
    <w:unhideWhenUsed/>
    <w:rsid w:val="00454A95"/>
    <w:pPr>
      <w:spacing w:after="100"/>
    </w:pPr>
    <w:rPr>
      <w:rFonts w:eastAsiaTheme="minorEastAsia" w:cs="Times New Roman"/>
    </w:rPr>
  </w:style>
  <w:style w:type="paragraph" w:styleId="TOC3">
    <w:name w:val="toc 3"/>
    <w:basedOn w:val="Normal"/>
    <w:next w:val="Normal"/>
    <w:autoRedefine/>
    <w:uiPriority w:val="39"/>
    <w:unhideWhenUsed/>
    <w:rsid w:val="00454A9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4359">
      <w:bodyDiv w:val="1"/>
      <w:marLeft w:val="0"/>
      <w:marRight w:val="0"/>
      <w:marTop w:val="0"/>
      <w:marBottom w:val="0"/>
      <w:divBdr>
        <w:top w:val="none" w:sz="0" w:space="0" w:color="auto"/>
        <w:left w:val="none" w:sz="0" w:space="0" w:color="auto"/>
        <w:bottom w:val="none" w:sz="0" w:space="0" w:color="auto"/>
        <w:right w:val="none" w:sz="0" w:space="0" w:color="auto"/>
      </w:divBdr>
      <w:divsChild>
        <w:div w:id="644236642">
          <w:marLeft w:val="0"/>
          <w:marRight w:val="0"/>
          <w:marTop w:val="0"/>
          <w:marBottom w:val="0"/>
          <w:divBdr>
            <w:top w:val="none" w:sz="0" w:space="0" w:color="auto"/>
            <w:left w:val="none" w:sz="0" w:space="0" w:color="auto"/>
            <w:bottom w:val="none" w:sz="0" w:space="0" w:color="auto"/>
            <w:right w:val="none" w:sz="0" w:space="0" w:color="auto"/>
          </w:divBdr>
          <w:divsChild>
            <w:div w:id="1424452007">
              <w:marLeft w:val="0"/>
              <w:marRight w:val="0"/>
              <w:marTop w:val="0"/>
              <w:marBottom w:val="0"/>
              <w:divBdr>
                <w:top w:val="none" w:sz="0" w:space="0" w:color="auto"/>
                <w:left w:val="none" w:sz="0" w:space="0" w:color="auto"/>
                <w:bottom w:val="none" w:sz="0" w:space="0" w:color="auto"/>
                <w:right w:val="none" w:sz="0" w:space="0" w:color="auto"/>
              </w:divBdr>
            </w:div>
            <w:div w:id="16544995">
              <w:marLeft w:val="0"/>
              <w:marRight w:val="0"/>
              <w:marTop w:val="0"/>
              <w:marBottom w:val="0"/>
              <w:divBdr>
                <w:top w:val="none" w:sz="0" w:space="0" w:color="auto"/>
                <w:left w:val="none" w:sz="0" w:space="0" w:color="auto"/>
                <w:bottom w:val="none" w:sz="0" w:space="0" w:color="auto"/>
                <w:right w:val="none" w:sz="0" w:space="0" w:color="auto"/>
              </w:divBdr>
            </w:div>
            <w:div w:id="786435721">
              <w:marLeft w:val="0"/>
              <w:marRight w:val="0"/>
              <w:marTop w:val="0"/>
              <w:marBottom w:val="0"/>
              <w:divBdr>
                <w:top w:val="none" w:sz="0" w:space="0" w:color="auto"/>
                <w:left w:val="none" w:sz="0" w:space="0" w:color="auto"/>
                <w:bottom w:val="none" w:sz="0" w:space="0" w:color="auto"/>
                <w:right w:val="none" w:sz="0" w:space="0" w:color="auto"/>
              </w:divBdr>
            </w:div>
          </w:divsChild>
        </w:div>
        <w:div w:id="1664511017">
          <w:marLeft w:val="0"/>
          <w:marRight w:val="0"/>
          <w:marTop w:val="0"/>
          <w:marBottom w:val="0"/>
          <w:divBdr>
            <w:top w:val="none" w:sz="0" w:space="0" w:color="auto"/>
            <w:left w:val="none" w:sz="0" w:space="0" w:color="auto"/>
            <w:bottom w:val="none" w:sz="0" w:space="0" w:color="auto"/>
            <w:right w:val="none" w:sz="0" w:space="0" w:color="auto"/>
          </w:divBdr>
          <w:divsChild>
            <w:div w:id="458573333">
              <w:marLeft w:val="0"/>
              <w:marRight w:val="0"/>
              <w:marTop w:val="0"/>
              <w:marBottom w:val="0"/>
              <w:divBdr>
                <w:top w:val="none" w:sz="0" w:space="0" w:color="auto"/>
                <w:left w:val="none" w:sz="0" w:space="0" w:color="auto"/>
                <w:bottom w:val="none" w:sz="0" w:space="0" w:color="auto"/>
                <w:right w:val="none" w:sz="0" w:space="0" w:color="auto"/>
              </w:divBdr>
            </w:div>
            <w:div w:id="913395879">
              <w:marLeft w:val="0"/>
              <w:marRight w:val="0"/>
              <w:marTop w:val="0"/>
              <w:marBottom w:val="0"/>
              <w:divBdr>
                <w:top w:val="none" w:sz="0" w:space="0" w:color="auto"/>
                <w:left w:val="none" w:sz="0" w:space="0" w:color="auto"/>
                <w:bottom w:val="none" w:sz="0" w:space="0" w:color="auto"/>
                <w:right w:val="none" w:sz="0" w:space="0" w:color="auto"/>
              </w:divBdr>
            </w:div>
            <w:div w:id="1500731734">
              <w:marLeft w:val="0"/>
              <w:marRight w:val="0"/>
              <w:marTop w:val="0"/>
              <w:marBottom w:val="0"/>
              <w:divBdr>
                <w:top w:val="none" w:sz="0" w:space="0" w:color="auto"/>
                <w:left w:val="none" w:sz="0" w:space="0" w:color="auto"/>
                <w:bottom w:val="none" w:sz="0" w:space="0" w:color="auto"/>
                <w:right w:val="none" w:sz="0" w:space="0" w:color="auto"/>
              </w:divBdr>
            </w:div>
            <w:div w:id="606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989">
      <w:bodyDiv w:val="1"/>
      <w:marLeft w:val="0"/>
      <w:marRight w:val="0"/>
      <w:marTop w:val="0"/>
      <w:marBottom w:val="0"/>
      <w:divBdr>
        <w:top w:val="none" w:sz="0" w:space="0" w:color="auto"/>
        <w:left w:val="none" w:sz="0" w:space="0" w:color="auto"/>
        <w:bottom w:val="none" w:sz="0" w:space="0" w:color="auto"/>
        <w:right w:val="none" w:sz="0" w:space="0" w:color="auto"/>
      </w:divBdr>
    </w:div>
    <w:div w:id="223496007">
      <w:bodyDiv w:val="1"/>
      <w:marLeft w:val="0"/>
      <w:marRight w:val="0"/>
      <w:marTop w:val="0"/>
      <w:marBottom w:val="0"/>
      <w:divBdr>
        <w:top w:val="none" w:sz="0" w:space="0" w:color="auto"/>
        <w:left w:val="none" w:sz="0" w:space="0" w:color="auto"/>
        <w:bottom w:val="none" w:sz="0" w:space="0" w:color="auto"/>
        <w:right w:val="none" w:sz="0" w:space="0" w:color="auto"/>
      </w:divBdr>
      <w:divsChild>
        <w:div w:id="1932423291">
          <w:marLeft w:val="0"/>
          <w:marRight w:val="0"/>
          <w:marTop w:val="0"/>
          <w:marBottom w:val="0"/>
          <w:divBdr>
            <w:top w:val="none" w:sz="0" w:space="0" w:color="auto"/>
            <w:left w:val="none" w:sz="0" w:space="0" w:color="auto"/>
            <w:bottom w:val="none" w:sz="0" w:space="0" w:color="auto"/>
            <w:right w:val="none" w:sz="0" w:space="0" w:color="auto"/>
          </w:divBdr>
        </w:div>
        <w:div w:id="1063797262">
          <w:marLeft w:val="0"/>
          <w:marRight w:val="0"/>
          <w:marTop w:val="0"/>
          <w:marBottom w:val="0"/>
          <w:divBdr>
            <w:top w:val="none" w:sz="0" w:space="0" w:color="auto"/>
            <w:left w:val="none" w:sz="0" w:space="0" w:color="auto"/>
            <w:bottom w:val="none" w:sz="0" w:space="0" w:color="auto"/>
            <w:right w:val="none" w:sz="0" w:space="0" w:color="auto"/>
          </w:divBdr>
        </w:div>
        <w:div w:id="695741132">
          <w:marLeft w:val="0"/>
          <w:marRight w:val="0"/>
          <w:marTop w:val="0"/>
          <w:marBottom w:val="0"/>
          <w:divBdr>
            <w:top w:val="none" w:sz="0" w:space="0" w:color="auto"/>
            <w:left w:val="none" w:sz="0" w:space="0" w:color="auto"/>
            <w:bottom w:val="none" w:sz="0" w:space="0" w:color="auto"/>
            <w:right w:val="none" w:sz="0" w:space="0" w:color="auto"/>
          </w:divBdr>
        </w:div>
        <w:div w:id="463238272">
          <w:marLeft w:val="0"/>
          <w:marRight w:val="0"/>
          <w:marTop w:val="0"/>
          <w:marBottom w:val="0"/>
          <w:divBdr>
            <w:top w:val="none" w:sz="0" w:space="0" w:color="auto"/>
            <w:left w:val="none" w:sz="0" w:space="0" w:color="auto"/>
            <w:bottom w:val="none" w:sz="0" w:space="0" w:color="auto"/>
            <w:right w:val="none" w:sz="0" w:space="0" w:color="auto"/>
          </w:divBdr>
        </w:div>
        <w:div w:id="27339660">
          <w:marLeft w:val="0"/>
          <w:marRight w:val="0"/>
          <w:marTop w:val="0"/>
          <w:marBottom w:val="0"/>
          <w:divBdr>
            <w:top w:val="none" w:sz="0" w:space="0" w:color="auto"/>
            <w:left w:val="none" w:sz="0" w:space="0" w:color="auto"/>
            <w:bottom w:val="none" w:sz="0" w:space="0" w:color="auto"/>
            <w:right w:val="none" w:sz="0" w:space="0" w:color="auto"/>
          </w:divBdr>
        </w:div>
        <w:div w:id="797531189">
          <w:marLeft w:val="0"/>
          <w:marRight w:val="0"/>
          <w:marTop w:val="0"/>
          <w:marBottom w:val="0"/>
          <w:divBdr>
            <w:top w:val="none" w:sz="0" w:space="0" w:color="auto"/>
            <w:left w:val="none" w:sz="0" w:space="0" w:color="auto"/>
            <w:bottom w:val="none" w:sz="0" w:space="0" w:color="auto"/>
            <w:right w:val="none" w:sz="0" w:space="0" w:color="auto"/>
          </w:divBdr>
        </w:div>
        <w:div w:id="1189873400">
          <w:marLeft w:val="0"/>
          <w:marRight w:val="0"/>
          <w:marTop w:val="0"/>
          <w:marBottom w:val="0"/>
          <w:divBdr>
            <w:top w:val="none" w:sz="0" w:space="0" w:color="auto"/>
            <w:left w:val="none" w:sz="0" w:space="0" w:color="auto"/>
            <w:bottom w:val="none" w:sz="0" w:space="0" w:color="auto"/>
            <w:right w:val="none" w:sz="0" w:space="0" w:color="auto"/>
          </w:divBdr>
        </w:div>
        <w:div w:id="487332089">
          <w:marLeft w:val="0"/>
          <w:marRight w:val="0"/>
          <w:marTop w:val="0"/>
          <w:marBottom w:val="0"/>
          <w:divBdr>
            <w:top w:val="none" w:sz="0" w:space="0" w:color="auto"/>
            <w:left w:val="none" w:sz="0" w:space="0" w:color="auto"/>
            <w:bottom w:val="none" w:sz="0" w:space="0" w:color="auto"/>
            <w:right w:val="none" w:sz="0" w:space="0" w:color="auto"/>
          </w:divBdr>
        </w:div>
        <w:div w:id="205992433">
          <w:marLeft w:val="0"/>
          <w:marRight w:val="0"/>
          <w:marTop w:val="0"/>
          <w:marBottom w:val="0"/>
          <w:divBdr>
            <w:top w:val="none" w:sz="0" w:space="0" w:color="auto"/>
            <w:left w:val="none" w:sz="0" w:space="0" w:color="auto"/>
            <w:bottom w:val="none" w:sz="0" w:space="0" w:color="auto"/>
            <w:right w:val="none" w:sz="0" w:space="0" w:color="auto"/>
          </w:divBdr>
        </w:div>
      </w:divsChild>
    </w:div>
    <w:div w:id="261691796">
      <w:bodyDiv w:val="1"/>
      <w:marLeft w:val="0"/>
      <w:marRight w:val="0"/>
      <w:marTop w:val="0"/>
      <w:marBottom w:val="0"/>
      <w:divBdr>
        <w:top w:val="none" w:sz="0" w:space="0" w:color="auto"/>
        <w:left w:val="none" w:sz="0" w:space="0" w:color="auto"/>
        <w:bottom w:val="none" w:sz="0" w:space="0" w:color="auto"/>
        <w:right w:val="none" w:sz="0" w:space="0" w:color="auto"/>
      </w:divBdr>
    </w:div>
    <w:div w:id="304284133">
      <w:bodyDiv w:val="1"/>
      <w:marLeft w:val="0"/>
      <w:marRight w:val="0"/>
      <w:marTop w:val="0"/>
      <w:marBottom w:val="0"/>
      <w:divBdr>
        <w:top w:val="none" w:sz="0" w:space="0" w:color="auto"/>
        <w:left w:val="none" w:sz="0" w:space="0" w:color="auto"/>
        <w:bottom w:val="none" w:sz="0" w:space="0" w:color="auto"/>
        <w:right w:val="none" w:sz="0" w:space="0" w:color="auto"/>
      </w:divBdr>
    </w:div>
    <w:div w:id="339698565">
      <w:bodyDiv w:val="1"/>
      <w:marLeft w:val="0"/>
      <w:marRight w:val="0"/>
      <w:marTop w:val="0"/>
      <w:marBottom w:val="0"/>
      <w:divBdr>
        <w:top w:val="none" w:sz="0" w:space="0" w:color="auto"/>
        <w:left w:val="none" w:sz="0" w:space="0" w:color="auto"/>
        <w:bottom w:val="none" w:sz="0" w:space="0" w:color="auto"/>
        <w:right w:val="none" w:sz="0" w:space="0" w:color="auto"/>
      </w:divBdr>
    </w:div>
    <w:div w:id="605504331">
      <w:bodyDiv w:val="1"/>
      <w:marLeft w:val="0"/>
      <w:marRight w:val="0"/>
      <w:marTop w:val="0"/>
      <w:marBottom w:val="0"/>
      <w:divBdr>
        <w:top w:val="none" w:sz="0" w:space="0" w:color="auto"/>
        <w:left w:val="none" w:sz="0" w:space="0" w:color="auto"/>
        <w:bottom w:val="none" w:sz="0" w:space="0" w:color="auto"/>
        <w:right w:val="none" w:sz="0" w:space="0" w:color="auto"/>
      </w:divBdr>
    </w:div>
    <w:div w:id="615866353">
      <w:bodyDiv w:val="1"/>
      <w:marLeft w:val="0"/>
      <w:marRight w:val="0"/>
      <w:marTop w:val="0"/>
      <w:marBottom w:val="0"/>
      <w:divBdr>
        <w:top w:val="none" w:sz="0" w:space="0" w:color="auto"/>
        <w:left w:val="none" w:sz="0" w:space="0" w:color="auto"/>
        <w:bottom w:val="none" w:sz="0" w:space="0" w:color="auto"/>
        <w:right w:val="none" w:sz="0" w:space="0" w:color="auto"/>
      </w:divBdr>
    </w:div>
    <w:div w:id="638732575">
      <w:bodyDiv w:val="1"/>
      <w:marLeft w:val="0"/>
      <w:marRight w:val="0"/>
      <w:marTop w:val="0"/>
      <w:marBottom w:val="0"/>
      <w:divBdr>
        <w:top w:val="none" w:sz="0" w:space="0" w:color="auto"/>
        <w:left w:val="none" w:sz="0" w:space="0" w:color="auto"/>
        <w:bottom w:val="none" w:sz="0" w:space="0" w:color="auto"/>
        <w:right w:val="none" w:sz="0" w:space="0" w:color="auto"/>
      </w:divBdr>
    </w:div>
    <w:div w:id="689187522">
      <w:bodyDiv w:val="1"/>
      <w:marLeft w:val="0"/>
      <w:marRight w:val="0"/>
      <w:marTop w:val="0"/>
      <w:marBottom w:val="0"/>
      <w:divBdr>
        <w:top w:val="none" w:sz="0" w:space="0" w:color="auto"/>
        <w:left w:val="none" w:sz="0" w:space="0" w:color="auto"/>
        <w:bottom w:val="none" w:sz="0" w:space="0" w:color="auto"/>
        <w:right w:val="none" w:sz="0" w:space="0" w:color="auto"/>
      </w:divBdr>
      <w:divsChild>
        <w:div w:id="1485118921">
          <w:marLeft w:val="0"/>
          <w:marRight w:val="0"/>
          <w:marTop w:val="0"/>
          <w:marBottom w:val="0"/>
          <w:divBdr>
            <w:top w:val="none" w:sz="0" w:space="0" w:color="auto"/>
            <w:left w:val="none" w:sz="0" w:space="0" w:color="auto"/>
            <w:bottom w:val="none" w:sz="0" w:space="0" w:color="auto"/>
            <w:right w:val="none" w:sz="0" w:space="0" w:color="auto"/>
          </w:divBdr>
        </w:div>
        <w:div w:id="2009017489">
          <w:marLeft w:val="0"/>
          <w:marRight w:val="0"/>
          <w:marTop w:val="0"/>
          <w:marBottom w:val="0"/>
          <w:divBdr>
            <w:top w:val="none" w:sz="0" w:space="0" w:color="auto"/>
            <w:left w:val="none" w:sz="0" w:space="0" w:color="auto"/>
            <w:bottom w:val="none" w:sz="0" w:space="0" w:color="auto"/>
            <w:right w:val="none" w:sz="0" w:space="0" w:color="auto"/>
          </w:divBdr>
        </w:div>
        <w:div w:id="402720648">
          <w:marLeft w:val="0"/>
          <w:marRight w:val="0"/>
          <w:marTop w:val="0"/>
          <w:marBottom w:val="0"/>
          <w:divBdr>
            <w:top w:val="none" w:sz="0" w:space="0" w:color="auto"/>
            <w:left w:val="none" w:sz="0" w:space="0" w:color="auto"/>
            <w:bottom w:val="none" w:sz="0" w:space="0" w:color="auto"/>
            <w:right w:val="none" w:sz="0" w:space="0" w:color="auto"/>
          </w:divBdr>
        </w:div>
        <w:div w:id="1093815279">
          <w:marLeft w:val="0"/>
          <w:marRight w:val="0"/>
          <w:marTop w:val="0"/>
          <w:marBottom w:val="0"/>
          <w:divBdr>
            <w:top w:val="none" w:sz="0" w:space="0" w:color="auto"/>
            <w:left w:val="none" w:sz="0" w:space="0" w:color="auto"/>
            <w:bottom w:val="none" w:sz="0" w:space="0" w:color="auto"/>
            <w:right w:val="none" w:sz="0" w:space="0" w:color="auto"/>
          </w:divBdr>
        </w:div>
        <w:div w:id="1891115659">
          <w:marLeft w:val="0"/>
          <w:marRight w:val="0"/>
          <w:marTop w:val="0"/>
          <w:marBottom w:val="0"/>
          <w:divBdr>
            <w:top w:val="none" w:sz="0" w:space="0" w:color="auto"/>
            <w:left w:val="none" w:sz="0" w:space="0" w:color="auto"/>
            <w:bottom w:val="none" w:sz="0" w:space="0" w:color="auto"/>
            <w:right w:val="none" w:sz="0" w:space="0" w:color="auto"/>
          </w:divBdr>
        </w:div>
        <w:div w:id="428696264">
          <w:marLeft w:val="0"/>
          <w:marRight w:val="0"/>
          <w:marTop w:val="0"/>
          <w:marBottom w:val="0"/>
          <w:divBdr>
            <w:top w:val="none" w:sz="0" w:space="0" w:color="auto"/>
            <w:left w:val="none" w:sz="0" w:space="0" w:color="auto"/>
            <w:bottom w:val="none" w:sz="0" w:space="0" w:color="auto"/>
            <w:right w:val="none" w:sz="0" w:space="0" w:color="auto"/>
          </w:divBdr>
        </w:div>
        <w:div w:id="9533433">
          <w:marLeft w:val="0"/>
          <w:marRight w:val="0"/>
          <w:marTop w:val="0"/>
          <w:marBottom w:val="0"/>
          <w:divBdr>
            <w:top w:val="none" w:sz="0" w:space="0" w:color="auto"/>
            <w:left w:val="none" w:sz="0" w:space="0" w:color="auto"/>
            <w:bottom w:val="none" w:sz="0" w:space="0" w:color="auto"/>
            <w:right w:val="none" w:sz="0" w:space="0" w:color="auto"/>
          </w:divBdr>
        </w:div>
        <w:div w:id="2024624444">
          <w:marLeft w:val="0"/>
          <w:marRight w:val="0"/>
          <w:marTop w:val="0"/>
          <w:marBottom w:val="0"/>
          <w:divBdr>
            <w:top w:val="none" w:sz="0" w:space="0" w:color="auto"/>
            <w:left w:val="none" w:sz="0" w:space="0" w:color="auto"/>
            <w:bottom w:val="none" w:sz="0" w:space="0" w:color="auto"/>
            <w:right w:val="none" w:sz="0" w:space="0" w:color="auto"/>
          </w:divBdr>
        </w:div>
        <w:div w:id="569385212">
          <w:marLeft w:val="0"/>
          <w:marRight w:val="0"/>
          <w:marTop w:val="0"/>
          <w:marBottom w:val="0"/>
          <w:divBdr>
            <w:top w:val="none" w:sz="0" w:space="0" w:color="auto"/>
            <w:left w:val="none" w:sz="0" w:space="0" w:color="auto"/>
            <w:bottom w:val="none" w:sz="0" w:space="0" w:color="auto"/>
            <w:right w:val="none" w:sz="0" w:space="0" w:color="auto"/>
          </w:divBdr>
        </w:div>
        <w:div w:id="358897011">
          <w:marLeft w:val="0"/>
          <w:marRight w:val="0"/>
          <w:marTop w:val="0"/>
          <w:marBottom w:val="0"/>
          <w:divBdr>
            <w:top w:val="none" w:sz="0" w:space="0" w:color="auto"/>
            <w:left w:val="none" w:sz="0" w:space="0" w:color="auto"/>
            <w:bottom w:val="none" w:sz="0" w:space="0" w:color="auto"/>
            <w:right w:val="none" w:sz="0" w:space="0" w:color="auto"/>
          </w:divBdr>
        </w:div>
        <w:div w:id="167065774">
          <w:marLeft w:val="0"/>
          <w:marRight w:val="0"/>
          <w:marTop w:val="0"/>
          <w:marBottom w:val="0"/>
          <w:divBdr>
            <w:top w:val="none" w:sz="0" w:space="0" w:color="auto"/>
            <w:left w:val="none" w:sz="0" w:space="0" w:color="auto"/>
            <w:bottom w:val="none" w:sz="0" w:space="0" w:color="auto"/>
            <w:right w:val="none" w:sz="0" w:space="0" w:color="auto"/>
          </w:divBdr>
        </w:div>
        <w:div w:id="1479760857">
          <w:marLeft w:val="0"/>
          <w:marRight w:val="0"/>
          <w:marTop w:val="0"/>
          <w:marBottom w:val="0"/>
          <w:divBdr>
            <w:top w:val="none" w:sz="0" w:space="0" w:color="auto"/>
            <w:left w:val="none" w:sz="0" w:space="0" w:color="auto"/>
            <w:bottom w:val="none" w:sz="0" w:space="0" w:color="auto"/>
            <w:right w:val="none" w:sz="0" w:space="0" w:color="auto"/>
          </w:divBdr>
        </w:div>
      </w:divsChild>
    </w:div>
    <w:div w:id="761799365">
      <w:bodyDiv w:val="1"/>
      <w:marLeft w:val="0"/>
      <w:marRight w:val="0"/>
      <w:marTop w:val="0"/>
      <w:marBottom w:val="0"/>
      <w:divBdr>
        <w:top w:val="none" w:sz="0" w:space="0" w:color="auto"/>
        <w:left w:val="none" w:sz="0" w:space="0" w:color="auto"/>
        <w:bottom w:val="none" w:sz="0" w:space="0" w:color="auto"/>
        <w:right w:val="none" w:sz="0" w:space="0" w:color="auto"/>
      </w:divBdr>
    </w:div>
    <w:div w:id="819149304">
      <w:bodyDiv w:val="1"/>
      <w:marLeft w:val="0"/>
      <w:marRight w:val="0"/>
      <w:marTop w:val="0"/>
      <w:marBottom w:val="0"/>
      <w:divBdr>
        <w:top w:val="none" w:sz="0" w:space="0" w:color="auto"/>
        <w:left w:val="none" w:sz="0" w:space="0" w:color="auto"/>
        <w:bottom w:val="none" w:sz="0" w:space="0" w:color="auto"/>
        <w:right w:val="none" w:sz="0" w:space="0" w:color="auto"/>
      </w:divBdr>
    </w:div>
    <w:div w:id="845247318">
      <w:bodyDiv w:val="1"/>
      <w:marLeft w:val="0"/>
      <w:marRight w:val="0"/>
      <w:marTop w:val="0"/>
      <w:marBottom w:val="0"/>
      <w:divBdr>
        <w:top w:val="none" w:sz="0" w:space="0" w:color="auto"/>
        <w:left w:val="none" w:sz="0" w:space="0" w:color="auto"/>
        <w:bottom w:val="none" w:sz="0" w:space="0" w:color="auto"/>
        <w:right w:val="none" w:sz="0" w:space="0" w:color="auto"/>
      </w:divBdr>
      <w:divsChild>
        <w:div w:id="1112895765">
          <w:marLeft w:val="0"/>
          <w:marRight w:val="0"/>
          <w:marTop w:val="0"/>
          <w:marBottom w:val="0"/>
          <w:divBdr>
            <w:top w:val="none" w:sz="0" w:space="0" w:color="auto"/>
            <w:left w:val="none" w:sz="0" w:space="0" w:color="auto"/>
            <w:bottom w:val="none" w:sz="0" w:space="0" w:color="auto"/>
            <w:right w:val="none" w:sz="0" w:space="0" w:color="auto"/>
          </w:divBdr>
          <w:divsChild>
            <w:div w:id="1080564620">
              <w:marLeft w:val="0"/>
              <w:marRight w:val="0"/>
              <w:marTop w:val="0"/>
              <w:marBottom w:val="0"/>
              <w:divBdr>
                <w:top w:val="none" w:sz="0" w:space="0" w:color="auto"/>
                <w:left w:val="none" w:sz="0" w:space="0" w:color="auto"/>
                <w:bottom w:val="none" w:sz="0" w:space="0" w:color="auto"/>
                <w:right w:val="none" w:sz="0" w:space="0" w:color="auto"/>
              </w:divBdr>
            </w:div>
            <w:div w:id="1843467824">
              <w:marLeft w:val="0"/>
              <w:marRight w:val="0"/>
              <w:marTop w:val="0"/>
              <w:marBottom w:val="0"/>
              <w:divBdr>
                <w:top w:val="none" w:sz="0" w:space="0" w:color="auto"/>
                <w:left w:val="none" w:sz="0" w:space="0" w:color="auto"/>
                <w:bottom w:val="none" w:sz="0" w:space="0" w:color="auto"/>
                <w:right w:val="none" w:sz="0" w:space="0" w:color="auto"/>
              </w:divBdr>
            </w:div>
            <w:div w:id="1993101219">
              <w:marLeft w:val="0"/>
              <w:marRight w:val="0"/>
              <w:marTop w:val="0"/>
              <w:marBottom w:val="0"/>
              <w:divBdr>
                <w:top w:val="none" w:sz="0" w:space="0" w:color="auto"/>
                <w:left w:val="none" w:sz="0" w:space="0" w:color="auto"/>
                <w:bottom w:val="none" w:sz="0" w:space="0" w:color="auto"/>
                <w:right w:val="none" w:sz="0" w:space="0" w:color="auto"/>
              </w:divBdr>
            </w:div>
          </w:divsChild>
        </w:div>
        <w:div w:id="1957789556">
          <w:marLeft w:val="0"/>
          <w:marRight w:val="0"/>
          <w:marTop w:val="0"/>
          <w:marBottom w:val="0"/>
          <w:divBdr>
            <w:top w:val="none" w:sz="0" w:space="0" w:color="auto"/>
            <w:left w:val="none" w:sz="0" w:space="0" w:color="auto"/>
            <w:bottom w:val="none" w:sz="0" w:space="0" w:color="auto"/>
            <w:right w:val="none" w:sz="0" w:space="0" w:color="auto"/>
          </w:divBdr>
          <w:divsChild>
            <w:div w:id="445153213">
              <w:marLeft w:val="0"/>
              <w:marRight w:val="0"/>
              <w:marTop w:val="0"/>
              <w:marBottom w:val="0"/>
              <w:divBdr>
                <w:top w:val="none" w:sz="0" w:space="0" w:color="auto"/>
                <w:left w:val="none" w:sz="0" w:space="0" w:color="auto"/>
                <w:bottom w:val="none" w:sz="0" w:space="0" w:color="auto"/>
                <w:right w:val="none" w:sz="0" w:space="0" w:color="auto"/>
              </w:divBdr>
            </w:div>
            <w:div w:id="5303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8212">
      <w:bodyDiv w:val="1"/>
      <w:marLeft w:val="0"/>
      <w:marRight w:val="0"/>
      <w:marTop w:val="0"/>
      <w:marBottom w:val="0"/>
      <w:divBdr>
        <w:top w:val="none" w:sz="0" w:space="0" w:color="auto"/>
        <w:left w:val="none" w:sz="0" w:space="0" w:color="auto"/>
        <w:bottom w:val="none" w:sz="0" w:space="0" w:color="auto"/>
        <w:right w:val="none" w:sz="0" w:space="0" w:color="auto"/>
      </w:divBdr>
    </w:div>
    <w:div w:id="891774009">
      <w:bodyDiv w:val="1"/>
      <w:marLeft w:val="0"/>
      <w:marRight w:val="0"/>
      <w:marTop w:val="0"/>
      <w:marBottom w:val="0"/>
      <w:divBdr>
        <w:top w:val="none" w:sz="0" w:space="0" w:color="auto"/>
        <w:left w:val="none" w:sz="0" w:space="0" w:color="auto"/>
        <w:bottom w:val="none" w:sz="0" w:space="0" w:color="auto"/>
        <w:right w:val="none" w:sz="0" w:space="0" w:color="auto"/>
      </w:divBdr>
    </w:div>
    <w:div w:id="919556496">
      <w:bodyDiv w:val="1"/>
      <w:marLeft w:val="0"/>
      <w:marRight w:val="0"/>
      <w:marTop w:val="0"/>
      <w:marBottom w:val="0"/>
      <w:divBdr>
        <w:top w:val="none" w:sz="0" w:space="0" w:color="auto"/>
        <w:left w:val="none" w:sz="0" w:space="0" w:color="auto"/>
        <w:bottom w:val="none" w:sz="0" w:space="0" w:color="auto"/>
        <w:right w:val="none" w:sz="0" w:space="0" w:color="auto"/>
      </w:divBdr>
    </w:div>
    <w:div w:id="975992494">
      <w:bodyDiv w:val="1"/>
      <w:marLeft w:val="0"/>
      <w:marRight w:val="0"/>
      <w:marTop w:val="0"/>
      <w:marBottom w:val="0"/>
      <w:divBdr>
        <w:top w:val="none" w:sz="0" w:space="0" w:color="auto"/>
        <w:left w:val="none" w:sz="0" w:space="0" w:color="auto"/>
        <w:bottom w:val="none" w:sz="0" w:space="0" w:color="auto"/>
        <w:right w:val="none" w:sz="0" w:space="0" w:color="auto"/>
      </w:divBdr>
    </w:div>
    <w:div w:id="1013530269">
      <w:bodyDiv w:val="1"/>
      <w:marLeft w:val="0"/>
      <w:marRight w:val="0"/>
      <w:marTop w:val="0"/>
      <w:marBottom w:val="0"/>
      <w:divBdr>
        <w:top w:val="none" w:sz="0" w:space="0" w:color="auto"/>
        <w:left w:val="none" w:sz="0" w:space="0" w:color="auto"/>
        <w:bottom w:val="none" w:sz="0" w:space="0" w:color="auto"/>
        <w:right w:val="none" w:sz="0" w:space="0" w:color="auto"/>
      </w:divBdr>
    </w:div>
    <w:div w:id="1095446263">
      <w:bodyDiv w:val="1"/>
      <w:marLeft w:val="0"/>
      <w:marRight w:val="0"/>
      <w:marTop w:val="0"/>
      <w:marBottom w:val="0"/>
      <w:divBdr>
        <w:top w:val="none" w:sz="0" w:space="0" w:color="auto"/>
        <w:left w:val="none" w:sz="0" w:space="0" w:color="auto"/>
        <w:bottom w:val="none" w:sz="0" w:space="0" w:color="auto"/>
        <w:right w:val="none" w:sz="0" w:space="0" w:color="auto"/>
      </w:divBdr>
      <w:divsChild>
        <w:div w:id="1233348818">
          <w:marLeft w:val="0"/>
          <w:marRight w:val="0"/>
          <w:marTop w:val="0"/>
          <w:marBottom w:val="0"/>
          <w:divBdr>
            <w:top w:val="none" w:sz="0" w:space="0" w:color="auto"/>
            <w:left w:val="none" w:sz="0" w:space="0" w:color="auto"/>
            <w:bottom w:val="none" w:sz="0" w:space="0" w:color="auto"/>
            <w:right w:val="none" w:sz="0" w:space="0" w:color="auto"/>
          </w:divBdr>
        </w:div>
        <w:div w:id="1941178340">
          <w:marLeft w:val="0"/>
          <w:marRight w:val="0"/>
          <w:marTop w:val="0"/>
          <w:marBottom w:val="0"/>
          <w:divBdr>
            <w:top w:val="none" w:sz="0" w:space="0" w:color="auto"/>
            <w:left w:val="none" w:sz="0" w:space="0" w:color="auto"/>
            <w:bottom w:val="none" w:sz="0" w:space="0" w:color="auto"/>
            <w:right w:val="none" w:sz="0" w:space="0" w:color="auto"/>
          </w:divBdr>
        </w:div>
        <w:div w:id="765005984">
          <w:marLeft w:val="0"/>
          <w:marRight w:val="0"/>
          <w:marTop w:val="0"/>
          <w:marBottom w:val="0"/>
          <w:divBdr>
            <w:top w:val="none" w:sz="0" w:space="0" w:color="auto"/>
            <w:left w:val="none" w:sz="0" w:space="0" w:color="auto"/>
            <w:bottom w:val="none" w:sz="0" w:space="0" w:color="auto"/>
            <w:right w:val="none" w:sz="0" w:space="0" w:color="auto"/>
          </w:divBdr>
        </w:div>
        <w:div w:id="1496874176">
          <w:marLeft w:val="0"/>
          <w:marRight w:val="0"/>
          <w:marTop w:val="0"/>
          <w:marBottom w:val="0"/>
          <w:divBdr>
            <w:top w:val="none" w:sz="0" w:space="0" w:color="auto"/>
            <w:left w:val="none" w:sz="0" w:space="0" w:color="auto"/>
            <w:bottom w:val="none" w:sz="0" w:space="0" w:color="auto"/>
            <w:right w:val="none" w:sz="0" w:space="0" w:color="auto"/>
          </w:divBdr>
        </w:div>
        <w:div w:id="204872405">
          <w:marLeft w:val="0"/>
          <w:marRight w:val="0"/>
          <w:marTop w:val="0"/>
          <w:marBottom w:val="0"/>
          <w:divBdr>
            <w:top w:val="none" w:sz="0" w:space="0" w:color="auto"/>
            <w:left w:val="none" w:sz="0" w:space="0" w:color="auto"/>
            <w:bottom w:val="none" w:sz="0" w:space="0" w:color="auto"/>
            <w:right w:val="none" w:sz="0" w:space="0" w:color="auto"/>
          </w:divBdr>
        </w:div>
        <w:div w:id="1915891480">
          <w:marLeft w:val="0"/>
          <w:marRight w:val="0"/>
          <w:marTop w:val="0"/>
          <w:marBottom w:val="0"/>
          <w:divBdr>
            <w:top w:val="none" w:sz="0" w:space="0" w:color="auto"/>
            <w:left w:val="none" w:sz="0" w:space="0" w:color="auto"/>
            <w:bottom w:val="none" w:sz="0" w:space="0" w:color="auto"/>
            <w:right w:val="none" w:sz="0" w:space="0" w:color="auto"/>
          </w:divBdr>
        </w:div>
        <w:div w:id="1156535114">
          <w:marLeft w:val="0"/>
          <w:marRight w:val="0"/>
          <w:marTop w:val="0"/>
          <w:marBottom w:val="0"/>
          <w:divBdr>
            <w:top w:val="none" w:sz="0" w:space="0" w:color="auto"/>
            <w:left w:val="none" w:sz="0" w:space="0" w:color="auto"/>
            <w:bottom w:val="none" w:sz="0" w:space="0" w:color="auto"/>
            <w:right w:val="none" w:sz="0" w:space="0" w:color="auto"/>
          </w:divBdr>
        </w:div>
        <w:div w:id="1342394751">
          <w:marLeft w:val="0"/>
          <w:marRight w:val="0"/>
          <w:marTop w:val="0"/>
          <w:marBottom w:val="0"/>
          <w:divBdr>
            <w:top w:val="none" w:sz="0" w:space="0" w:color="auto"/>
            <w:left w:val="none" w:sz="0" w:space="0" w:color="auto"/>
            <w:bottom w:val="none" w:sz="0" w:space="0" w:color="auto"/>
            <w:right w:val="none" w:sz="0" w:space="0" w:color="auto"/>
          </w:divBdr>
        </w:div>
        <w:div w:id="577637898">
          <w:marLeft w:val="0"/>
          <w:marRight w:val="0"/>
          <w:marTop w:val="0"/>
          <w:marBottom w:val="0"/>
          <w:divBdr>
            <w:top w:val="none" w:sz="0" w:space="0" w:color="auto"/>
            <w:left w:val="none" w:sz="0" w:space="0" w:color="auto"/>
            <w:bottom w:val="none" w:sz="0" w:space="0" w:color="auto"/>
            <w:right w:val="none" w:sz="0" w:space="0" w:color="auto"/>
          </w:divBdr>
        </w:div>
        <w:div w:id="597177430">
          <w:marLeft w:val="0"/>
          <w:marRight w:val="0"/>
          <w:marTop w:val="0"/>
          <w:marBottom w:val="0"/>
          <w:divBdr>
            <w:top w:val="none" w:sz="0" w:space="0" w:color="auto"/>
            <w:left w:val="none" w:sz="0" w:space="0" w:color="auto"/>
            <w:bottom w:val="none" w:sz="0" w:space="0" w:color="auto"/>
            <w:right w:val="none" w:sz="0" w:space="0" w:color="auto"/>
          </w:divBdr>
        </w:div>
        <w:div w:id="7021935">
          <w:marLeft w:val="0"/>
          <w:marRight w:val="0"/>
          <w:marTop w:val="0"/>
          <w:marBottom w:val="0"/>
          <w:divBdr>
            <w:top w:val="none" w:sz="0" w:space="0" w:color="auto"/>
            <w:left w:val="none" w:sz="0" w:space="0" w:color="auto"/>
            <w:bottom w:val="none" w:sz="0" w:space="0" w:color="auto"/>
            <w:right w:val="none" w:sz="0" w:space="0" w:color="auto"/>
          </w:divBdr>
          <w:divsChild>
            <w:div w:id="1459489014">
              <w:marLeft w:val="0"/>
              <w:marRight w:val="0"/>
              <w:marTop w:val="0"/>
              <w:marBottom w:val="0"/>
              <w:divBdr>
                <w:top w:val="none" w:sz="0" w:space="0" w:color="auto"/>
                <w:left w:val="none" w:sz="0" w:space="0" w:color="auto"/>
                <w:bottom w:val="none" w:sz="0" w:space="0" w:color="auto"/>
                <w:right w:val="none" w:sz="0" w:space="0" w:color="auto"/>
              </w:divBdr>
            </w:div>
            <w:div w:id="1094088305">
              <w:marLeft w:val="0"/>
              <w:marRight w:val="0"/>
              <w:marTop w:val="0"/>
              <w:marBottom w:val="0"/>
              <w:divBdr>
                <w:top w:val="none" w:sz="0" w:space="0" w:color="auto"/>
                <w:left w:val="none" w:sz="0" w:space="0" w:color="auto"/>
                <w:bottom w:val="none" w:sz="0" w:space="0" w:color="auto"/>
                <w:right w:val="none" w:sz="0" w:space="0" w:color="auto"/>
              </w:divBdr>
            </w:div>
          </w:divsChild>
        </w:div>
        <w:div w:id="141503341">
          <w:marLeft w:val="0"/>
          <w:marRight w:val="0"/>
          <w:marTop w:val="0"/>
          <w:marBottom w:val="0"/>
          <w:divBdr>
            <w:top w:val="none" w:sz="0" w:space="0" w:color="auto"/>
            <w:left w:val="none" w:sz="0" w:space="0" w:color="auto"/>
            <w:bottom w:val="none" w:sz="0" w:space="0" w:color="auto"/>
            <w:right w:val="none" w:sz="0" w:space="0" w:color="auto"/>
          </w:divBdr>
          <w:divsChild>
            <w:div w:id="2041398010">
              <w:marLeft w:val="0"/>
              <w:marRight w:val="0"/>
              <w:marTop w:val="0"/>
              <w:marBottom w:val="0"/>
              <w:divBdr>
                <w:top w:val="none" w:sz="0" w:space="0" w:color="auto"/>
                <w:left w:val="none" w:sz="0" w:space="0" w:color="auto"/>
                <w:bottom w:val="none" w:sz="0" w:space="0" w:color="auto"/>
                <w:right w:val="none" w:sz="0" w:space="0" w:color="auto"/>
              </w:divBdr>
            </w:div>
            <w:div w:id="195434441">
              <w:marLeft w:val="0"/>
              <w:marRight w:val="0"/>
              <w:marTop w:val="0"/>
              <w:marBottom w:val="0"/>
              <w:divBdr>
                <w:top w:val="none" w:sz="0" w:space="0" w:color="auto"/>
                <w:left w:val="none" w:sz="0" w:space="0" w:color="auto"/>
                <w:bottom w:val="none" w:sz="0" w:space="0" w:color="auto"/>
                <w:right w:val="none" w:sz="0" w:space="0" w:color="auto"/>
              </w:divBdr>
            </w:div>
          </w:divsChild>
        </w:div>
        <w:div w:id="254292702">
          <w:marLeft w:val="0"/>
          <w:marRight w:val="0"/>
          <w:marTop w:val="0"/>
          <w:marBottom w:val="0"/>
          <w:divBdr>
            <w:top w:val="none" w:sz="0" w:space="0" w:color="auto"/>
            <w:left w:val="none" w:sz="0" w:space="0" w:color="auto"/>
            <w:bottom w:val="none" w:sz="0" w:space="0" w:color="auto"/>
            <w:right w:val="none" w:sz="0" w:space="0" w:color="auto"/>
          </w:divBdr>
          <w:divsChild>
            <w:div w:id="716972378">
              <w:marLeft w:val="0"/>
              <w:marRight w:val="0"/>
              <w:marTop w:val="0"/>
              <w:marBottom w:val="0"/>
              <w:divBdr>
                <w:top w:val="none" w:sz="0" w:space="0" w:color="auto"/>
                <w:left w:val="none" w:sz="0" w:space="0" w:color="auto"/>
                <w:bottom w:val="none" w:sz="0" w:space="0" w:color="auto"/>
                <w:right w:val="none" w:sz="0" w:space="0" w:color="auto"/>
              </w:divBdr>
            </w:div>
          </w:divsChild>
        </w:div>
        <w:div w:id="1092169022">
          <w:marLeft w:val="0"/>
          <w:marRight w:val="0"/>
          <w:marTop w:val="0"/>
          <w:marBottom w:val="0"/>
          <w:divBdr>
            <w:top w:val="none" w:sz="0" w:space="0" w:color="auto"/>
            <w:left w:val="none" w:sz="0" w:space="0" w:color="auto"/>
            <w:bottom w:val="none" w:sz="0" w:space="0" w:color="auto"/>
            <w:right w:val="none" w:sz="0" w:space="0" w:color="auto"/>
          </w:divBdr>
          <w:divsChild>
            <w:div w:id="19669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2018">
      <w:bodyDiv w:val="1"/>
      <w:marLeft w:val="0"/>
      <w:marRight w:val="0"/>
      <w:marTop w:val="0"/>
      <w:marBottom w:val="0"/>
      <w:divBdr>
        <w:top w:val="none" w:sz="0" w:space="0" w:color="auto"/>
        <w:left w:val="none" w:sz="0" w:space="0" w:color="auto"/>
        <w:bottom w:val="none" w:sz="0" w:space="0" w:color="auto"/>
        <w:right w:val="none" w:sz="0" w:space="0" w:color="auto"/>
      </w:divBdr>
    </w:div>
    <w:div w:id="1115366581">
      <w:bodyDiv w:val="1"/>
      <w:marLeft w:val="0"/>
      <w:marRight w:val="0"/>
      <w:marTop w:val="0"/>
      <w:marBottom w:val="0"/>
      <w:divBdr>
        <w:top w:val="none" w:sz="0" w:space="0" w:color="auto"/>
        <w:left w:val="none" w:sz="0" w:space="0" w:color="auto"/>
        <w:bottom w:val="none" w:sz="0" w:space="0" w:color="auto"/>
        <w:right w:val="none" w:sz="0" w:space="0" w:color="auto"/>
      </w:divBdr>
    </w:div>
    <w:div w:id="1174684707">
      <w:bodyDiv w:val="1"/>
      <w:marLeft w:val="0"/>
      <w:marRight w:val="0"/>
      <w:marTop w:val="0"/>
      <w:marBottom w:val="0"/>
      <w:divBdr>
        <w:top w:val="none" w:sz="0" w:space="0" w:color="auto"/>
        <w:left w:val="none" w:sz="0" w:space="0" w:color="auto"/>
        <w:bottom w:val="none" w:sz="0" w:space="0" w:color="auto"/>
        <w:right w:val="none" w:sz="0" w:space="0" w:color="auto"/>
      </w:divBdr>
      <w:divsChild>
        <w:div w:id="2026637020">
          <w:marLeft w:val="0"/>
          <w:marRight w:val="0"/>
          <w:marTop w:val="0"/>
          <w:marBottom w:val="0"/>
          <w:divBdr>
            <w:top w:val="none" w:sz="0" w:space="0" w:color="auto"/>
            <w:left w:val="none" w:sz="0" w:space="0" w:color="auto"/>
            <w:bottom w:val="none" w:sz="0" w:space="0" w:color="auto"/>
            <w:right w:val="none" w:sz="0" w:space="0" w:color="auto"/>
          </w:divBdr>
        </w:div>
        <w:div w:id="1834566524">
          <w:marLeft w:val="0"/>
          <w:marRight w:val="0"/>
          <w:marTop w:val="0"/>
          <w:marBottom w:val="0"/>
          <w:divBdr>
            <w:top w:val="none" w:sz="0" w:space="0" w:color="auto"/>
            <w:left w:val="none" w:sz="0" w:space="0" w:color="auto"/>
            <w:bottom w:val="none" w:sz="0" w:space="0" w:color="auto"/>
            <w:right w:val="none" w:sz="0" w:space="0" w:color="auto"/>
          </w:divBdr>
        </w:div>
        <w:div w:id="1091972836">
          <w:marLeft w:val="0"/>
          <w:marRight w:val="0"/>
          <w:marTop w:val="0"/>
          <w:marBottom w:val="0"/>
          <w:divBdr>
            <w:top w:val="none" w:sz="0" w:space="0" w:color="auto"/>
            <w:left w:val="none" w:sz="0" w:space="0" w:color="auto"/>
            <w:bottom w:val="none" w:sz="0" w:space="0" w:color="auto"/>
            <w:right w:val="none" w:sz="0" w:space="0" w:color="auto"/>
          </w:divBdr>
        </w:div>
        <w:div w:id="1491025483">
          <w:marLeft w:val="0"/>
          <w:marRight w:val="0"/>
          <w:marTop w:val="0"/>
          <w:marBottom w:val="0"/>
          <w:divBdr>
            <w:top w:val="none" w:sz="0" w:space="0" w:color="auto"/>
            <w:left w:val="none" w:sz="0" w:space="0" w:color="auto"/>
            <w:bottom w:val="none" w:sz="0" w:space="0" w:color="auto"/>
            <w:right w:val="none" w:sz="0" w:space="0" w:color="auto"/>
          </w:divBdr>
        </w:div>
        <w:div w:id="1018040099">
          <w:marLeft w:val="0"/>
          <w:marRight w:val="0"/>
          <w:marTop w:val="0"/>
          <w:marBottom w:val="0"/>
          <w:divBdr>
            <w:top w:val="none" w:sz="0" w:space="0" w:color="auto"/>
            <w:left w:val="none" w:sz="0" w:space="0" w:color="auto"/>
            <w:bottom w:val="none" w:sz="0" w:space="0" w:color="auto"/>
            <w:right w:val="none" w:sz="0" w:space="0" w:color="auto"/>
          </w:divBdr>
        </w:div>
        <w:div w:id="1457138728">
          <w:marLeft w:val="0"/>
          <w:marRight w:val="0"/>
          <w:marTop w:val="0"/>
          <w:marBottom w:val="0"/>
          <w:divBdr>
            <w:top w:val="none" w:sz="0" w:space="0" w:color="auto"/>
            <w:left w:val="none" w:sz="0" w:space="0" w:color="auto"/>
            <w:bottom w:val="none" w:sz="0" w:space="0" w:color="auto"/>
            <w:right w:val="none" w:sz="0" w:space="0" w:color="auto"/>
          </w:divBdr>
        </w:div>
        <w:div w:id="43650985">
          <w:marLeft w:val="0"/>
          <w:marRight w:val="0"/>
          <w:marTop w:val="0"/>
          <w:marBottom w:val="0"/>
          <w:divBdr>
            <w:top w:val="none" w:sz="0" w:space="0" w:color="auto"/>
            <w:left w:val="none" w:sz="0" w:space="0" w:color="auto"/>
            <w:bottom w:val="none" w:sz="0" w:space="0" w:color="auto"/>
            <w:right w:val="none" w:sz="0" w:space="0" w:color="auto"/>
          </w:divBdr>
        </w:div>
        <w:div w:id="1453205314">
          <w:marLeft w:val="0"/>
          <w:marRight w:val="0"/>
          <w:marTop w:val="0"/>
          <w:marBottom w:val="0"/>
          <w:divBdr>
            <w:top w:val="none" w:sz="0" w:space="0" w:color="auto"/>
            <w:left w:val="none" w:sz="0" w:space="0" w:color="auto"/>
            <w:bottom w:val="none" w:sz="0" w:space="0" w:color="auto"/>
            <w:right w:val="none" w:sz="0" w:space="0" w:color="auto"/>
          </w:divBdr>
        </w:div>
        <w:div w:id="1263613952">
          <w:marLeft w:val="0"/>
          <w:marRight w:val="0"/>
          <w:marTop w:val="0"/>
          <w:marBottom w:val="0"/>
          <w:divBdr>
            <w:top w:val="none" w:sz="0" w:space="0" w:color="auto"/>
            <w:left w:val="none" w:sz="0" w:space="0" w:color="auto"/>
            <w:bottom w:val="none" w:sz="0" w:space="0" w:color="auto"/>
            <w:right w:val="none" w:sz="0" w:space="0" w:color="auto"/>
          </w:divBdr>
        </w:div>
        <w:div w:id="1596674388">
          <w:marLeft w:val="0"/>
          <w:marRight w:val="0"/>
          <w:marTop w:val="0"/>
          <w:marBottom w:val="0"/>
          <w:divBdr>
            <w:top w:val="none" w:sz="0" w:space="0" w:color="auto"/>
            <w:left w:val="none" w:sz="0" w:space="0" w:color="auto"/>
            <w:bottom w:val="none" w:sz="0" w:space="0" w:color="auto"/>
            <w:right w:val="none" w:sz="0" w:space="0" w:color="auto"/>
          </w:divBdr>
        </w:div>
        <w:div w:id="2145657418">
          <w:marLeft w:val="0"/>
          <w:marRight w:val="0"/>
          <w:marTop w:val="0"/>
          <w:marBottom w:val="0"/>
          <w:divBdr>
            <w:top w:val="none" w:sz="0" w:space="0" w:color="auto"/>
            <w:left w:val="none" w:sz="0" w:space="0" w:color="auto"/>
            <w:bottom w:val="none" w:sz="0" w:space="0" w:color="auto"/>
            <w:right w:val="none" w:sz="0" w:space="0" w:color="auto"/>
          </w:divBdr>
        </w:div>
        <w:div w:id="2111310837">
          <w:marLeft w:val="0"/>
          <w:marRight w:val="0"/>
          <w:marTop w:val="0"/>
          <w:marBottom w:val="0"/>
          <w:divBdr>
            <w:top w:val="none" w:sz="0" w:space="0" w:color="auto"/>
            <w:left w:val="none" w:sz="0" w:space="0" w:color="auto"/>
            <w:bottom w:val="none" w:sz="0" w:space="0" w:color="auto"/>
            <w:right w:val="none" w:sz="0" w:space="0" w:color="auto"/>
          </w:divBdr>
        </w:div>
      </w:divsChild>
    </w:div>
    <w:div w:id="1229922330">
      <w:bodyDiv w:val="1"/>
      <w:marLeft w:val="0"/>
      <w:marRight w:val="0"/>
      <w:marTop w:val="0"/>
      <w:marBottom w:val="0"/>
      <w:divBdr>
        <w:top w:val="none" w:sz="0" w:space="0" w:color="auto"/>
        <w:left w:val="none" w:sz="0" w:space="0" w:color="auto"/>
        <w:bottom w:val="none" w:sz="0" w:space="0" w:color="auto"/>
        <w:right w:val="none" w:sz="0" w:space="0" w:color="auto"/>
      </w:divBdr>
      <w:divsChild>
        <w:div w:id="661783635">
          <w:marLeft w:val="0"/>
          <w:marRight w:val="0"/>
          <w:marTop w:val="0"/>
          <w:marBottom w:val="0"/>
          <w:divBdr>
            <w:top w:val="none" w:sz="0" w:space="0" w:color="auto"/>
            <w:left w:val="none" w:sz="0" w:space="0" w:color="auto"/>
            <w:bottom w:val="none" w:sz="0" w:space="0" w:color="auto"/>
            <w:right w:val="none" w:sz="0" w:space="0" w:color="auto"/>
          </w:divBdr>
          <w:divsChild>
            <w:div w:id="811756380">
              <w:marLeft w:val="0"/>
              <w:marRight w:val="0"/>
              <w:marTop w:val="0"/>
              <w:marBottom w:val="0"/>
              <w:divBdr>
                <w:top w:val="none" w:sz="0" w:space="0" w:color="auto"/>
                <w:left w:val="none" w:sz="0" w:space="0" w:color="auto"/>
                <w:bottom w:val="none" w:sz="0" w:space="0" w:color="auto"/>
                <w:right w:val="none" w:sz="0" w:space="0" w:color="auto"/>
              </w:divBdr>
            </w:div>
            <w:div w:id="2126270360">
              <w:marLeft w:val="0"/>
              <w:marRight w:val="0"/>
              <w:marTop w:val="0"/>
              <w:marBottom w:val="0"/>
              <w:divBdr>
                <w:top w:val="none" w:sz="0" w:space="0" w:color="auto"/>
                <w:left w:val="none" w:sz="0" w:space="0" w:color="auto"/>
                <w:bottom w:val="none" w:sz="0" w:space="0" w:color="auto"/>
                <w:right w:val="none" w:sz="0" w:space="0" w:color="auto"/>
              </w:divBdr>
            </w:div>
            <w:div w:id="1185364717">
              <w:marLeft w:val="0"/>
              <w:marRight w:val="0"/>
              <w:marTop w:val="0"/>
              <w:marBottom w:val="0"/>
              <w:divBdr>
                <w:top w:val="none" w:sz="0" w:space="0" w:color="auto"/>
                <w:left w:val="none" w:sz="0" w:space="0" w:color="auto"/>
                <w:bottom w:val="none" w:sz="0" w:space="0" w:color="auto"/>
                <w:right w:val="none" w:sz="0" w:space="0" w:color="auto"/>
              </w:divBdr>
            </w:div>
          </w:divsChild>
        </w:div>
        <w:div w:id="149251474">
          <w:marLeft w:val="0"/>
          <w:marRight w:val="0"/>
          <w:marTop w:val="0"/>
          <w:marBottom w:val="0"/>
          <w:divBdr>
            <w:top w:val="none" w:sz="0" w:space="0" w:color="auto"/>
            <w:left w:val="none" w:sz="0" w:space="0" w:color="auto"/>
            <w:bottom w:val="none" w:sz="0" w:space="0" w:color="auto"/>
            <w:right w:val="none" w:sz="0" w:space="0" w:color="auto"/>
          </w:divBdr>
          <w:divsChild>
            <w:div w:id="973101248">
              <w:marLeft w:val="0"/>
              <w:marRight w:val="0"/>
              <w:marTop w:val="0"/>
              <w:marBottom w:val="0"/>
              <w:divBdr>
                <w:top w:val="none" w:sz="0" w:space="0" w:color="auto"/>
                <w:left w:val="none" w:sz="0" w:space="0" w:color="auto"/>
                <w:bottom w:val="none" w:sz="0" w:space="0" w:color="auto"/>
                <w:right w:val="none" w:sz="0" w:space="0" w:color="auto"/>
              </w:divBdr>
            </w:div>
            <w:div w:id="1057363052">
              <w:marLeft w:val="0"/>
              <w:marRight w:val="0"/>
              <w:marTop w:val="0"/>
              <w:marBottom w:val="0"/>
              <w:divBdr>
                <w:top w:val="none" w:sz="0" w:space="0" w:color="auto"/>
                <w:left w:val="none" w:sz="0" w:space="0" w:color="auto"/>
                <w:bottom w:val="none" w:sz="0" w:space="0" w:color="auto"/>
                <w:right w:val="none" w:sz="0" w:space="0" w:color="auto"/>
              </w:divBdr>
            </w:div>
            <w:div w:id="1318338210">
              <w:marLeft w:val="0"/>
              <w:marRight w:val="0"/>
              <w:marTop w:val="0"/>
              <w:marBottom w:val="0"/>
              <w:divBdr>
                <w:top w:val="none" w:sz="0" w:space="0" w:color="auto"/>
                <w:left w:val="none" w:sz="0" w:space="0" w:color="auto"/>
                <w:bottom w:val="none" w:sz="0" w:space="0" w:color="auto"/>
                <w:right w:val="none" w:sz="0" w:space="0" w:color="auto"/>
              </w:divBdr>
            </w:div>
            <w:div w:id="4249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9252">
      <w:bodyDiv w:val="1"/>
      <w:marLeft w:val="0"/>
      <w:marRight w:val="0"/>
      <w:marTop w:val="0"/>
      <w:marBottom w:val="0"/>
      <w:divBdr>
        <w:top w:val="none" w:sz="0" w:space="0" w:color="auto"/>
        <w:left w:val="none" w:sz="0" w:space="0" w:color="auto"/>
        <w:bottom w:val="none" w:sz="0" w:space="0" w:color="auto"/>
        <w:right w:val="none" w:sz="0" w:space="0" w:color="auto"/>
      </w:divBdr>
    </w:div>
    <w:div w:id="1383673857">
      <w:bodyDiv w:val="1"/>
      <w:marLeft w:val="0"/>
      <w:marRight w:val="0"/>
      <w:marTop w:val="0"/>
      <w:marBottom w:val="0"/>
      <w:divBdr>
        <w:top w:val="none" w:sz="0" w:space="0" w:color="auto"/>
        <w:left w:val="none" w:sz="0" w:space="0" w:color="auto"/>
        <w:bottom w:val="none" w:sz="0" w:space="0" w:color="auto"/>
        <w:right w:val="none" w:sz="0" w:space="0" w:color="auto"/>
      </w:divBdr>
    </w:div>
    <w:div w:id="1600481481">
      <w:bodyDiv w:val="1"/>
      <w:marLeft w:val="0"/>
      <w:marRight w:val="0"/>
      <w:marTop w:val="0"/>
      <w:marBottom w:val="0"/>
      <w:divBdr>
        <w:top w:val="none" w:sz="0" w:space="0" w:color="auto"/>
        <w:left w:val="none" w:sz="0" w:space="0" w:color="auto"/>
        <w:bottom w:val="none" w:sz="0" w:space="0" w:color="auto"/>
        <w:right w:val="none" w:sz="0" w:space="0" w:color="auto"/>
      </w:divBdr>
    </w:div>
    <w:div w:id="1732344906">
      <w:bodyDiv w:val="1"/>
      <w:marLeft w:val="0"/>
      <w:marRight w:val="0"/>
      <w:marTop w:val="0"/>
      <w:marBottom w:val="0"/>
      <w:divBdr>
        <w:top w:val="none" w:sz="0" w:space="0" w:color="auto"/>
        <w:left w:val="none" w:sz="0" w:space="0" w:color="auto"/>
        <w:bottom w:val="none" w:sz="0" w:space="0" w:color="auto"/>
        <w:right w:val="none" w:sz="0" w:space="0" w:color="auto"/>
      </w:divBdr>
      <w:divsChild>
        <w:div w:id="221068206">
          <w:marLeft w:val="0"/>
          <w:marRight w:val="0"/>
          <w:marTop w:val="0"/>
          <w:marBottom w:val="0"/>
          <w:divBdr>
            <w:top w:val="none" w:sz="0" w:space="0" w:color="auto"/>
            <w:left w:val="none" w:sz="0" w:space="0" w:color="auto"/>
            <w:bottom w:val="none" w:sz="0" w:space="0" w:color="auto"/>
            <w:right w:val="none" w:sz="0" w:space="0" w:color="auto"/>
          </w:divBdr>
        </w:div>
        <w:div w:id="742413983">
          <w:marLeft w:val="0"/>
          <w:marRight w:val="0"/>
          <w:marTop w:val="0"/>
          <w:marBottom w:val="0"/>
          <w:divBdr>
            <w:top w:val="none" w:sz="0" w:space="0" w:color="auto"/>
            <w:left w:val="none" w:sz="0" w:space="0" w:color="auto"/>
            <w:bottom w:val="none" w:sz="0" w:space="0" w:color="auto"/>
            <w:right w:val="none" w:sz="0" w:space="0" w:color="auto"/>
          </w:divBdr>
        </w:div>
        <w:div w:id="941840462">
          <w:marLeft w:val="0"/>
          <w:marRight w:val="0"/>
          <w:marTop w:val="0"/>
          <w:marBottom w:val="0"/>
          <w:divBdr>
            <w:top w:val="none" w:sz="0" w:space="0" w:color="auto"/>
            <w:left w:val="none" w:sz="0" w:space="0" w:color="auto"/>
            <w:bottom w:val="none" w:sz="0" w:space="0" w:color="auto"/>
            <w:right w:val="none" w:sz="0" w:space="0" w:color="auto"/>
          </w:divBdr>
        </w:div>
        <w:div w:id="1110247436">
          <w:marLeft w:val="0"/>
          <w:marRight w:val="0"/>
          <w:marTop w:val="0"/>
          <w:marBottom w:val="0"/>
          <w:divBdr>
            <w:top w:val="none" w:sz="0" w:space="0" w:color="auto"/>
            <w:left w:val="none" w:sz="0" w:space="0" w:color="auto"/>
            <w:bottom w:val="none" w:sz="0" w:space="0" w:color="auto"/>
            <w:right w:val="none" w:sz="0" w:space="0" w:color="auto"/>
          </w:divBdr>
        </w:div>
        <w:div w:id="1205291231">
          <w:marLeft w:val="0"/>
          <w:marRight w:val="0"/>
          <w:marTop w:val="0"/>
          <w:marBottom w:val="0"/>
          <w:divBdr>
            <w:top w:val="none" w:sz="0" w:space="0" w:color="auto"/>
            <w:left w:val="none" w:sz="0" w:space="0" w:color="auto"/>
            <w:bottom w:val="none" w:sz="0" w:space="0" w:color="auto"/>
            <w:right w:val="none" w:sz="0" w:space="0" w:color="auto"/>
          </w:divBdr>
        </w:div>
        <w:div w:id="721292951">
          <w:marLeft w:val="0"/>
          <w:marRight w:val="0"/>
          <w:marTop w:val="0"/>
          <w:marBottom w:val="0"/>
          <w:divBdr>
            <w:top w:val="none" w:sz="0" w:space="0" w:color="auto"/>
            <w:left w:val="none" w:sz="0" w:space="0" w:color="auto"/>
            <w:bottom w:val="none" w:sz="0" w:space="0" w:color="auto"/>
            <w:right w:val="none" w:sz="0" w:space="0" w:color="auto"/>
          </w:divBdr>
        </w:div>
        <w:div w:id="1212305680">
          <w:marLeft w:val="0"/>
          <w:marRight w:val="0"/>
          <w:marTop w:val="0"/>
          <w:marBottom w:val="0"/>
          <w:divBdr>
            <w:top w:val="none" w:sz="0" w:space="0" w:color="auto"/>
            <w:left w:val="none" w:sz="0" w:space="0" w:color="auto"/>
            <w:bottom w:val="none" w:sz="0" w:space="0" w:color="auto"/>
            <w:right w:val="none" w:sz="0" w:space="0" w:color="auto"/>
          </w:divBdr>
        </w:div>
        <w:div w:id="1637294918">
          <w:marLeft w:val="0"/>
          <w:marRight w:val="0"/>
          <w:marTop w:val="0"/>
          <w:marBottom w:val="0"/>
          <w:divBdr>
            <w:top w:val="none" w:sz="0" w:space="0" w:color="auto"/>
            <w:left w:val="none" w:sz="0" w:space="0" w:color="auto"/>
            <w:bottom w:val="none" w:sz="0" w:space="0" w:color="auto"/>
            <w:right w:val="none" w:sz="0" w:space="0" w:color="auto"/>
          </w:divBdr>
        </w:div>
        <w:div w:id="872691783">
          <w:marLeft w:val="0"/>
          <w:marRight w:val="0"/>
          <w:marTop w:val="0"/>
          <w:marBottom w:val="0"/>
          <w:divBdr>
            <w:top w:val="none" w:sz="0" w:space="0" w:color="auto"/>
            <w:left w:val="none" w:sz="0" w:space="0" w:color="auto"/>
            <w:bottom w:val="none" w:sz="0" w:space="0" w:color="auto"/>
            <w:right w:val="none" w:sz="0" w:space="0" w:color="auto"/>
          </w:divBdr>
        </w:div>
        <w:div w:id="323047204">
          <w:marLeft w:val="0"/>
          <w:marRight w:val="0"/>
          <w:marTop w:val="0"/>
          <w:marBottom w:val="0"/>
          <w:divBdr>
            <w:top w:val="none" w:sz="0" w:space="0" w:color="auto"/>
            <w:left w:val="none" w:sz="0" w:space="0" w:color="auto"/>
            <w:bottom w:val="none" w:sz="0" w:space="0" w:color="auto"/>
            <w:right w:val="none" w:sz="0" w:space="0" w:color="auto"/>
          </w:divBdr>
        </w:div>
        <w:div w:id="1303346549">
          <w:marLeft w:val="0"/>
          <w:marRight w:val="0"/>
          <w:marTop w:val="0"/>
          <w:marBottom w:val="0"/>
          <w:divBdr>
            <w:top w:val="none" w:sz="0" w:space="0" w:color="auto"/>
            <w:left w:val="none" w:sz="0" w:space="0" w:color="auto"/>
            <w:bottom w:val="none" w:sz="0" w:space="0" w:color="auto"/>
            <w:right w:val="none" w:sz="0" w:space="0" w:color="auto"/>
          </w:divBdr>
          <w:divsChild>
            <w:div w:id="926186061">
              <w:marLeft w:val="0"/>
              <w:marRight w:val="0"/>
              <w:marTop w:val="0"/>
              <w:marBottom w:val="0"/>
              <w:divBdr>
                <w:top w:val="none" w:sz="0" w:space="0" w:color="auto"/>
                <w:left w:val="none" w:sz="0" w:space="0" w:color="auto"/>
                <w:bottom w:val="none" w:sz="0" w:space="0" w:color="auto"/>
                <w:right w:val="none" w:sz="0" w:space="0" w:color="auto"/>
              </w:divBdr>
            </w:div>
            <w:div w:id="181625988">
              <w:marLeft w:val="0"/>
              <w:marRight w:val="0"/>
              <w:marTop w:val="0"/>
              <w:marBottom w:val="0"/>
              <w:divBdr>
                <w:top w:val="none" w:sz="0" w:space="0" w:color="auto"/>
                <w:left w:val="none" w:sz="0" w:space="0" w:color="auto"/>
                <w:bottom w:val="none" w:sz="0" w:space="0" w:color="auto"/>
                <w:right w:val="none" w:sz="0" w:space="0" w:color="auto"/>
              </w:divBdr>
            </w:div>
          </w:divsChild>
        </w:div>
        <w:div w:id="570047097">
          <w:marLeft w:val="0"/>
          <w:marRight w:val="0"/>
          <w:marTop w:val="0"/>
          <w:marBottom w:val="0"/>
          <w:divBdr>
            <w:top w:val="none" w:sz="0" w:space="0" w:color="auto"/>
            <w:left w:val="none" w:sz="0" w:space="0" w:color="auto"/>
            <w:bottom w:val="none" w:sz="0" w:space="0" w:color="auto"/>
            <w:right w:val="none" w:sz="0" w:space="0" w:color="auto"/>
          </w:divBdr>
          <w:divsChild>
            <w:div w:id="1822886342">
              <w:marLeft w:val="0"/>
              <w:marRight w:val="0"/>
              <w:marTop w:val="0"/>
              <w:marBottom w:val="0"/>
              <w:divBdr>
                <w:top w:val="none" w:sz="0" w:space="0" w:color="auto"/>
                <w:left w:val="none" w:sz="0" w:space="0" w:color="auto"/>
                <w:bottom w:val="none" w:sz="0" w:space="0" w:color="auto"/>
                <w:right w:val="none" w:sz="0" w:space="0" w:color="auto"/>
              </w:divBdr>
            </w:div>
            <w:div w:id="2025545108">
              <w:marLeft w:val="0"/>
              <w:marRight w:val="0"/>
              <w:marTop w:val="0"/>
              <w:marBottom w:val="0"/>
              <w:divBdr>
                <w:top w:val="none" w:sz="0" w:space="0" w:color="auto"/>
                <w:left w:val="none" w:sz="0" w:space="0" w:color="auto"/>
                <w:bottom w:val="none" w:sz="0" w:space="0" w:color="auto"/>
                <w:right w:val="none" w:sz="0" w:space="0" w:color="auto"/>
              </w:divBdr>
            </w:div>
          </w:divsChild>
        </w:div>
        <w:div w:id="100223095">
          <w:marLeft w:val="0"/>
          <w:marRight w:val="0"/>
          <w:marTop w:val="0"/>
          <w:marBottom w:val="0"/>
          <w:divBdr>
            <w:top w:val="none" w:sz="0" w:space="0" w:color="auto"/>
            <w:left w:val="none" w:sz="0" w:space="0" w:color="auto"/>
            <w:bottom w:val="none" w:sz="0" w:space="0" w:color="auto"/>
            <w:right w:val="none" w:sz="0" w:space="0" w:color="auto"/>
          </w:divBdr>
          <w:divsChild>
            <w:div w:id="1211577137">
              <w:marLeft w:val="0"/>
              <w:marRight w:val="0"/>
              <w:marTop w:val="0"/>
              <w:marBottom w:val="0"/>
              <w:divBdr>
                <w:top w:val="none" w:sz="0" w:space="0" w:color="auto"/>
                <w:left w:val="none" w:sz="0" w:space="0" w:color="auto"/>
                <w:bottom w:val="none" w:sz="0" w:space="0" w:color="auto"/>
                <w:right w:val="none" w:sz="0" w:space="0" w:color="auto"/>
              </w:divBdr>
            </w:div>
          </w:divsChild>
        </w:div>
        <w:div w:id="7996108">
          <w:marLeft w:val="0"/>
          <w:marRight w:val="0"/>
          <w:marTop w:val="0"/>
          <w:marBottom w:val="0"/>
          <w:divBdr>
            <w:top w:val="none" w:sz="0" w:space="0" w:color="auto"/>
            <w:left w:val="none" w:sz="0" w:space="0" w:color="auto"/>
            <w:bottom w:val="none" w:sz="0" w:space="0" w:color="auto"/>
            <w:right w:val="none" w:sz="0" w:space="0" w:color="auto"/>
          </w:divBdr>
          <w:divsChild>
            <w:div w:id="14074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1507">
      <w:bodyDiv w:val="1"/>
      <w:marLeft w:val="0"/>
      <w:marRight w:val="0"/>
      <w:marTop w:val="0"/>
      <w:marBottom w:val="0"/>
      <w:divBdr>
        <w:top w:val="none" w:sz="0" w:space="0" w:color="auto"/>
        <w:left w:val="none" w:sz="0" w:space="0" w:color="auto"/>
        <w:bottom w:val="none" w:sz="0" w:space="0" w:color="auto"/>
        <w:right w:val="none" w:sz="0" w:space="0" w:color="auto"/>
      </w:divBdr>
    </w:div>
    <w:div w:id="1956129702">
      <w:bodyDiv w:val="1"/>
      <w:marLeft w:val="0"/>
      <w:marRight w:val="0"/>
      <w:marTop w:val="0"/>
      <w:marBottom w:val="0"/>
      <w:divBdr>
        <w:top w:val="none" w:sz="0" w:space="0" w:color="auto"/>
        <w:left w:val="none" w:sz="0" w:space="0" w:color="auto"/>
        <w:bottom w:val="none" w:sz="0" w:space="0" w:color="auto"/>
        <w:right w:val="none" w:sz="0" w:space="0" w:color="auto"/>
      </w:divBdr>
      <w:divsChild>
        <w:div w:id="1578393857">
          <w:marLeft w:val="0"/>
          <w:marRight w:val="0"/>
          <w:marTop w:val="0"/>
          <w:marBottom w:val="0"/>
          <w:divBdr>
            <w:top w:val="none" w:sz="0" w:space="0" w:color="auto"/>
            <w:left w:val="none" w:sz="0" w:space="0" w:color="auto"/>
            <w:bottom w:val="none" w:sz="0" w:space="0" w:color="auto"/>
            <w:right w:val="none" w:sz="0" w:space="0" w:color="auto"/>
          </w:divBdr>
        </w:div>
        <w:div w:id="1958026108">
          <w:marLeft w:val="0"/>
          <w:marRight w:val="0"/>
          <w:marTop w:val="0"/>
          <w:marBottom w:val="0"/>
          <w:divBdr>
            <w:top w:val="none" w:sz="0" w:space="0" w:color="auto"/>
            <w:left w:val="none" w:sz="0" w:space="0" w:color="auto"/>
            <w:bottom w:val="none" w:sz="0" w:space="0" w:color="auto"/>
            <w:right w:val="none" w:sz="0" w:space="0" w:color="auto"/>
          </w:divBdr>
          <w:divsChild>
            <w:div w:id="382365003">
              <w:marLeft w:val="0"/>
              <w:marRight w:val="0"/>
              <w:marTop w:val="0"/>
              <w:marBottom w:val="0"/>
              <w:divBdr>
                <w:top w:val="none" w:sz="0" w:space="0" w:color="auto"/>
                <w:left w:val="none" w:sz="0" w:space="0" w:color="auto"/>
                <w:bottom w:val="none" w:sz="0" w:space="0" w:color="auto"/>
                <w:right w:val="none" w:sz="0" w:space="0" w:color="auto"/>
              </w:divBdr>
            </w:div>
            <w:div w:id="696350568">
              <w:marLeft w:val="0"/>
              <w:marRight w:val="0"/>
              <w:marTop w:val="0"/>
              <w:marBottom w:val="0"/>
              <w:divBdr>
                <w:top w:val="none" w:sz="0" w:space="0" w:color="auto"/>
                <w:left w:val="none" w:sz="0" w:space="0" w:color="auto"/>
                <w:bottom w:val="none" w:sz="0" w:space="0" w:color="auto"/>
                <w:right w:val="none" w:sz="0" w:space="0" w:color="auto"/>
              </w:divBdr>
            </w:div>
            <w:div w:id="732780031">
              <w:marLeft w:val="0"/>
              <w:marRight w:val="0"/>
              <w:marTop w:val="0"/>
              <w:marBottom w:val="0"/>
              <w:divBdr>
                <w:top w:val="none" w:sz="0" w:space="0" w:color="auto"/>
                <w:left w:val="none" w:sz="0" w:space="0" w:color="auto"/>
                <w:bottom w:val="none" w:sz="0" w:space="0" w:color="auto"/>
                <w:right w:val="none" w:sz="0" w:space="0" w:color="auto"/>
              </w:divBdr>
            </w:div>
            <w:div w:id="316613444">
              <w:marLeft w:val="0"/>
              <w:marRight w:val="0"/>
              <w:marTop w:val="0"/>
              <w:marBottom w:val="0"/>
              <w:divBdr>
                <w:top w:val="none" w:sz="0" w:space="0" w:color="auto"/>
                <w:left w:val="none" w:sz="0" w:space="0" w:color="auto"/>
                <w:bottom w:val="none" w:sz="0" w:space="0" w:color="auto"/>
                <w:right w:val="none" w:sz="0" w:space="0" w:color="auto"/>
              </w:divBdr>
            </w:div>
            <w:div w:id="10118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801">
      <w:bodyDiv w:val="1"/>
      <w:marLeft w:val="0"/>
      <w:marRight w:val="0"/>
      <w:marTop w:val="0"/>
      <w:marBottom w:val="0"/>
      <w:divBdr>
        <w:top w:val="none" w:sz="0" w:space="0" w:color="auto"/>
        <w:left w:val="none" w:sz="0" w:space="0" w:color="auto"/>
        <w:bottom w:val="none" w:sz="0" w:space="0" w:color="auto"/>
        <w:right w:val="none" w:sz="0" w:space="0" w:color="auto"/>
      </w:divBdr>
    </w:div>
    <w:div w:id="2084792062">
      <w:bodyDiv w:val="1"/>
      <w:marLeft w:val="0"/>
      <w:marRight w:val="0"/>
      <w:marTop w:val="0"/>
      <w:marBottom w:val="0"/>
      <w:divBdr>
        <w:top w:val="none" w:sz="0" w:space="0" w:color="auto"/>
        <w:left w:val="none" w:sz="0" w:space="0" w:color="auto"/>
        <w:bottom w:val="none" w:sz="0" w:space="0" w:color="auto"/>
        <w:right w:val="none" w:sz="0" w:space="0" w:color="auto"/>
      </w:divBdr>
    </w:div>
    <w:div w:id="2084840061">
      <w:bodyDiv w:val="1"/>
      <w:marLeft w:val="0"/>
      <w:marRight w:val="0"/>
      <w:marTop w:val="0"/>
      <w:marBottom w:val="0"/>
      <w:divBdr>
        <w:top w:val="none" w:sz="0" w:space="0" w:color="auto"/>
        <w:left w:val="none" w:sz="0" w:space="0" w:color="auto"/>
        <w:bottom w:val="none" w:sz="0" w:space="0" w:color="auto"/>
        <w:right w:val="none" w:sz="0" w:space="0" w:color="auto"/>
      </w:divBdr>
    </w:div>
    <w:div w:id="2104298964">
      <w:bodyDiv w:val="1"/>
      <w:marLeft w:val="0"/>
      <w:marRight w:val="0"/>
      <w:marTop w:val="0"/>
      <w:marBottom w:val="0"/>
      <w:divBdr>
        <w:top w:val="none" w:sz="0" w:space="0" w:color="auto"/>
        <w:left w:val="none" w:sz="0" w:space="0" w:color="auto"/>
        <w:bottom w:val="none" w:sz="0" w:space="0" w:color="auto"/>
        <w:right w:val="none" w:sz="0" w:space="0" w:color="auto"/>
      </w:divBdr>
    </w:div>
    <w:div w:id="2107924461">
      <w:bodyDiv w:val="1"/>
      <w:marLeft w:val="0"/>
      <w:marRight w:val="0"/>
      <w:marTop w:val="0"/>
      <w:marBottom w:val="0"/>
      <w:divBdr>
        <w:top w:val="none" w:sz="0" w:space="0" w:color="auto"/>
        <w:left w:val="none" w:sz="0" w:space="0" w:color="auto"/>
        <w:bottom w:val="none" w:sz="0" w:space="0" w:color="auto"/>
        <w:right w:val="none" w:sz="0" w:space="0" w:color="auto"/>
      </w:divBdr>
      <w:divsChild>
        <w:div w:id="65887423">
          <w:marLeft w:val="0"/>
          <w:marRight w:val="0"/>
          <w:marTop w:val="0"/>
          <w:marBottom w:val="0"/>
          <w:divBdr>
            <w:top w:val="none" w:sz="0" w:space="0" w:color="auto"/>
            <w:left w:val="none" w:sz="0" w:space="0" w:color="auto"/>
            <w:bottom w:val="none" w:sz="0" w:space="0" w:color="auto"/>
            <w:right w:val="none" w:sz="0" w:space="0" w:color="auto"/>
          </w:divBdr>
        </w:div>
        <w:div w:id="96096924">
          <w:marLeft w:val="0"/>
          <w:marRight w:val="0"/>
          <w:marTop w:val="0"/>
          <w:marBottom w:val="0"/>
          <w:divBdr>
            <w:top w:val="none" w:sz="0" w:space="0" w:color="auto"/>
            <w:left w:val="none" w:sz="0" w:space="0" w:color="auto"/>
            <w:bottom w:val="none" w:sz="0" w:space="0" w:color="auto"/>
            <w:right w:val="none" w:sz="0" w:space="0" w:color="auto"/>
          </w:divBdr>
        </w:div>
        <w:div w:id="386800205">
          <w:marLeft w:val="0"/>
          <w:marRight w:val="0"/>
          <w:marTop w:val="0"/>
          <w:marBottom w:val="0"/>
          <w:divBdr>
            <w:top w:val="none" w:sz="0" w:space="0" w:color="auto"/>
            <w:left w:val="none" w:sz="0" w:space="0" w:color="auto"/>
            <w:bottom w:val="none" w:sz="0" w:space="0" w:color="auto"/>
            <w:right w:val="none" w:sz="0" w:space="0" w:color="auto"/>
          </w:divBdr>
        </w:div>
        <w:div w:id="519439487">
          <w:marLeft w:val="0"/>
          <w:marRight w:val="0"/>
          <w:marTop w:val="0"/>
          <w:marBottom w:val="0"/>
          <w:divBdr>
            <w:top w:val="none" w:sz="0" w:space="0" w:color="auto"/>
            <w:left w:val="none" w:sz="0" w:space="0" w:color="auto"/>
            <w:bottom w:val="none" w:sz="0" w:space="0" w:color="auto"/>
            <w:right w:val="none" w:sz="0" w:space="0" w:color="auto"/>
          </w:divBdr>
        </w:div>
        <w:div w:id="925959849">
          <w:marLeft w:val="0"/>
          <w:marRight w:val="0"/>
          <w:marTop w:val="0"/>
          <w:marBottom w:val="0"/>
          <w:divBdr>
            <w:top w:val="none" w:sz="0" w:space="0" w:color="auto"/>
            <w:left w:val="none" w:sz="0" w:space="0" w:color="auto"/>
            <w:bottom w:val="none" w:sz="0" w:space="0" w:color="auto"/>
            <w:right w:val="none" w:sz="0" w:space="0" w:color="auto"/>
          </w:divBdr>
        </w:div>
        <w:div w:id="1167477525">
          <w:marLeft w:val="0"/>
          <w:marRight w:val="0"/>
          <w:marTop w:val="0"/>
          <w:marBottom w:val="0"/>
          <w:divBdr>
            <w:top w:val="none" w:sz="0" w:space="0" w:color="auto"/>
            <w:left w:val="none" w:sz="0" w:space="0" w:color="auto"/>
            <w:bottom w:val="none" w:sz="0" w:space="0" w:color="auto"/>
            <w:right w:val="none" w:sz="0" w:space="0" w:color="auto"/>
          </w:divBdr>
        </w:div>
        <w:div w:id="13170311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b3a9f965be4442e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6a8699-c102-457f-8b72-028c235df67f">
      <UserInfo>
        <DisplayName>Erin O'Kelley</DisplayName>
        <AccountId>221</AccountId>
        <AccountType/>
      </UserInfo>
      <UserInfo>
        <DisplayName>Kayla Mauldin</DisplayName>
        <AccountId>186</AccountId>
        <AccountType/>
      </UserInfo>
      <UserInfo>
        <DisplayName>Trent Sorensen</DisplayName>
        <AccountId>39</AccountId>
        <AccountType/>
      </UserInfo>
      <UserInfo>
        <DisplayName>Matt Starley</DisplayName>
        <AccountId>222</AccountId>
        <AccountType/>
      </UserInfo>
      <UserInfo>
        <DisplayName>Lilian Taft</DisplayName>
        <AccountId>340</AccountId>
        <AccountType/>
      </UserInfo>
      <UserInfo>
        <DisplayName>Hannah Kalantari</DisplayName>
        <AccountId>366</AccountId>
        <AccountType/>
      </UserInfo>
      <UserInfo>
        <DisplayName>Bianca Paulino</DisplayName>
        <AccountId>394</AccountId>
        <AccountType/>
      </UserInfo>
      <UserInfo>
        <DisplayName>Shad Cook</DisplayName>
        <AccountId>30</AccountId>
        <AccountType/>
      </UserInfo>
      <UserInfo>
        <DisplayName>Morgan Julian</DisplayName>
        <AccountId>370</AccountId>
        <AccountType/>
      </UserInfo>
      <UserInfo>
        <DisplayName>Justin Smith</DisplayName>
        <AccountId>353</AccountId>
        <AccountType/>
      </UserInfo>
      <UserInfo>
        <DisplayName>Curtis D. Woodward</DisplayName>
        <AccountId>396</AccountId>
        <AccountType/>
      </UserInfo>
    </SharedWithUsers>
    <TaxCatchAll xmlns="8e6a8699-c102-457f-8b72-028c235df67f" xsi:nil="true"/>
    <lcf76f155ced4ddcb4097134ff3c332f xmlns="c155c5d3-811a-4384-901d-ec8fd4e82d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12" ma:contentTypeDescription="Create a new document." ma:contentTypeScope="" ma:versionID="e281e1c1c9d9bb07962084a26fc1cbd0">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62f51ca34b254ca1414190f8762acc46"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4ea1e3-9834-4e08-9135-1b7de05a48ca}"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FB76-201C-423E-85E8-AD31A6943711}">
  <ds:schemaRefs>
    <ds:schemaRef ds:uri="http://schemas.microsoft.com/office/2006/metadata/properties"/>
    <ds:schemaRef ds:uri="http://schemas.microsoft.com/office/infopath/2007/PartnerControls"/>
    <ds:schemaRef ds:uri="8e6a8699-c102-457f-8b72-028c235df67f"/>
    <ds:schemaRef ds:uri="c155c5d3-811a-4384-901d-ec8fd4e82da0"/>
  </ds:schemaRefs>
</ds:datastoreItem>
</file>

<file path=customXml/itemProps2.xml><?xml version="1.0" encoding="utf-8"?>
<ds:datastoreItem xmlns:ds="http://schemas.openxmlformats.org/officeDocument/2006/customXml" ds:itemID="{F9D1CC43-2CFE-4793-985A-FC2B6AAA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1DD1E-7A48-449B-B5A1-A84AB0DA3303}">
  <ds:schemaRefs>
    <ds:schemaRef ds:uri="http://schemas.microsoft.com/sharepoint/v3/contenttype/forms"/>
  </ds:schemaRefs>
</ds:datastoreItem>
</file>

<file path=customXml/itemProps4.xml><?xml version="1.0" encoding="utf-8"?>
<ds:datastoreItem xmlns:ds="http://schemas.openxmlformats.org/officeDocument/2006/customXml" ds:itemID="{6A4B844C-B8BF-450F-A987-76F253F9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6039</Words>
  <Characters>34425</Characters>
  <Application>Microsoft Office Word</Application>
  <DocSecurity>0</DocSecurity>
  <Lines>286</Lines>
  <Paragraphs>80</Paragraphs>
  <ScaleCrop>false</ScaleCrop>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Mauldin</dc:creator>
  <cp:keywords/>
  <dc:description/>
  <cp:lastModifiedBy>Rori Andreason</cp:lastModifiedBy>
  <cp:revision>2</cp:revision>
  <dcterms:created xsi:type="dcterms:W3CDTF">2022-11-27T23:56:00Z</dcterms:created>
  <dcterms:modified xsi:type="dcterms:W3CDTF">2022-11-27T23:56:00Z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ies>
</file>