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3209" w:rsidRDefault="00AD3209">
      <w:pPr>
        <w:widowControl w:val="0"/>
        <w:spacing w:before="6" w:after="0" w:line="100" w:lineRule="auto"/>
        <w:rPr>
          <w:rFonts w:ascii="Times New Roman" w:eastAsia="Times New Roman" w:hAnsi="Times New Roman" w:cs="Times New Roman"/>
          <w:sz w:val="10"/>
          <w:szCs w:val="10"/>
        </w:rPr>
      </w:pPr>
      <w:bookmarkStart w:id="0" w:name="_GoBack"/>
      <w:bookmarkEnd w:id="0"/>
    </w:p>
    <w:p w:rsidR="00AD3209" w:rsidRDefault="007007E4">
      <w:pPr>
        <w:widowControl w:val="0"/>
        <w:spacing w:after="0" w:line="240" w:lineRule="auto"/>
        <w:ind w:left="5470" w:right="-20"/>
        <w:rPr>
          <w:rFonts w:ascii="Times New Roman" w:eastAsia="Times New Roman" w:hAnsi="Times New Roman" w:cs="Times New Roman"/>
          <w:sz w:val="20"/>
          <w:szCs w:val="20"/>
        </w:rPr>
      </w:pPr>
      <w:r>
        <w:rPr>
          <w:rFonts w:ascii="Times New Roman" w:eastAsia="Times New Roman" w:hAnsi="Times New Roman" w:cs="Times New Roman"/>
          <w:noProof/>
          <w:sz w:val="10"/>
          <w:szCs w:val="10"/>
        </w:rPr>
        <w:drawing>
          <wp:inline distT="0" distB="0" distL="114300" distR="114300">
            <wp:extent cx="4057650" cy="676275"/>
            <wp:effectExtent l="0" t="0" r="0" b="0"/>
            <wp:docPr id="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4057650" cy="676275"/>
                    </a:xfrm>
                    <a:prstGeom prst="rect">
                      <a:avLst/>
                    </a:prstGeom>
                    <a:ln/>
                  </pic:spPr>
                </pic:pic>
              </a:graphicData>
            </a:graphic>
          </wp:inline>
        </w:drawing>
      </w:r>
    </w:p>
    <w:p w:rsidR="00AD3209" w:rsidRDefault="007007E4">
      <w:pPr>
        <w:widowControl w:val="0"/>
        <w:spacing w:after="0" w:line="240" w:lineRule="auto"/>
        <w:ind w:left="720" w:right="-20"/>
        <w:rPr>
          <w:color w:val="000000"/>
          <w:sz w:val="40"/>
          <w:szCs w:val="40"/>
        </w:rPr>
      </w:pPr>
      <w:r>
        <w:rPr>
          <w:b/>
          <w:color w:val="365F91"/>
          <w:sz w:val="40"/>
          <w:szCs w:val="40"/>
        </w:rPr>
        <w:t>WFRC Funding Programs</w:t>
      </w:r>
    </w:p>
    <w:p w:rsidR="00AD3209" w:rsidRDefault="00AD3209">
      <w:pPr>
        <w:widowControl w:val="0"/>
        <w:spacing w:before="5" w:after="0" w:line="240" w:lineRule="auto"/>
        <w:rPr>
          <w:color w:val="000000"/>
          <w:sz w:val="19"/>
          <w:szCs w:val="19"/>
        </w:rPr>
      </w:pPr>
    </w:p>
    <w:p w:rsidR="00AD3209" w:rsidRDefault="007007E4">
      <w:pPr>
        <w:widowControl w:val="0"/>
        <w:spacing w:before="11" w:after="0" w:line="240" w:lineRule="auto"/>
        <w:ind w:left="720" w:right="654"/>
        <w:jc w:val="both"/>
        <w:rPr>
          <w:color w:val="000000"/>
          <w:sz w:val="23"/>
          <w:szCs w:val="23"/>
        </w:rPr>
      </w:pPr>
      <w:r>
        <w:rPr>
          <w:color w:val="000000"/>
          <w:sz w:val="23"/>
          <w:szCs w:val="23"/>
        </w:rPr>
        <w:t xml:space="preserve">The Wasatch Front Regional Council is responsible for administering and assisting with </w:t>
      </w:r>
      <w:r>
        <w:rPr>
          <w:sz w:val="23"/>
          <w:szCs w:val="23"/>
        </w:rPr>
        <w:t>nine</w:t>
      </w:r>
      <w:r>
        <w:rPr>
          <w:color w:val="000000"/>
          <w:sz w:val="23"/>
          <w:szCs w:val="23"/>
        </w:rPr>
        <w:t xml:space="preserve"> programs that provide funding and resources for local governments. These are briefly described below, with additional detail on timelines, eligibility, etc. shown on the following pages.</w:t>
      </w:r>
    </w:p>
    <w:p w:rsidR="00AD3209" w:rsidRDefault="00AD3209">
      <w:pPr>
        <w:widowControl w:val="0"/>
        <w:spacing w:before="8" w:after="0" w:line="240" w:lineRule="auto"/>
        <w:rPr>
          <w:color w:val="000000"/>
          <w:sz w:val="23"/>
          <w:szCs w:val="23"/>
        </w:rPr>
      </w:pPr>
    </w:p>
    <w:p w:rsidR="00AD3209" w:rsidRDefault="007007E4">
      <w:pPr>
        <w:pBdr>
          <w:top w:val="nil"/>
          <w:left w:val="nil"/>
          <w:bottom w:val="nil"/>
          <w:right w:val="nil"/>
          <w:between w:val="nil"/>
        </w:pBdr>
        <w:spacing w:after="0" w:line="240" w:lineRule="auto"/>
        <w:ind w:left="720" w:right="653"/>
        <w:jc w:val="both"/>
        <w:rPr>
          <w:rFonts w:ascii="Times New Roman" w:eastAsia="Times New Roman" w:hAnsi="Times New Roman" w:cs="Times New Roman"/>
          <w:color w:val="000000"/>
          <w:sz w:val="23"/>
          <w:szCs w:val="23"/>
        </w:rPr>
      </w:pPr>
      <w:r>
        <w:rPr>
          <w:color w:val="000000"/>
          <w:sz w:val="23"/>
          <w:szCs w:val="23"/>
        </w:rPr>
        <w:t xml:space="preserve">The </w:t>
      </w:r>
      <w:hyperlink r:id="rId8">
        <w:r>
          <w:rPr>
            <w:b/>
            <w:color w:val="0000FF"/>
            <w:sz w:val="23"/>
            <w:szCs w:val="23"/>
            <w:u w:val="single"/>
          </w:rPr>
          <w:t>Surface Transportation Program (STP)</w:t>
        </w:r>
      </w:hyperlink>
      <w:r>
        <w:rPr>
          <w:b/>
          <w:color w:val="0000FF"/>
          <w:sz w:val="23"/>
          <w:szCs w:val="23"/>
        </w:rPr>
        <w:t xml:space="preserve"> </w:t>
      </w:r>
      <w:r>
        <w:rPr>
          <w:color w:val="000000"/>
          <w:sz w:val="23"/>
          <w:szCs w:val="23"/>
        </w:rPr>
        <w:t>provides funding that may be used for projects on Federal-aid eligible highways, transit capital improvements, and active transportation projects.</w:t>
      </w:r>
    </w:p>
    <w:p w:rsidR="00AD3209" w:rsidRDefault="00AD3209">
      <w:pPr>
        <w:widowControl w:val="0"/>
        <w:spacing w:after="0" w:line="240" w:lineRule="auto"/>
        <w:ind w:left="720" w:right="653"/>
        <w:jc w:val="both"/>
        <w:rPr>
          <w:color w:val="000000"/>
          <w:sz w:val="23"/>
          <w:szCs w:val="23"/>
        </w:rPr>
      </w:pPr>
    </w:p>
    <w:p w:rsidR="00AD3209" w:rsidRDefault="007007E4">
      <w:pPr>
        <w:widowControl w:val="0"/>
        <w:spacing w:after="0" w:line="240" w:lineRule="auto"/>
        <w:ind w:left="720" w:right="656"/>
        <w:jc w:val="both"/>
        <w:rPr>
          <w:sz w:val="23"/>
          <w:szCs w:val="23"/>
        </w:rPr>
      </w:pPr>
      <w:r>
        <w:rPr>
          <w:color w:val="000000"/>
          <w:sz w:val="23"/>
          <w:szCs w:val="23"/>
        </w:rPr>
        <w:t xml:space="preserve">The </w:t>
      </w:r>
      <w:hyperlink r:id="rId9">
        <w:r>
          <w:rPr>
            <w:b/>
            <w:color w:val="0000FF"/>
            <w:sz w:val="23"/>
            <w:szCs w:val="23"/>
            <w:u w:val="single"/>
          </w:rPr>
          <w:t>Congestion Mitigation Air Quality (CMAQ)</w:t>
        </w:r>
      </w:hyperlink>
      <w:hyperlink r:id="rId10">
        <w:r>
          <w:rPr>
            <w:b/>
            <w:color w:val="0000FF"/>
            <w:sz w:val="23"/>
            <w:szCs w:val="23"/>
          </w:rPr>
          <w:t xml:space="preserve"> </w:t>
        </w:r>
      </w:hyperlink>
      <w:r>
        <w:rPr>
          <w:color w:val="000000"/>
          <w:sz w:val="23"/>
          <w:szCs w:val="23"/>
        </w:rPr>
        <w:t>provides funding for transportation projects that improve air quality.</w:t>
      </w:r>
    </w:p>
    <w:p w:rsidR="00AD3209" w:rsidRDefault="00AD3209">
      <w:pPr>
        <w:widowControl w:val="0"/>
        <w:spacing w:before="2" w:after="0" w:line="240" w:lineRule="auto"/>
        <w:rPr>
          <w:color w:val="000000"/>
          <w:sz w:val="23"/>
          <w:szCs w:val="23"/>
        </w:rPr>
      </w:pPr>
    </w:p>
    <w:p w:rsidR="00AD3209" w:rsidRDefault="007007E4">
      <w:pPr>
        <w:widowControl w:val="0"/>
        <w:spacing w:after="0" w:line="240" w:lineRule="auto"/>
        <w:ind w:left="720" w:right="659"/>
        <w:jc w:val="both"/>
        <w:rPr>
          <w:color w:val="000000"/>
          <w:sz w:val="23"/>
          <w:szCs w:val="23"/>
        </w:rPr>
      </w:pPr>
      <w:r>
        <w:rPr>
          <w:color w:val="000000"/>
          <w:sz w:val="23"/>
          <w:szCs w:val="23"/>
        </w:rPr>
        <w:t xml:space="preserve">The </w:t>
      </w:r>
      <w:hyperlink r:id="rId11">
        <w:r>
          <w:rPr>
            <w:b/>
            <w:color w:val="0000FF"/>
            <w:sz w:val="23"/>
            <w:szCs w:val="23"/>
            <w:u w:val="single"/>
          </w:rPr>
          <w:t>Transportation Alternatives Progra</w:t>
        </w:r>
        <w:r>
          <w:rPr>
            <w:b/>
            <w:color w:val="0000FF"/>
            <w:sz w:val="23"/>
            <w:szCs w:val="23"/>
            <w:u w:val="single"/>
          </w:rPr>
          <w:t>m (TAP)</w:t>
        </w:r>
      </w:hyperlink>
      <w:hyperlink r:id="rId12">
        <w:r>
          <w:rPr>
            <w:b/>
            <w:color w:val="0000FF"/>
            <w:sz w:val="23"/>
            <w:szCs w:val="23"/>
          </w:rPr>
          <w:t xml:space="preserve"> </w:t>
        </w:r>
      </w:hyperlink>
      <w:r>
        <w:rPr>
          <w:color w:val="000000"/>
          <w:sz w:val="23"/>
          <w:szCs w:val="23"/>
        </w:rPr>
        <w:t>funds construction and planning of bicycle and pedestrian facilities.</w:t>
      </w:r>
    </w:p>
    <w:p w:rsidR="00AD3209" w:rsidRDefault="00AD3209">
      <w:pPr>
        <w:widowControl w:val="0"/>
        <w:spacing w:after="0" w:line="240" w:lineRule="auto"/>
        <w:ind w:left="720" w:right="659"/>
        <w:jc w:val="both"/>
        <w:rPr>
          <w:sz w:val="23"/>
          <w:szCs w:val="23"/>
        </w:rPr>
      </w:pPr>
    </w:p>
    <w:p w:rsidR="00AD3209" w:rsidRDefault="007007E4">
      <w:pPr>
        <w:widowControl w:val="0"/>
        <w:spacing w:after="0" w:line="240" w:lineRule="auto"/>
        <w:ind w:left="720" w:right="656"/>
        <w:jc w:val="both"/>
        <w:rPr>
          <w:sz w:val="23"/>
          <w:szCs w:val="23"/>
        </w:rPr>
      </w:pPr>
      <w:r>
        <w:rPr>
          <w:sz w:val="23"/>
          <w:szCs w:val="23"/>
        </w:rPr>
        <w:t xml:space="preserve">The </w:t>
      </w:r>
      <w:hyperlink r:id="rId13">
        <w:r>
          <w:rPr>
            <w:b/>
            <w:color w:val="0000FF"/>
            <w:sz w:val="23"/>
            <w:szCs w:val="23"/>
            <w:u w:val="single"/>
          </w:rPr>
          <w:t>Carbon Reduction Program (CRP</w:t>
        </w:r>
      </w:hyperlink>
      <w:hyperlink r:id="rId14">
        <w:r>
          <w:rPr>
            <w:b/>
            <w:color w:val="1155CC"/>
            <w:sz w:val="23"/>
            <w:szCs w:val="23"/>
            <w:u w:val="single"/>
          </w:rPr>
          <w:t>)</w:t>
        </w:r>
      </w:hyperlink>
      <w:hyperlink r:id="rId15">
        <w:r>
          <w:rPr>
            <w:b/>
            <w:color w:val="0000FF"/>
            <w:sz w:val="23"/>
            <w:szCs w:val="23"/>
          </w:rPr>
          <w:t xml:space="preserve"> </w:t>
        </w:r>
      </w:hyperlink>
      <w:r>
        <w:rPr>
          <w:sz w:val="23"/>
          <w:szCs w:val="23"/>
        </w:rPr>
        <w:t>provides funding for transportation projects that reduce on-road carbon dioxide emissions.</w:t>
      </w:r>
    </w:p>
    <w:p w:rsidR="00AD3209" w:rsidRDefault="00AD3209">
      <w:pPr>
        <w:widowControl w:val="0"/>
        <w:spacing w:after="0" w:line="240" w:lineRule="auto"/>
        <w:ind w:left="720" w:right="656"/>
        <w:jc w:val="both"/>
        <w:rPr>
          <w:sz w:val="23"/>
          <w:szCs w:val="23"/>
        </w:rPr>
      </w:pPr>
    </w:p>
    <w:p w:rsidR="00AD3209" w:rsidRDefault="007007E4">
      <w:pPr>
        <w:widowControl w:val="0"/>
        <w:spacing w:after="0" w:line="240" w:lineRule="auto"/>
        <w:ind w:left="720" w:right="653"/>
        <w:jc w:val="both"/>
        <w:rPr>
          <w:sz w:val="23"/>
          <w:szCs w:val="23"/>
        </w:rPr>
      </w:pPr>
      <w:r>
        <w:rPr>
          <w:color w:val="000000"/>
          <w:sz w:val="23"/>
          <w:szCs w:val="23"/>
        </w:rPr>
        <w:t xml:space="preserve">The </w:t>
      </w:r>
      <w:hyperlink r:id="rId16">
        <w:r>
          <w:rPr>
            <w:b/>
            <w:color w:val="0000FF"/>
            <w:sz w:val="23"/>
            <w:szCs w:val="23"/>
            <w:u w:val="single"/>
          </w:rPr>
          <w:t>Transportation and Land Use Connection (TLC)</w:t>
        </w:r>
      </w:hyperlink>
      <w:r>
        <w:rPr>
          <w:b/>
          <w:color w:val="000000"/>
          <w:sz w:val="23"/>
          <w:szCs w:val="23"/>
        </w:rPr>
        <w:t xml:space="preserve"> </w:t>
      </w:r>
      <w:r>
        <w:rPr>
          <w:color w:val="000000"/>
          <w:sz w:val="23"/>
          <w:szCs w:val="23"/>
        </w:rPr>
        <w:t>supports local governments with technical assistance to integrate land use planning and regional transportation, implementing the Wasatch Choice Vision. The TLC program</w:t>
      </w:r>
      <w:r>
        <w:rPr>
          <w:color w:val="000000"/>
          <w:sz w:val="23"/>
          <w:szCs w:val="23"/>
        </w:rPr>
        <w:t xml:space="preserve"> is made available through a partnership with Salt Lake County, the Utah Transit Authority, and the Utah Department of Transportation.</w:t>
      </w:r>
    </w:p>
    <w:p w:rsidR="00AD3209" w:rsidRDefault="00AD3209">
      <w:pPr>
        <w:widowControl w:val="0"/>
        <w:spacing w:after="0" w:line="240" w:lineRule="auto"/>
        <w:ind w:left="720" w:right="653"/>
        <w:jc w:val="both"/>
        <w:rPr>
          <w:sz w:val="23"/>
          <w:szCs w:val="23"/>
        </w:rPr>
      </w:pPr>
    </w:p>
    <w:p w:rsidR="00AD3209" w:rsidRDefault="007007E4">
      <w:pPr>
        <w:widowControl w:val="0"/>
        <w:spacing w:after="0" w:line="240" w:lineRule="auto"/>
        <w:ind w:left="720" w:right="653"/>
        <w:jc w:val="both"/>
        <w:rPr>
          <w:sz w:val="23"/>
          <w:szCs w:val="23"/>
        </w:rPr>
      </w:pPr>
      <w:hyperlink r:id="rId17">
        <w:r>
          <w:rPr>
            <w:b/>
            <w:color w:val="0000FF"/>
            <w:sz w:val="23"/>
            <w:szCs w:val="23"/>
            <w:u w:val="single"/>
          </w:rPr>
          <w:t>Station Area Plan Technical Assistance (SAP)</w:t>
        </w:r>
      </w:hyperlink>
      <w:r>
        <w:rPr>
          <w:color w:val="000000"/>
          <w:sz w:val="23"/>
          <w:szCs w:val="23"/>
        </w:rPr>
        <w:t xml:space="preserve"> i</w:t>
      </w:r>
      <w:r>
        <w:rPr>
          <w:color w:val="000000"/>
          <w:sz w:val="23"/>
          <w:szCs w:val="23"/>
        </w:rPr>
        <w:t xml:space="preserve">s available through </w:t>
      </w:r>
      <w:r>
        <w:rPr>
          <w:sz w:val="23"/>
          <w:szCs w:val="23"/>
        </w:rPr>
        <w:t>WFRC on a rolling basis from July 2022 to July 2024, in partnership with the Governor’s Office of Economic Opportunity, the Utah Transit Authority, and the Mountainland Association of Governments. As of 2022 cities with a fixed-guideway</w:t>
      </w:r>
      <w:r>
        <w:rPr>
          <w:sz w:val="23"/>
          <w:szCs w:val="23"/>
        </w:rPr>
        <w:t xml:space="preserve"> public transit station (rail or BRT) must develop a Station Area Plan for that station and update their general plan and zoning to implement the Station Area Plan.</w:t>
      </w:r>
    </w:p>
    <w:p w:rsidR="00AD3209" w:rsidRDefault="00AD3209">
      <w:pPr>
        <w:widowControl w:val="0"/>
        <w:spacing w:before="9" w:after="0" w:line="240" w:lineRule="auto"/>
        <w:rPr>
          <w:color w:val="000000"/>
          <w:sz w:val="23"/>
          <w:szCs w:val="23"/>
        </w:rPr>
      </w:pPr>
    </w:p>
    <w:p w:rsidR="00AD3209" w:rsidRDefault="007007E4">
      <w:pPr>
        <w:widowControl w:val="0"/>
        <w:spacing w:after="0" w:line="240" w:lineRule="auto"/>
        <w:ind w:left="720" w:right="653"/>
        <w:jc w:val="both"/>
        <w:rPr>
          <w:color w:val="000000"/>
          <w:sz w:val="23"/>
          <w:szCs w:val="23"/>
        </w:rPr>
      </w:pPr>
      <w:r>
        <w:rPr>
          <w:color w:val="000000"/>
          <w:sz w:val="23"/>
          <w:szCs w:val="23"/>
        </w:rPr>
        <w:t xml:space="preserve">The </w:t>
      </w:r>
      <w:hyperlink r:id="rId18">
        <w:r>
          <w:rPr>
            <w:b/>
            <w:color w:val="0000FF"/>
            <w:sz w:val="23"/>
            <w:szCs w:val="23"/>
            <w:u w:val="single"/>
          </w:rPr>
          <w:t>Commun</w:t>
        </w:r>
        <w:r>
          <w:rPr>
            <w:b/>
            <w:color w:val="0000FF"/>
            <w:sz w:val="23"/>
            <w:szCs w:val="23"/>
            <w:u w:val="single"/>
          </w:rPr>
          <w:t>ity Development Block Grant (CDBG)</w:t>
        </w:r>
      </w:hyperlink>
      <w:hyperlink r:id="rId19">
        <w:r>
          <w:rPr>
            <w:b/>
            <w:color w:val="0000FF"/>
            <w:sz w:val="23"/>
            <w:szCs w:val="23"/>
          </w:rPr>
          <w:t xml:space="preserve"> </w:t>
        </w:r>
      </w:hyperlink>
      <w:r>
        <w:rPr>
          <w:color w:val="000000"/>
          <w:sz w:val="23"/>
          <w:szCs w:val="23"/>
        </w:rPr>
        <w:t>Small Cities Program provides funding to local governments and public service providers for a variety of housing, infrastructure, public serv</w:t>
      </w:r>
      <w:r>
        <w:rPr>
          <w:color w:val="000000"/>
          <w:sz w:val="23"/>
          <w:szCs w:val="23"/>
        </w:rPr>
        <w:t>ice, and community development projects that principally benefit low to moderate-income persons in Morgan, Tooele, and Weber Counties, excluding the entitlement city of Ogden.</w:t>
      </w:r>
    </w:p>
    <w:p w:rsidR="00AD3209" w:rsidRDefault="00AD3209">
      <w:pPr>
        <w:widowControl w:val="0"/>
        <w:spacing w:after="0" w:line="240" w:lineRule="auto"/>
        <w:ind w:left="720" w:right="653"/>
        <w:jc w:val="both"/>
        <w:rPr>
          <w:sz w:val="23"/>
          <w:szCs w:val="23"/>
        </w:rPr>
      </w:pPr>
    </w:p>
    <w:p w:rsidR="00AD3209" w:rsidRDefault="007007E4">
      <w:pPr>
        <w:widowControl w:val="0"/>
        <w:spacing w:after="0" w:line="240" w:lineRule="auto"/>
        <w:ind w:left="720" w:right="653"/>
        <w:jc w:val="both"/>
        <w:rPr>
          <w:sz w:val="23"/>
          <w:szCs w:val="23"/>
        </w:rPr>
      </w:pPr>
      <w:r>
        <w:rPr>
          <w:sz w:val="23"/>
          <w:szCs w:val="23"/>
        </w:rPr>
        <w:t xml:space="preserve">The </w:t>
      </w:r>
      <w:hyperlink r:id="rId20">
        <w:r>
          <w:rPr>
            <w:b/>
            <w:color w:val="0000FF"/>
            <w:sz w:val="23"/>
            <w:szCs w:val="23"/>
            <w:u w:val="single"/>
          </w:rPr>
          <w:t>Community Impact Board</w:t>
        </w:r>
      </w:hyperlink>
      <w:r>
        <w:rPr>
          <w:sz w:val="23"/>
          <w:szCs w:val="23"/>
        </w:rPr>
        <w:t xml:space="preserve"> Program</w:t>
      </w:r>
      <w:r>
        <w:rPr>
          <w:color w:val="000000"/>
          <w:sz w:val="23"/>
          <w:szCs w:val="23"/>
        </w:rPr>
        <w:t xml:space="preserve"> provides grants and low interest loans to communities </w:t>
      </w:r>
      <w:r>
        <w:rPr>
          <w:sz w:val="23"/>
          <w:szCs w:val="23"/>
        </w:rPr>
        <w:t>that</w:t>
      </w:r>
      <w:r>
        <w:rPr>
          <w:color w:val="000000"/>
          <w:sz w:val="23"/>
          <w:szCs w:val="23"/>
        </w:rPr>
        <w:t xml:space="preserve"> have federally leased land used for </w:t>
      </w:r>
      <w:r>
        <w:rPr>
          <w:sz w:val="23"/>
          <w:szCs w:val="23"/>
        </w:rPr>
        <w:t xml:space="preserve">mineral extraction to help make up for a loss of tax revenue that cannot be collected on that leased land. </w:t>
      </w:r>
    </w:p>
    <w:p w:rsidR="00AD3209" w:rsidRDefault="00AD3209">
      <w:pPr>
        <w:widowControl w:val="0"/>
        <w:spacing w:before="1" w:after="0" w:line="240" w:lineRule="auto"/>
        <w:rPr>
          <w:color w:val="000000"/>
          <w:sz w:val="23"/>
          <w:szCs w:val="23"/>
        </w:rPr>
      </w:pPr>
    </w:p>
    <w:p w:rsidR="00AD3209" w:rsidRDefault="007007E4">
      <w:pPr>
        <w:widowControl w:val="0"/>
        <w:spacing w:after="0" w:line="240" w:lineRule="auto"/>
        <w:ind w:left="720" w:right="654"/>
        <w:jc w:val="both"/>
        <w:rPr>
          <w:color w:val="000000"/>
          <w:sz w:val="23"/>
          <w:szCs w:val="23"/>
        </w:rPr>
      </w:pPr>
      <w:r>
        <w:rPr>
          <w:color w:val="000000"/>
          <w:sz w:val="23"/>
          <w:szCs w:val="23"/>
        </w:rPr>
        <w:t>The</w:t>
      </w:r>
      <w:r>
        <w:rPr>
          <w:b/>
          <w:color w:val="0000FF"/>
          <w:sz w:val="23"/>
          <w:szCs w:val="23"/>
        </w:rPr>
        <w:t xml:space="preserve"> </w:t>
      </w:r>
      <w:hyperlink r:id="rId21">
        <w:r>
          <w:rPr>
            <w:b/>
            <w:color w:val="0000FF"/>
            <w:sz w:val="23"/>
            <w:szCs w:val="23"/>
            <w:u w:val="single"/>
          </w:rPr>
          <w:t>Wasatch Front Economic Development District (WFEDD)</w:t>
        </w:r>
      </w:hyperlink>
      <w:hyperlink r:id="rId22">
        <w:r>
          <w:rPr>
            <w:b/>
            <w:color w:val="0000FF"/>
            <w:sz w:val="23"/>
            <w:szCs w:val="23"/>
          </w:rPr>
          <w:t xml:space="preserve"> </w:t>
        </w:r>
      </w:hyperlink>
      <w:r>
        <w:rPr>
          <w:color w:val="000000"/>
          <w:sz w:val="23"/>
          <w:szCs w:val="23"/>
        </w:rPr>
        <w:t>is a federally recognized Economic D</w:t>
      </w:r>
      <w:r>
        <w:rPr>
          <w:color w:val="000000"/>
          <w:sz w:val="23"/>
          <w:szCs w:val="23"/>
        </w:rPr>
        <w:t>evelopment District created to foster regional economic developments and assist eligible entities in developing competitive grant applications from the U.S. Department of Commerce Economic Development Administration.</w:t>
      </w:r>
    </w:p>
    <w:p w:rsidR="00AD3209" w:rsidRDefault="00AD3209">
      <w:pPr>
        <w:widowControl w:val="0"/>
        <w:spacing w:before="10" w:after="0" w:line="160" w:lineRule="auto"/>
        <w:rPr>
          <w:color w:val="000000"/>
          <w:sz w:val="16"/>
          <w:szCs w:val="16"/>
        </w:rPr>
      </w:pPr>
    </w:p>
    <w:p w:rsidR="00AD3209" w:rsidRDefault="007007E4">
      <w:pPr>
        <w:widowControl w:val="0"/>
        <w:spacing w:after="0"/>
        <w:ind w:left="1434" w:right="1411"/>
        <w:jc w:val="center"/>
        <w:rPr>
          <w:color w:val="000000"/>
          <w:sz w:val="36"/>
          <w:szCs w:val="36"/>
        </w:rPr>
      </w:pPr>
      <w:r>
        <w:rPr>
          <w:b/>
          <w:color w:val="000000"/>
          <w:sz w:val="36"/>
          <w:szCs w:val="36"/>
        </w:rPr>
        <w:t>General application milestones for the first f</w:t>
      </w:r>
      <w:r>
        <w:rPr>
          <w:b/>
          <w:sz w:val="36"/>
          <w:szCs w:val="36"/>
        </w:rPr>
        <w:t>ive</w:t>
      </w:r>
      <w:r>
        <w:rPr>
          <w:b/>
          <w:color w:val="000000"/>
          <w:sz w:val="36"/>
          <w:szCs w:val="36"/>
        </w:rPr>
        <w:t xml:space="preserve"> programs are: Letter of Intent due September </w:t>
      </w:r>
      <w:r>
        <w:rPr>
          <w:b/>
          <w:sz w:val="36"/>
          <w:szCs w:val="36"/>
        </w:rPr>
        <w:t>29</w:t>
      </w:r>
      <w:r>
        <w:rPr>
          <w:b/>
          <w:color w:val="000000"/>
          <w:sz w:val="36"/>
          <w:szCs w:val="36"/>
        </w:rPr>
        <w:t>, 202</w:t>
      </w:r>
      <w:r>
        <w:rPr>
          <w:b/>
          <w:sz w:val="36"/>
          <w:szCs w:val="36"/>
        </w:rPr>
        <w:t>2</w:t>
      </w:r>
    </w:p>
    <w:p w:rsidR="00AD3209" w:rsidRDefault="007007E4">
      <w:pPr>
        <w:widowControl w:val="0"/>
        <w:spacing w:before="67" w:after="0" w:line="240" w:lineRule="auto"/>
        <w:ind w:right="2880" w:firstLine="720"/>
        <w:rPr>
          <w:color w:val="000000"/>
          <w:sz w:val="36"/>
          <w:szCs w:val="36"/>
        </w:rPr>
        <w:sectPr w:rsidR="00AD3209">
          <w:headerReference w:type="default" r:id="rId23"/>
          <w:footerReference w:type="default" r:id="rId24"/>
          <w:headerReference w:type="first" r:id="rId25"/>
          <w:footerReference w:type="first" r:id="rId26"/>
          <w:pgSz w:w="12240" w:h="15840"/>
          <w:pgMar w:top="420" w:right="0" w:bottom="480" w:left="0" w:header="0" w:footer="609" w:gutter="0"/>
          <w:pgNumType w:start="1"/>
          <w:cols w:space="720"/>
          <w:titlePg/>
        </w:sectPr>
      </w:pPr>
      <w:r>
        <w:rPr>
          <w:b/>
          <w:color w:val="000000"/>
          <w:sz w:val="36"/>
          <w:szCs w:val="36"/>
        </w:rPr>
        <w:tab/>
      </w:r>
      <w:r>
        <w:rPr>
          <w:b/>
          <w:color w:val="000000"/>
          <w:sz w:val="36"/>
          <w:szCs w:val="36"/>
        </w:rPr>
        <w:tab/>
      </w:r>
      <w:r>
        <w:rPr>
          <w:b/>
          <w:color w:val="000000"/>
          <w:sz w:val="36"/>
          <w:szCs w:val="36"/>
        </w:rPr>
        <w:tab/>
      </w:r>
      <w:r>
        <w:rPr>
          <w:b/>
          <w:color w:val="000000"/>
          <w:sz w:val="36"/>
          <w:szCs w:val="36"/>
        </w:rPr>
        <w:tab/>
        <w:t xml:space="preserve">Application due December </w:t>
      </w:r>
      <w:r>
        <w:rPr>
          <w:b/>
          <w:sz w:val="36"/>
          <w:szCs w:val="36"/>
        </w:rPr>
        <w:t>8</w:t>
      </w:r>
      <w:r>
        <w:rPr>
          <w:b/>
          <w:color w:val="000000"/>
          <w:sz w:val="36"/>
          <w:szCs w:val="36"/>
        </w:rPr>
        <w:t>, 202</w:t>
      </w:r>
      <w:r>
        <w:rPr>
          <w:b/>
          <w:sz w:val="36"/>
          <w:szCs w:val="36"/>
        </w:rPr>
        <w:t>2</w:t>
      </w:r>
    </w:p>
    <w:p w:rsidR="00AD3209" w:rsidRDefault="007007E4">
      <w:pPr>
        <w:widowControl w:val="0"/>
        <w:spacing w:before="28" w:after="0" w:line="240" w:lineRule="auto"/>
        <w:ind w:left="4909" w:right="4823"/>
        <w:jc w:val="center"/>
        <w:rPr>
          <w:color w:val="000000"/>
          <w:sz w:val="40"/>
          <w:szCs w:val="40"/>
        </w:rPr>
      </w:pPr>
      <w:r>
        <w:rPr>
          <w:b/>
          <w:color w:val="365F91"/>
          <w:sz w:val="40"/>
          <w:szCs w:val="40"/>
        </w:rPr>
        <w:lastRenderedPageBreak/>
        <w:t>Application Information</w:t>
      </w:r>
    </w:p>
    <w:p w:rsidR="00AD3209" w:rsidRDefault="00AD3209">
      <w:pPr>
        <w:widowControl w:val="0"/>
        <w:spacing w:before="3" w:after="0" w:line="120" w:lineRule="auto"/>
        <w:rPr>
          <w:color w:val="000000"/>
          <w:sz w:val="12"/>
          <w:szCs w:val="12"/>
        </w:rPr>
      </w:pPr>
    </w:p>
    <w:p w:rsidR="00AD3209" w:rsidRDefault="00AD3209">
      <w:pPr>
        <w:widowControl w:val="0"/>
        <w:spacing w:after="0" w:line="200" w:lineRule="auto"/>
        <w:rPr>
          <w:color w:val="000000"/>
          <w:sz w:val="2"/>
          <w:szCs w:val="2"/>
        </w:rPr>
      </w:pPr>
    </w:p>
    <w:tbl>
      <w:tblPr>
        <w:tblStyle w:val="a"/>
        <w:tblW w:w="13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48"/>
        <w:gridCol w:w="1649"/>
        <w:gridCol w:w="1647"/>
        <w:gridCol w:w="1646"/>
        <w:gridCol w:w="1647"/>
        <w:gridCol w:w="1649"/>
        <w:gridCol w:w="1675"/>
        <w:gridCol w:w="2044"/>
      </w:tblGrid>
      <w:tr w:rsidR="00AD3209">
        <w:trPr>
          <w:trHeight w:val="1354"/>
          <w:tblHeader/>
        </w:trPr>
        <w:tc>
          <w:tcPr>
            <w:tcW w:w="1647" w:type="dxa"/>
            <w:shd w:val="clear" w:color="auto" w:fill="D9D9D9"/>
            <w:vAlign w:val="center"/>
          </w:tcPr>
          <w:p w:rsidR="00AD3209" w:rsidRDefault="007007E4">
            <w:pPr>
              <w:widowControl w:val="0"/>
              <w:spacing w:after="0" w:line="240" w:lineRule="auto"/>
              <w:ind w:right="-20"/>
              <w:jc w:val="center"/>
              <w:rPr>
                <w:sz w:val="20"/>
                <w:szCs w:val="20"/>
              </w:rPr>
            </w:pPr>
            <w:r>
              <w:rPr>
                <w:b/>
                <w:sz w:val="20"/>
                <w:szCs w:val="20"/>
              </w:rPr>
              <w:t>Funding Program</w:t>
            </w:r>
          </w:p>
        </w:tc>
        <w:tc>
          <w:tcPr>
            <w:tcW w:w="1649" w:type="dxa"/>
            <w:shd w:val="clear" w:color="auto" w:fill="D9D9D9"/>
            <w:vAlign w:val="center"/>
          </w:tcPr>
          <w:p w:rsidR="00AD3209" w:rsidRDefault="007007E4">
            <w:pPr>
              <w:widowControl w:val="0"/>
              <w:spacing w:after="0" w:line="240" w:lineRule="auto"/>
              <w:ind w:right="-20"/>
              <w:jc w:val="center"/>
              <w:rPr>
                <w:sz w:val="20"/>
                <w:szCs w:val="20"/>
              </w:rPr>
            </w:pPr>
            <w:r>
              <w:rPr>
                <w:b/>
                <w:sz w:val="20"/>
                <w:szCs w:val="20"/>
              </w:rPr>
              <w:t>Purpose</w:t>
            </w:r>
          </w:p>
        </w:tc>
        <w:tc>
          <w:tcPr>
            <w:tcW w:w="1647" w:type="dxa"/>
            <w:shd w:val="clear" w:color="auto" w:fill="D9D9D9"/>
            <w:vAlign w:val="center"/>
          </w:tcPr>
          <w:p w:rsidR="00AD3209" w:rsidRDefault="007007E4">
            <w:pPr>
              <w:widowControl w:val="0"/>
              <w:spacing w:after="0" w:line="240" w:lineRule="auto"/>
              <w:ind w:right="-20"/>
              <w:jc w:val="center"/>
              <w:rPr>
                <w:sz w:val="20"/>
                <w:szCs w:val="20"/>
              </w:rPr>
            </w:pPr>
            <w:r>
              <w:rPr>
                <w:b/>
                <w:sz w:val="20"/>
                <w:szCs w:val="20"/>
              </w:rPr>
              <w:t>Letter of Intent</w:t>
            </w:r>
            <w:r>
              <w:rPr>
                <w:sz w:val="20"/>
                <w:szCs w:val="20"/>
              </w:rPr>
              <w:t xml:space="preserve"> </w:t>
            </w:r>
            <w:r>
              <w:rPr>
                <w:b/>
                <w:sz w:val="20"/>
                <w:szCs w:val="20"/>
              </w:rPr>
              <w:t>Due Date</w:t>
            </w:r>
          </w:p>
        </w:tc>
        <w:tc>
          <w:tcPr>
            <w:tcW w:w="1646" w:type="dxa"/>
            <w:shd w:val="clear" w:color="auto" w:fill="D9D9D9"/>
            <w:vAlign w:val="center"/>
          </w:tcPr>
          <w:p w:rsidR="00AD3209" w:rsidRDefault="007007E4">
            <w:pPr>
              <w:widowControl w:val="0"/>
              <w:spacing w:after="0" w:line="240" w:lineRule="auto"/>
              <w:ind w:right="-20"/>
              <w:jc w:val="center"/>
              <w:rPr>
                <w:sz w:val="20"/>
                <w:szCs w:val="20"/>
              </w:rPr>
            </w:pPr>
            <w:r>
              <w:rPr>
                <w:b/>
                <w:sz w:val="20"/>
                <w:szCs w:val="20"/>
              </w:rPr>
              <w:t>Application Due Date</w:t>
            </w:r>
          </w:p>
        </w:tc>
        <w:tc>
          <w:tcPr>
            <w:tcW w:w="1647" w:type="dxa"/>
            <w:shd w:val="clear" w:color="auto" w:fill="D9D9D9"/>
            <w:vAlign w:val="center"/>
          </w:tcPr>
          <w:p w:rsidR="00AD3209" w:rsidRDefault="007007E4">
            <w:pPr>
              <w:widowControl w:val="0"/>
              <w:spacing w:after="0" w:line="240" w:lineRule="auto"/>
              <w:ind w:right="-20"/>
              <w:jc w:val="center"/>
              <w:rPr>
                <w:sz w:val="20"/>
                <w:szCs w:val="20"/>
              </w:rPr>
            </w:pPr>
            <w:r>
              <w:rPr>
                <w:b/>
                <w:sz w:val="20"/>
                <w:szCs w:val="20"/>
              </w:rPr>
              <w:t>Year Funds</w:t>
            </w:r>
            <w:r>
              <w:rPr>
                <w:sz w:val="20"/>
                <w:szCs w:val="20"/>
              </w:rPr>
              <w:t xml:space="preserve"> </w:t>
            </w:r>
            <w:r>
              <w:rPr>
                <w:b/>
                <w:sz w:val="20"/>
                <w:szCs w:val="20"/>
              </w:rPr>
              <w:t>Available</w:t>
            </w:r>
          </w:p>
        </w:tc>
        <w:tc>
          <w:tcPr>
            <w:tcW w:w="1649" w:type="dxa"/>
            <w:shd w:val="clear" w:color="auto" w:fill="D9D9D9"/>
            <w:vAlign w:val="center"/>
          </w:tcPr>
          <w:p w:rsidR="00AD3209" w:rsidRDefault="007007E4">
            <w:pPr>
              <w:widowControl w:val="0"/>
              <w:spacing w:after="0" w:line="264" w:lineRule="auto"/>
              <w:ind w:right="-20"/>
              <w:jc w:val="center"/>
              <w:rPr>
                <w:sz w:val="20"/>
                <w:szCs w:val="20"/>
              </w:rPr>
            </w:pPr>
            <w:r>
              <w:rPr>
                <w:b/>
                <w:sz w:val="20"/>
                <w:szCs w:val="20"/>
              </w:rPr>
              <w:t>Approximate</w:t>
            </w:r>
            <w:r>
              <w:rPr>
                <w:sz w:val="20"/>
                <w:szCs w:val="20"/>
              </w:rPr>
              <w:t xml:space="preserve"> </w:t>
            </w:r>
            <w:r>
              <w:rPr>
                <w:b/>
                <w:sz w:val="20"/>
                <w:szCs w:val="20"/>
              </w:rPr>
              <w:t>Funds Available to the Region Annually</w:t>
            </w:r>
          </w:p>
        </w:tc>
        <w:tc>
          <w:tcPr>
            <w:tcW w:w="1675" w:type="dxa"/>
            <w:shd w:val="clear" w:color="auto" w:fill="D9D9D9"/>
            <w:vAlign w:val="center"/>
          </w:tcPr>
          <w:p w:rsidR="00AD3209" w:rsidRDefault="007007E4">
            <w:pPr>
              <w:widowControl w:val="0"/>
              <w:spacing w:after="0" w:line="240" w:lineRule="auto"/>
              <w:ind w:right="-20"/>
              <w:jc w:val="center"/>
              <w:rPr>
                <w:sz w:val="20"/>
                <w:szCs w:val="20"/>
              </w:rPr>
            </w:pPr>
            <w:r>
              <w:rPr>
                <w:b/>
                <w:sz w:val="20"/>
                <w:szCs w:val="20"/>
              </w:rPr>
              <w:t>Selection</w:t>
            </w:r>
            <w:r>
              <w:rPr>
                <w:sz w:val="20"/>
                <w:szCs w:val="20"/>
              </w:rPr>
              <w:t xml:space="preserve"> </w:t>
            </w:r>
            <w:r>
              <w:rPr>
                <w:b/>
                <w:sz w:val="20"/>
                <w:szCs w:val="20"/>
              </w:rPr>
              <w:t>Process</w:t>
            </w:r>
          </w:p>
        </w:tc>
        <w:tc>
          <w:tcPr>
            <w:tcW w:w="2044" w:type="dxa"/>
            <w:shd w:val="clear" w:color="auto" w:fill="D9D9D9"/>
            <w:vAlign w:val="center"/>
          </w:tcPr>
          <w:p w:rsidR="00AD3209" w:rsidRDefault="007007E4">
            <w:pPr>
              <w:widowControl w:val="0"/>
              <w:spacing w:after="0" w:line="240" w:lineRule="auto"/>
              <w:ind w:right="-20"/>
              <w:jc w:val="center"/>
              <w:rPr>
                <w:sz w:val="20"/>
                <w:szCs w:val="20"/>
              </w:rPr>
            </w:pPr>
            <w:r>
              <w:rPr>
                <w:b/>
                <w:sz w:val="20"/>
                <w:szCs w:val="20"/>
              </w:rPr>
              <w:t>Contact</w:t>
            </w:r>
          </w:p>
        </w:tc>
      </w:tr>
      <w:tr w:rsidR="00AD3209">
        <w:trPr>
          <w:trHeight w:val="870"/>
          <w:tblHeader/>
        </w:trPr>
        <w:tc>
          <w:tcPr>
            <w:tcW w:w="1647" w:type="dxa"/>
            <w:vAlign w:val="center"/>
          </w:tcPr>
          <w:p w:rsidR="00AD3209" w:rsidRDefault="007007E4">
            <w:pPr>
              <w:widowControl w:val="0"/>
              <w:spacing w:after="0" w:line="264" w:lineRule="auto"/>
              <w:ind w:right="-20"/>
              <w:jc w:val="center"/>
              <w:rPr>
                <w:sz w:val="20"/>
                <w:szCs w:val="20"/>
              </w:rPr>
            </w:pPr>
            <w:r>
              <w:rPr>
                <w:sz w:val="20"/>
                <w:szCs w:val="20"/>
              </w:rPr>
              <w:t>Surface</w:t>
            </w:r>
            <w:r>
              <w:rPr>
                <w:sz w:val="20"/>
                <w:szCs w:val="20"/>
              </w:rPr>
              <w:t xml:space="preserve"> Transportation Program (STP)</w:t>
            </w:r>
          </w:p>
        </w:tc>
        <w:tc>
          <w:tcPr>
            <w:tcW w:w="1649" w:type="dxa"/>
            <w:vAlign w:val="center"/>
          </w:tcPr>
          <w:p w:rsidR="00AD3209" w:rsidRDefault="007007E4">
            <w:pPr>
              <w:widowControl w:val="0"/>
              <w:spacing w:after="0" w:line="264" w:lineRule="auto"/>
              <w:ind w:right="-20"/>
              <w:jc w:val="center"/>
              <w:rPr>
                <w:sz w:val="20"/>
                <w:szCs w:val="20"/>
              </w:rPr>
            </w:pPr>
            <w:r>
              <w:rPr>
                <w:sz w:val="20"/>
                <w:szCs w:val="20"/>
              </w:rPr>
              <w:t>Surface</w:t>
            </w:r>
            <w:r>
              <w:rPr>
                <w:sz w:val="20"/>
                <w:szCs w:val="20"/>
              </w:rPr>
              <w:t xml:space="preserve"> Transportation Improvements</w:t>
            </w:r>
          </w:p>
        </w:tc>
        <w:tc>
          <w:tcPr>
            <w:tcW w:w="1647" w:type="dxa"/>
            <w:vAlign w:val="center"/>
          </w:tcPr>
          <w:p w:rsidR="00AD3209" w:rsidRDefault="007007E4">
            <w:pPr>
              <w:widowControl w:val="0"/>
              <w:spacing w:after="0" w:line="264" w:lineRule="auto"/>
              <w:ind w:right="-20"/>
              <w:jc w:val="center"/>
              <w:rPr>
                <w:sz w:val="20"/>
                <w:szCs w:val="20"/>
              </w:rPr>
            </w:pPr>
            <w:r>
              <w:rPr>
                <w:sz w:val="20"/>
                <w:szCs w:val="20"/>
              </w:rPr>
              <w:t xml:space="preserve">September </w:t>
            </w:r>
            <w:r>
              <w:rPr>
                <w:sz w:val="20"/>
                <w:szCs w:val="20"/>
              </w:rPr>
              <w:t>29</w:t>
            </w:r>
            <w:r>
              <w:rPr>
                <w:sz w:val="20"/>
                <w:szCs w:val="20"/>
              </w:rPr>
              <w:t>, 202</w:t>
            </w:r>
            <w:r>
              <w:rPr>
                <w:sz w:val="20"/>
                <w:szCs w:val="20"/>
              </w:rPr>
              <w:t>2</w:t>
            </w:r>
          </w:p>
        </w:tc>
        <w:tc>
          <w:tcPr>
            <w:tcW w:w="1646" w:type="dxa"/>
            <w:vAlign w:val="center"/>
          </w:tcPr>
          <w:p w:rsidR="00AD3209" w:rsidRDefault="007007E4">
            <w:pPr>
              <w:widowControl w:val="0"/>
              <w:spacing w:after="0" w:line="264" w:lineRule="auto"/>
              <w:ind w:right="-20"/>
              <w:jc w:val="center"/>
              <w:rPr>
                <w:sz w:val="20"/>
                <w:szCs w:val="20"/>
              </w:rPr>
            </w:pPr>
            <w:r>
              <w:rPr>
                <w:sz w:val="20"/>
                <w:szCs w:val="20"/>
              </w:rPr>
              <w:t xml:space="preserve">December </w:t>
            </w:r>
            <w:r>
              <w:rPr>
                <w:sz w:val="20"/>
                <w:szCs w:val="20"/>
              </w:rPr>
              <w:t>8</w:t>
            </w:r>
            <w:r>
              <w:rPr>
                <w:sz w:val="20"/>
                <w:szCs w:val="20"/>
              </w:rPr>
              <w:t>, 202</w:t>
            </w:r>
            <w:r>
              <w:rPr>
                <w:sz w:val="20"/>
                <w:szCs w:val="20"/>
              </w:rPr>
              <w:t>2</w:t>
            </w:r>
          </w:p>
        </w:tc>
        <w:tc>
          <w:tcPr>
            <w:tcW w:w="1647" w:type="dxa"/>
            <w:vAlign w:val="center"/>
          </w:tcPr>
          <w:p w:rsidR="00AD3209" w:rsidRDefault="007007E4">
            <w:pPr>
              <w:widowControl w:val="0"/>
              <w:spacing w:after="0" w:line="264" w:lineRule="auto"/>
              <w:ind w:right="-20"/>
              <w:jc w:val="center"/>
              <w:rPr>
                <w:sz w:val="20"/>
                <w:szCs w:val="20"/>
              </w:rPr>
            </w:pPr>
            <w:r>
              <w:rPr>
                <w:sz w:val="20"/>
                <w:szCs w:val="20"/>
              </w:rPr>
              <w:t>202</w:t>
            </w:r>
            <w:r>
              <w:rPr>
                <w:sz w:val="20"/>
                <w:szCs w:val="20"/>
              </w:rPr>
              <w:t>9</w:t>
            </w:r>
          </w:p>
        </w:tc>
        <w:tc>
          <w:tcPr>
            <w:tcW w:w="1649" w:type="dxa"/>
            <w:vAlign w:val="center"/>
          </w:tcPr>
          <w:p w:rsidR="00AD3209" w:rsidRDefault="007007E4">
            <w:pPr>
              <w:widowControl w:val="0"/>
              <w:spacing w:after="0" w:line="264" w:lineRule="auto"/>
              <w:ind w:right="-20"/>
              <w:jc w:val="center"/>
              <w:rPr>
                <w:sz w:val="20"/>
                <w:szCs w:val="20"/>
              </w:rPr>
            </w:pPr>
            <w:r>
              <w:rPr>
                <w:sz w:val="20"/>
                <w:szCs w:val="20"/>
              </w:rPr>
              <w:t xml:space="preserve">$29,000,000  - </w:t>
            </w:r>
            <w:r>
              <w:rPr>
                <w:sz w:val="20"/>
                <w:szCs w:val="20"/>
              </w:rPr>
              <w:t>$33,000,000</w:t>
            </w:r>
          </w:p>
        </w:tc>
        <w:tc>
          <w:tcPr>
            <w:tcW w:w="1675" w:type="dxa"/>
            <w:vAlign w:val="center"/>
          </w:tcPr>
          <w:p w:rsidR="00AD3209" w:rsidRDefault="007007E4">
            <w:pPr>
              <w:widowControl w:val="0"/>
              <w:spacing w:after="0" w:line="264" w:lineRule="auto"/>
              <w:ind w:right="-20"/>
              <w:jc w:val="center"/>
              <w:rPr>
                <w:sz w:val="20"/>
                <w:szCs w:val="20"/>
              </w:rPr>
            </w:pPr>
            <w:r>
              <w:rPr>
                <w:sz w:val="20"/>
                <w:szCs w:val="20"/>
              </w:rPr>
              <w:t>Competitive</w:t>
            </w:r>
          </w:p>
        </w:tc>
        <w:tc>
          <w:tcPr>
            <w:tcW w:w="2044" w:type="dxa"/>
            <w:vAlign w:val="center"/>
          </w:tcPr>
          <w:p w:rsidR="00AD3209" w:rsidRDefault="007007E4">
            <w:pPr>
              <w:widowControl w:val="0"/>
              <w:spacing w:after="0" w:line="264" w:lineRule="auto"/>
              <w:ind w:right="-20"/>
              <w:jc w:val="center"/>
              <w:rPr>
                <w:sz w:val="20"/>
                <w:szCs w:val="20"/>
              </w:rPr>
            </w:pPr>
            <w:r>
              <w:rPr>
                <w:sz w:val="20"/>
                <w:szCs w:val="20"/>
              </w:rPr>
              <w:t>Ben Wuthrich</w:t>
            </w:r>
            <w:r>
              <w:rPr>
                <w:sz w:val="20"/>
                <w:szCs w:val="20"/>
              </w:rPr>
              <w:t xml:space="preserve"> </w:t>
            </w:r>
            <w:hyperlink r:id="rId27">
              <w:r>
                <w:rPr>
                  <w:color w:val="0000FF"/>
                  <w:sz w:val="20"/>
                  <w:szCs w:val="20"/>
                  <w:u w:val="single"/>
                </w:rPr>
                <w:t>bwuthrich@wfrc.org</w:t>
              </w:r>
            </w:hyperlink>
          </w:p>
        </w:tc>
      </w:tr>
      <w:tr w:rsidR="00AD3209">
        <w:trPr>
          <w:trHeight w:val="795"/>
          <w:tblHeader/>
        </w:trPr>
        <w:tc>
          <w:tcPr>
            <w:tcW w:w="1647" w:type="dxa"/>
            <w:vAlign w:val="center"/>
          </w:tcPr>
          <w:p w:rsidR="00AD3209" w:rsidRDefault="007007E4">
            <w:pPr>
              <w:widowControl w:val="0"/>
              <w:spacing w:after="0" w:line="264" w:lineRule="auto"/>
              <w:ind w:right="-20"/>
              <w:jc w:val="center"/>
              <w:rPr>
                <w:sz w:val="20"/>
                <w:szCs w:val="20"/>
              </w:rPr>
            </w:pPr>
            <w:r>
              <w:rPr>
                <w:sz w:val="20"/>
                <w:szCs w:val="20"/>
              </w:rPr>
              <w:t>Congestion</w:t>
            </w:r>
            <w:r>
              <w:rPr>
                <w:sz w:val="20"/>
                <w:szCs w:val="20"/>
              </w:rPr>
              <w:t xml:space="preserve"> Mitigation Air </w:t>
            </w:r>
            <w:r>
              <w:rPr>
                <w:sz w:val="20"/>
                <w:szCs w:val="20"/>
              </w:rPr>
              <w:t>Quality (CMAQ)</w:t>
            </w:r>
          </w:p>
        </w:tc>
        <w:tc>
          <w:tcPr>
            <w:tcW w:w="1649" w:type="dxa"/>
            <w:vAlign w:val="center"/>
          </w:tcPr>
          <w:p w:rsidR="00AD3209" w:rsidRDefault="007007E4">
            <w:pPr>
              <w:widowControl w:val="0"/>
              <w:spacing w:after="0" w:line="264" w:lineRule="auto"/>
              <w:ind w:right="-20"/>
              <w:jc w:val="center"/>
              <w:rPr>
                <w:sz w:val="20"/>
                <w:szCs w:val="20"/>
              </w:rPr>
            </w:pPr>
            <w:r>
              <w:rPr>
                <w:sz w:val="20"/>
                <w:szCs w:val="20"/>
              </w:rPr>
              <w:t>Projects that</w:t>
            </w:r>
            <w:r>
              <w:rPr>
                <w:sz w:val="20"/>
                <w:szCs w:val="20"/>
              </w:rPr>
              <w:t xml:space="preserve"> reduce mobile source emissions</w:t>
            </w:r>
          </w:p>
        </w:tc>
        <w:tc>
          <w:tcPr>
            <w:tcW w:w="1647" w:type="dxa"/>
            <w:vAlign w:val="center"/>
          </w:tcPr>
          <w:p w:rsidR="00AD3209" w:rsidRDefault="007007E4">
            <w:pPr>
              <w:widowControl w:val="0"/>
              <w:spacing w:after="0" w:line="264" w:lineRule="auto"/>
              <w:ind w:right="-20"/>
              <w:jc w:val="center"/>
              <w:rPr>
                <w:sz w:val="20"/>
                <w:szCs w:val="20"/>
              </w:rPr>
            </w:pPr>
            <w:r>
              <w:rPr>
                <w:sz w:val="20"/>
                <w:szCs w:val="20"/>
              </w:rPr>
              <w:t xml:space="preserve">September </w:t>
            </w:r>
            <w:r>
              <w:rPr>
                <w:sz w:val="20"/>
                <w:szCs w:val="20"/>
              </w:rPr>
              <w:t>29</w:t>
            </w:r>
            <w:r>
              <w:rPr>
                <w:sz w:val="20"/>
                <w:szCs w:val="20"/>
              </w:rPr>
              <w:t>, 202</w:t>
            </w:r>
            <w:r>
              <w:rPr>
                <w:sz w:val="20"/>
                <w:szCs w:val="20"/>
              </w:rPr>
              <w:t>2</w:t>
            </w:r>
          </w:p>
        </w:tc>
        <w:tc>
          <w:tcPr>
            <w:tcW w:w="1646" w:type="dxa"/>
            <w:vAlign w:val="center"/>
          </w:tcPr>
          <w:p w:rsidR="00AD3209" w:rsidRDefault="007007E4">
            <w:pPr>
              <w:widowControl w:val="0"/>
              <w:spacing w:after="0" w:line="264" w:lineRule="auto"/>
              <w:ind w:right="-20"/>
              <w:jc w:val="center"/>
              <w:rPr>
                <w:sz w:val="20"/>
                <w:szCs w:val="20"/>
              </w:rPr>
            </w:pPr>
            <w:r>
              <w:rPr>
                <w:sz w:val="20"/>
                <w:szCs w:val="20"/>
              </w:rPr>
              <w:t>December 8, 2022</w:t>
            </w:r>
          </w:p>
        </w:tc>
        <w:tc>
          <w:tcPr>
            <w:tcW w:w="1647" w:type="dxa"/>
            <w:vAlign w:val="center"/>
          </w:tcPr>
          <w:p w:rsidR="00AD3209" w:rsidRDefault="007007E4">
            <w:pPr>
              <w:widowControl w:val="0"/>
              <w:spacing w:after="0" w:line="264" w:lineRule="auto"/>
              <w:ind w:right="-20"/>
              <w:jc w:val="center"/>
              <w:rPr>
                <w:sz w:val="20"/>
                <w:szCs w:val="20"/>
              </w:rPr>
            </w:pPr>
            <w:r>
              <w:rPr>
                <w:sz w:val="20"/>
                <w:szCs w:val="20"/>
              </w:rPr>
              <w:t>202</w:t>
            </w:r>
            <w:r>
              <w:rPr>
                <w:sz w:val="20"/>
                <w:szCs w:val="20"/>
              </w:rPr>
              <w:t>9</w:t>
            </w:r>
          </w:p>
        </w:tc>
        <w:tc>
          <w:tcPr>
            <w:tcW w:w="1649" w:type="dxa"/>
            <w:vAlign w:val="center"/>
          </w:tcPr>
          <w:p w:rsidR="00AD3209" w:rsidRDefault="007007E4">
            <w:pPr>
              <w:widowControl w:val="0"/>
              <w:spacing w:after="0" w:line="264" w:lineRule="auto"/>
              <w:ind w:right="-20"/>
              <w:jc w:val="center"/>
              <w:rPr>
                <w:sz w:val="20"/>
                <w:szCs w:val="20"/>
              </w:rPr>
            </w:pPr>
            <w:r>
              <w:rPr>
                <w:sz w:val="20"/>
                <w:szCs w:val="20"/>
              </w:rPr>
              <w:t xml:space="preserve">$7,000,000  - </w:t>
            </w:r>
            <w:r>
              <w:rPr>
                <w:sz w:val="20"/>
                <w:szCs w:val="20"/>
              </w:rPr>
              <w:t>$8,000,000</w:t>
            </w:r>
          </w:p>
        </w:tc>
        <w:tc>
          <w:tcPr>
            <w:tcW w:w="1675" w:type="dxa"/>
            <w:vAlign w:val="center"/>
          </w:tcPr>
          <w:p w:rsidR="00AD3209" w:rsidRDefault="007007E4">
            <w:pPr>
              <w:widowControl w:val="0"/>
              <w:spacing w:after="0" w:line="264" w:lineRule="auto"/>
              <w:ind w:right="-20"/>
              <w:jc w:val="center"/>
              <w:rPr>
                <w:sz w:val="20"/>
                <w:szCs w:val="20"/>
              </w:rPr>
            </w:pPr>
            <w:r>
              <w:rPr>
                <w:sz w:val="20"/>
                <w:szCs w:val="20"/>
              </w:rPr>
              <w:t>Competitive</w:t>
            </w:r>
          </w:p>
        </w:tc>
        <w:tc>
          <w:tcPr>
            <w:tcW w:w="2044" w:type="dxa"/>
            <w:vAlign w:val="center"/>
          </w:tcPr>
          <w:p w:rsidR="00AD3209" w:rsidRDefault="007007E4">
            <w:pPr>
              <w:widowControl w:val="0"/>
              <w:spacing w:after="0" w:line="264" w:lineRule="auto"/>
              <w:ind w:right="-20"/>
              <w:jc w:val="center"/>
              <w:rPr>
                <w:sz w:val="20"/>
                <w:szCs w:val="20"/>
              </w:rPr>
            </w:pPr>
            <w:r>
              <w:rPr>
                <w:sz w:val="20"/>
                <w:szCs w:val="20"/>
              </w:rPr>
              <w:t>Ben Wuthrich</w:t>
            </w:r>
            <w:r>
              <w:rPr>
                <w:sz w:val="20"/>
                <w:szCs w:val="20"/>
              </w:rPr>
              <w:t xml:space="preserve"> </w:t>
            </w:r>
            <w:hyperlink r:id="rId28">
              <w:r>
                <w:rPr>
                  <w:color w:val="0000FF"/>
                  <w:sz w:val="20"/>
                  <w:szCs w:val="20"/>
                  <w:u w:val="single"/>
                </w:rPr>
                <w:t>bwuthrich@wfrc.org</w:t>
              </w:r>
            </w:hyperlink>
          </w:p>
        </w:tc>
      </w:tr>
      <w:tr w:rsidR="00AD3209">
        <w:trPr>
          <w:trHeight w:val="780"/>
          <w:tblHeader/>
        </w:trPr>
        <w:tc>
          <w:tcPr>
            <w:tcW w:w="1647" w:type="dxa"/>
            <w:vAlign w:val="center"/>
          </w:tcPr>
          <w:p w:rsidR="00AD3209" w:rsidRDefault="007007E4">
            <w:pPr>
              <w:widowControl w:val="0"/>
              <w:spacing w:after="0" w:line="264" w:lineRule="auto"/>
              <w:ind w:right="-20"/>
              <w:jc w:val="center"/>
              <w:rPr>
                <w:sz w:val="20"/>
                <w:szCs w:val="20"/>
              </w:rPr>
            </w:pPr>
            <w:r>
              <w:rPr>
                <w:sz w:val="20"/>
                <w:szCs w:val="20"/>
              </w:rPr>
              <w:t>Transportation</w:t>
            </w:r>
            <w:r>
              <w:rPr>
                <w:sz w:val="20"/>
                <w:szCs w:val="20"/>
              </w:rPr>
              <w:t xml:space="preserve"> Alternatives Program (TAP)</w:t>
            </w:r>
          </w:p>
        </w:tc>
        <w:tc>
          <w:tcPr>
            <w:tcW w:w="1649" w:type="dxa"/>
            <w:vAlign w:val="center"/>
          </w:tcPr>
          <w:p w:rsidR="00AD3209" w:rsidRDefault="007007E4">
            <w:pPr>
              <w:widowControl w:val="0"/>
              <w:spacing w:after="0" w:line="264" w:lineRule="auto"/>
              <w:ind w:right="-20"/>
              <w:jc w:val="center"/>
              <w:rPr>
                <w:sz w:val="20"/>
                <w:szCs w:val="20"/>
              </w:rPr>
            </w:pPr>
            <w:r>
              <w:rPr>
                <w:sz w:val="20"/>
                <w:szCs w:val="20"/>
              </w:rPr>
              <w:t>Bicycle and</w:t>
            </w:r>
            <w:r>
              <w:rPr>
                <w:sz w:val="20"/>
                <w:szCs w:val="20"/>
              </w:rPr>
              <w:t xml:space="preserve"> Pedestrian Facilities</w:t>
            </w:r>
          </w:p>
        </w:tc>
        <w:tc>
          <w:tcPr>
            <w:tcW w:w="1647" w:type="dxa"/>
            <w:vAlign w:val="center"/>
          </w:tcPr>
          <w:p w:rsidR="00AD3209" w:rsidRDefault="007007E4">
            <w:pPr>
              <w:widowControl w:val="0"/>
              <w:spacing w:after="0" w:line="264" w:lineRule="auto"/>
              <w:ind w:right="-20"/>
              <w:jc w:val="center"/>
              <w:rPr>
                <w:sz w:val="20"/>
                <w:szCs w:val="20"/>
              </w:rPr>
            </w:pPr>
            <w:r>
              <w:rPr>
                <w:sz w:val="20"/>
                <w:szCs w:val="20"/>
              </w:rPr>
              <w:t xml:space="preserve">September </w:t>
            </w:r>
            <w:r>
              <w:rPr>
                <w:sz w:val="20"/>
                <w:szCs w:val="20"/>
              </w:rPr>
              <w:t>29</w:t>
            </w:r>
            <w:r>
              <w:rPr>
                <w:sz w:val="20"/>
                <w:szCs w:val="20"/>
              </w:rPr>
              <w:t>, 202</w:t>
            </w:r>
            <w:r>
              <w:rPr>
                <w:sz w:val="20"/>
                <w:szCs w:val="20"/>
              </w:rPr>
              <w:t>2</w:t>
            </w:r>
          </w:p>
        </w:tc>
        <w:tc>
          <w:tcPr>
            <w:tcW w:w="1646" w:type="dxa"/>
            <w:vAlign w:val="center"/>
          </w:tcPr>
          <w:p w:rsidR="00AD3209" w:rsidRDefault="007007E4">
            <w:pPr>
              <w:widowControl w:val="0"/>
              <w:spacing w:after="0" w:line="264" w:lineRule="auto"/>
              <w:ind w:right="-20"/>
              <w:jc w:val="center"/>
              <w:rPr>
                <w:sz w:val="20"/>
                <w:szCs w:val="20"/>
              </w:rPr>
            </w:pPr>
            <w:r>
              <w:rPr>
                <w:sz w:val="20"/>
                <w:szCs w:val="20"/>
              </w:rPr>
              <w:t>December 8, 2022</w:t>
            </w:r>
          </w:p>
        </w:tc>
        <w:tc>
          <w:tcPr>
            <w:tcW w:w="1647" w:type="dxa"/>
            <w:vAlign w:val="center"/>
          </w:tcPr>
          <w:p w:rsidR="00AD3209" w:rsidRDefault="007007E4">
            <w:pPr>
              <w:widowControl w:val="0"/>
              <w:spacing w:after="0" w:line="264" w:lineRule="auto"/>
              <w:ind w:right="-20"/>
              <w:jc w:val="center"/>
              <w:rPr>
                <w:sz w:val="20"/>
                <w:szCs w:val="20"/>
              </w:rPr>
            </w:pPr>
            <w:r>
              <w:rPr>
                <w:sz w:val="20"/>
                <w:szCs w:val="20"/>
              </w:rPr>
              <w:t>202</w:t>
            </w:r>
            <w:r>
              <w:rPr>
                <w:sz w:val="20"/>
                <w:szCs w:val="20"/>
              </w:rPr>
              <w:t>5</w:t>
            </w:r>
          </w:p>
        </w:tc>
        <w:tc>
          <w:tcPr>
            <w:tcW w:w="1649" w:type="dxa"/>
            <w:vAlign w:val="center"/>
          </w:tcPr>
          <w:p w:rsidR="00AD3209" w:rsidRDefault="007007E4">
            <w:pPr>
              <w:widowControl w:val="0"/>
              <w:spacing w:after="0" w:line="264" w:lineRule="auto"/>
              <w:ind w:right="-20"/>
              <w:jc w:val="center"/>
              <w:rPr>
                <w:sz w:val="20"/>
                <w:szCs w:val="20"/>
              </w:rPr>
            </w:pPr>
            <w:r>
              <w:rPr>
                <w:sz w:val="20"/>
                <w:szCs w:val="20"/>
              </w:rPr>
              <w:t>$</w:t>
            </w:r>
            <w:r>
              <w:rPr>
                <w:sz w:val="20"/>
                <w:szCs w:val="20"/>
              </w:rPr>
              <w:t>3,0</w:t>
            </w:r>
            <w:r>
              <w:rPr>
                <w:sz w:val="20"/>
                <w:szCs w:val="20"/>
              </w:rPr>
              <w:t>00,000</w:t>
            </w:r>
          </w:p>
        </w:tc>
        <w:tc>
          <w:tcPr>
            <w:tcW w:w="1675" w:type="dxa"/>
            <w:vAlign w:val="center"/>
          </w:tcPr>
          <w:p w:rsidR="00AD3209" w:rsidRDefault="007007E4">
            <w:pPr>
              <w:widowControl w:val="0"/>
              <w:spacing w:after="0" w:line="264" w:lineRule="auto"/>
              <w:ind w:right="-20"/>
              <w:jc w:val="center"/>
              <w:rPr>
                <w:sz w:val="20"/>
                <w:szCs w:val="20"/>
              </w:rPr>
            </w:pPr>
            <w:r>
              <w:rPr>
                <w:sz w:val="20"/>
                <w:szCs w:val="20"/>
              </w:rPr>
              <w:t>Competitive</w:t>
            </w:r>
          </w:p>
        </w:tc>
        <w:tc>
          <w:tcPr>
            <w:tcW w:w="2044" w:type="dxa"/>
            <w:vAlign w:val="center"/>
          </w:tcPr>
          <w:p w:rsidR="00AD3209" w:rsidRDefault="007007E4">
            <w:pPr>
              <w:widowControl w:val="0"/>
              <w:spacing w:after="0" w:line="264" w:lineRule="auto"/>
              <w:ind w:right="-20"/>
              <w:jc w:val="center"/>
              <w:rPr>
                <w:sz w:val="20"/>
                <w:szCs w:val="20"/>
              </w:rPr>
            </w:pPr>
            <w:r>
              <w:rPr>
                <w:sz w:val="20"/>
                <w:szCs w:val="20"/>
              </w:rPr>
              <w:t>Ben Wuthrich</w:t>
            </w:r>
            <w:r>
              <w:rPr>
                <w:sz w:val="20"/>
                <w:szCs w:val="20"/>
              </w:rPr>
              <w:t xml:space="preserve"> </w:t>
            </w:r>
            <w:hyperlink r:id="rId29">
              <w:r>
                <w:rPr>
                  <w:color w:val="0000FF"/>
                  <w:sz w:val="20"/>
                  <w:szCs w:val="20"/>
                  <w:u w:val="single"/>
                </w:rPr>
                <w:t>bwuthrich@wfrc.org</w:t>
              </w:r>
            </w:hyperlink>
          </w:p>
        </w:tc>
      </w:tr>
      <w:tr w:rsidR="00AD3209">
        <w:trPr>
          <w:trHeight w:val="750"/>
          <w:tblHeader/>
        </w:trPr>
        <w:tc>
          <w:tcPr>
            <w:tcW w:w="1647" w:type="dxa"/>
            <w:vAlign w:val="center"/>
          </w:tcPr>
          <w:p w:rsidR="00AD3209" w:rsidRDefault="007007E4">
            <w:pPr>
              <w:widowControl w:val="0"/>
              <w:spacing w:after="0" w:line="264" w:lineRule="auto"/>
              <w:ind w:right="-20"/>
              <w:jc w:val="center"/>
              <w:rPr>
                <w:sz w:val="20"/>
                <w:szCs w:val="20"/>
              </w:rPr>
            </w:pPr>
            <w:r>
              <w:rPr>
                <w:sz w:val="20"/>
                <w:szCs w:val="20"/>
              </w:rPr>
              <w:t>Carbon Reduction Program (CRP)</w:t>
            </w:r>
          </w:p>
        </w:tc>
        <w:tc>
          <w:tcPr>
            <w:tcW w:w="1649" w:type="dxa"/>
            <w:vAlign w:val="center"/>
          </w:tcPr>
          <w:p w:rsidR="00AD3209" w:rsidRDefault="007007E4">
            <w:pPr>
              <w:widowControl w:val="0"/>
              <w:spacing w:after="0" w:line="264" w:lineRule="auto"/>
              <w:ind w:right="-20"/>
              <w:jc w:val="center"/>
              <w:rPr>
                <w:sz w:val="20"/>
                <w:szCs w:val="20"/>
              </w:rPr>
            </w:pPr>
            <w:r>
              <w:rPr>
                <w:sz w:val="20"/>
                <w:szCs w:val="20"/>
              </w:rPr>
              <w:t>Projects that reduce on-road CO2 emissions</w:t>
            </w:r>
          </w:p>
        </w:tc>
        <w:tc>
          <w:tcPr>
            <w:tcW w:w="1647" w:type="dxa"/>
            <w:vAlign w:val="center"/>
          </w:tcPr>
          <w:p w:rsidR="00AD3209" w:rsidRDefault="007007E4">
            <w:pPr>
              <w:widowControl w:val="0"/>
              <w:spacing w:after="0" w:line="264" w:lineRule="auto"/>
              <w:ind w:right="-20"/>
              <w:jc w:val="center"/>
              <w:rPr>
                <w:sz w:val="20"/>
                <w:szCs w:val="20"/>
              </w:rPr>
            </w:pPr>
            <w:r>
              <w:rPr>
                <w:sz w:val="20"/>
                <w:szCs w:val="20"/>
              </w:rPr>
              <w:t>September 29, 2022</w:t>
            </w:r>
          </w:p>
        </w:tc>
        <w:tc>
          <w:tcPr>
            <w:tcW w:w="1646" w:type="dxa"/>
            <w:vAlign w:val="center"/>
          </w:tcPr>
          <w:p w:rsidR="00AD3209" w:rsidRDefault="007007E4">
            <w:pPr>
              <w:widowControl w:val="0"/>
              <w:spacing w:after="0" w:line="264" w:lineRule="auto"/>
              <w:ind w:right="-20"/>
              <w:jc w:val="center"/>
              <w:rPr>
                <w:sz w:val="20"/>
                <w:szCs w:val="20"/>
              </w:rPr>
            </w:pPr>
            <w:r>
              <w:rPr>
                <w:sz w:val="20"/>
                <w:szCs w:val="20"/>
              </w:rPr>
              <w:t>December 8, 2022</w:t>
            </w:r>
          </w:p>
        </w:tc>
        <w:tc>
          <w:tcPr>
            <w:tcW w:w="1647" w:type="dxa"/>
            <w:vAlign w:val="center"/>
          </w:tcPr>
          <w:p w:rsidR="00AD3209" w:rsidRDefault="007007E4">
            <w:pPr>
              <w:widowControl w:val="0"/>
              <w:spacing w:after="0" w:line="264" w:lineRule="auto"/>
              <w:ind w:right="-20"/>
              <w:jc w:val="center"/>
              <w:rPr>
                <w:sz w:val="20"/>
                <w:szCs w:val="20"/>
              </w:rPr>
            </w:pPr>
            <w:r>
              <w:rPr>
                <w:sz w:val="20"/>
                <w:szCs w:val="20"/>
              </w:rPr>
              <w:t>2025</w:t>
            </w:r>
          </w:p>
        </w:tc>
        <w:tc>
          <w:tcPr>
            <w:tcW w:w="1649" w:type="dxa"/>
            <w:vAlign w:val="center"/>
          </w:tcPr>
          <w:p w:rsidR="00AD3209" w:rsidRDefault="007007E4">
            <w:pPr>
              <w:widowControl w:val="0"/>
              <w:spacing w:after="0" w:line="264" w:lineRule="auto"/>
              <w:ind w:right="-20"/>
              <w:jc w:val="center"/>
              <w:rPr>
                <w:sz w:val="20"/>
                <w:szCs w:val="20"/>
              </w:rPr>
            </w:pPr>
            <w:r>
              <w:rPr>
                <w:sz w:val="20"/>
                <w:szCs w:val="20"/>
              </w:rPr>
              <w:t>$3,000,000 - $4,000,000</w:t>
            </w:r>
          </w:p>
        </w:tc>
        <w:tc>
          <w:tcPr>
            <w:tcW w:w="1675" w:type="dxa"/>
            <w:vAlign w:val="center"/>
          </w:tcPr>
          <w:p w:rsidR="00AD3209" w:rsidRDefault="007007E4">
            <w:pPr>
              <w:widowControl w:val="0"/>
              <w:spacing w:after="0" w:line="264" w:lineRule="auto"/>
              <w:ind w:right="-20"/>
              <w:jc w:val="center"/>
              <w:rPr>
                <w:sz w:val="20"/>
                <w:szCs w:val="20"/>
              </w:rPr>
            </w:pPr>
            <w:r>
              <w:rPr>
                <w:sz w:val="20"/>
                <w:szCs w:val="20"/>
              </w:rPr>
              <w:t>Competitive</w:t>
            </w:r>
          </w:p>
        </w:tc>
        <w:tc>
          <w:tcPr>
            <w:tcW w:w="2044" w:type="dxa"/>
            <w:vAlign w:val="center"/>
          </w:tcPr>
          <w:p w:rsidR="00AD3209" w:rsidRDefault="007007E4">
            <w:pPr>
              <w:widowControl w:val="0"/>
              <w:spacing w:after="0" w:line="264" w:lineRule="auto"/>
              <w:ind w:right="-20"/>
              <w:jc w:val="center"/>
              <w:rPr>
                <w:sz w:val="20"/>
                <w:szCs w:val="20"/>
              </w:rPr>
            </w:pPr>
            <w:r>
              <w:rPr>
                <w:sz w:val="20"/>
                <w:szCs w:val="20"/>
              </w:rPr>
              <w:t xml:space="preserve">Ben Wuthrich </w:t>
            </w:r>
            <w:hyperlink r:id="rId30">
              <w:r>
                <w:rPr>
                  <w:color w:val="0000FF"/>
                  <w:sz w:val="20"/>
                  <w:szCs w:val="20"/>
                  <w:u w:val="single"/>
                </w:rPr>
                <w:t>bwuthrich@wfrc.org</w:t>
              </w:r>
            </w:hyperlink>
          </w:p>
        </w:tc>
      </w:tr>
      <w:tr w:rsidR="00AD3209">
        <w:trPr>
          <w:trHeight w:val="675"/>
          <w:tblHeader/>
        </w:trPr>
        <w:tc>
          <w:tcPr>
            <w:tcW w:w="1647" w:type="dxa"/>
            <w:vAlign w:val="center"/>
          </w:tcPr>
          <w:p w:rsidR="00AD3209" w:rsidRDefault="007007E4">
            <w:pPr>
              <w:widowControl w:val="0"/>
              <w:spacing w:after="0" w:line="264" w:lineRule="auto"/>
              <w:ind w:right="-20"/>
              <w:jc w:val="center"/>
              <w:rPr>
                <w:sz w:val="20"/>
                <w:szCs w:val="20"/>
              </w:rPr>
            </w:pPr>
            <w:r>
              <w:rPr>
                <w:sz w:val="20"/>
                <w:szCs w:val="20"/>
              </w:rPr>
              <w:t>Transportation</w:t>
            </w:r>
            <w:r>
              <w:rPr>
                <w:sz w:val="20"/>
                <w:szCs w:val="20"/>
              </w:rPr>
              <w:t xml:space="preserve"> and Land Use Connection (TLC)</w:t>
            </w:r>
          </w:p>
        </w:tc>
        <w:tc>
          <w:tcPr>
            <w:tcW w:w="1649" w:type="dxa"/>
            <w:vAlign w:val="center"/>
          </w:tcPr>
          <w:p w:rsidR="00AD3209" w:rsidRDefault="007007E4">
            <w:pPr>
              <w:widowControl w:val="0"/>
              <w:spacing w:after="0" w:line="264" w:lineRule="auto"/>
              <w:ind w:right="-20"/>
              <w:jc w:val="center"/>
              <w:rPr>
                <w:sz w:val="20"/>
                <w:szCs w:val="20"/>
              </w:rPr>
            </w:pPr>
            <w:r>
              <w:rPr>
                <w:sz w:val="20"/>
                <w:szCs w:val="20"/>
              </w:rPr>
              <w:t>Planning</w:t>
            </w:r>
            <w:r>
              <w:rPr>
                <w:sz w:val="20"/>
                <w:szCs w:val="20"/>
              </w:rPr>
              <w:t xml:space="preserve"> Assistance</w:t>
            </w:r>
          </w:p>
        </w:tc>
        <w:tc>
          <w:tcPr>
            <w:tcW w:w="1647" w:type="dxa"/>
            <w:vAlign w:val="center"/>
          </w:tcPr>
          <w:p w:rsidR="00AD3209" w:rsidRDefault="007007E4">
            <w:pPr>
              <w:widowControl w:val="0"/>
              <w:spacing w:after="0" w:line="264" w:lineRule="auto"/>
              <w:ind w:right="-20"/>
              <w:jc w:val="center"/>
              <w:rPr>
                <w:sz w:val="20"/>
                <w:szCs w:val="20"/>
              </w:rPr>
            </w:pPr>
            <w:r>
              <w:rPr>
                <w:sz w:val="20"/>
                <w:szCs w:val="20"/>
              </w:rPr>
              <w:t xml:space="preserve">September </w:t>
            </w:r>
            <w:r>
              <w:rPr>
                <w:sz w:val="20"/>
                <w:szCs w:val="20"/>
              </w:rPr>
              <w:t>29</w:t>
            </w:r>
            <w:r>
              <w:rPr>
                <w:sz w:val="20"/>
                <w:szCs w:val="20"/>
              </w:rPr>
              <w:t>, 202</w:t>
            </w:r>
            <w:r>
              <w:rPr>
                <w:sz w:val="20"/>
                <w:szCs w:val="20"/>
              </w:rPr>
              <w:t>2</w:t>
            </w:r>
          </w:p>
        </w:tc>
        <w:tc>
          <w:tcPr>
            <w:tcW w:w="1646" w:type="dxa"/>
            <w:vAlign w:val="center"/>
          </w:tcPr>
          <w:p w:rsidR="00AD3209" w:rsidRDefault="007007E4">
            <w:pPr>
              <w:widowControl w:val="0"/>
              <w:spacing w:after="0" w:line="264" w:lineRule="auto"/>
              <w:ind w:right="-20"/>
              <w:jc w:val="center"/>
              <w:rPr>
                <w:sz w:val="20"/>
                <w:szCs w:val="20"/>
              </w:rPr>
            </w:pPr>
            <w:r>
              <w:rPr>
                <w:sz w:val="20"/>
                <w:szCs w:val="20"/>
              </w:rPr>
              <w:t>December 8, 2022</w:t>
            </w:r>
          </w:p>
        </w:tc>
        <w:tc>
          <w:tcPr>
            <w:tcW w:w="1647" w:type="dxa"/>
            <w:vAlign w:val="center"/>
          </w:tcPr>
          <w:p w:rsidR="00AD3209" w:rsidRDefault="007007E4">
            <w:pPr>
              <w:widowControl w:val="0"/>
              <w:spacing w:after="0" w:line="264" w:lineRule="auto"/>
              <w:ind w:right="-20"/>
              <w:jc w:val="center"/>
              <w:rPr>
                <w:sz w:val="20"/>
                <w:szCs w:val="20"/>
              </w:rPr>
            </w:pPr>
            <w:r>
              <w:rPr>
                <w:sz w:val="20"/>
                <w:szCs w:val="20"/>
              </w:rPr>
              <w:t>202</w:t>
            </w:r>
            <w:r>
              <w:rPr>
                <w:sz w:val="20"/>
                <w:szCs w:val="20"/>
              </w:rPr>
              <w:t>3</w:t>
            </w:r>
          </w:p>
        </w:tc>
        <w:tc>
          <w:tcPr>
            <w:tcW w:w="1649" w:type="dxa"/>
            <w:vAlign w:val="center"/>
          </w:tcPr>
          <w:p w:rsidR="00AD3209" w:rsidRDefault="007007E4">
            <w:pPr>
              <w:widowControl w:val="0"/>
              <w:spacing w:after="0" w:line="264" w:lineRule="auto"/>
              <w:ind w:right="-20"/>
              <w:jc w:val="center"/>
              <w:rPr>
                <w:sz w:val="20"/>
                <w:szCs w:val="20"/>
              </w:rPr>
            </w:pPr>
            <w:r>
              <w:rPr>
                <w:sz w:val="20"/>
                <w:szCs w:val="20"/>
              </w:rPr>
              <w:t>$1,900,000</w:t>
            </w:r>
          </w:p>
        </w:tc>
        <w:tc>
          <w:tcPr>
            <w:tcW w:w="1675" w:type="dxa"/>
            <w:vAlign w:val="center"/>
          </w:tcPr>
          <w:p w:rsidR="00AD3209" w:rsidRDefault="007007E4">
            <w:pPr>
              <w:widowControl w:val="0"/>
              <w:spacing w:after="0" w:line="264" w:lineRule="auto"/>
              <w:ind w:right="-20"/>
              <w:jc w:val="center"/>
              <w:rPr>
                <w:sz w:val="20"/>
                <w:szCs w:val="20"/>
              </w:rPr>
            </w:pPr>
            <w:r>
              <w:rPr>
                <w:sz w:val="20"/>
                <w:szCs w:val="20"/>
              </w:rPr>
              <w:t>Competitive</w:t>
            </w:r>
          </w:p>
        </w:tc>
        <w:tc>
          <w:tcPr>
            <w:tcW w:w="2044" w:type="dxa"/>
            <w:vAlign w:val="center"/>
          </w:tcPr>
          <w:p w:rsidR="00AD3209" w:rsidRDefault="007007E4">
            <w:pPr>
              <w:widowControl w:val="0"/>
              <w:spacing w:after="0" w:line="240" w:lineRule="auto"/>
              <w:ind w:right="-20"/>
              <w:jc w:val="center"/>
              <w:rPr>
                <w:sz w:val="20"/>
                <w:szCs w:val="20"/>
              </w:rPr>
            </w:pPr>
            <w:r>
              <w:rPr>
                <w:sz w:val="20"/>
                <w:szCs w:val="20"/>
              </w:rPr>
              <w:t xml:space="preserve">Megan Townsend </w:t>
            </w:r>
            <w:hyperlink r:id="rId31">
              <w:r>
                <w:rPr>
                  <w:color w:val="0000FF"/>
                  <w:sz w:val="20"/>
                  <w:szCs w:val="20"/>
                  <w:u w:val="single"/>
                </w:rPr>
                <w:t>mtownsend@wfrc.org</w:t>
              </w:r>
            </w:hyperlink>
          </w:p>
          <w:p w:rsidR="00AD3209" w:rsidRDefault="00AD3209">
            <w:pPr>
              <w:widowControl w:val="0"/>
              <w:spacing w:after="0" w:line="240" w:lineRule="auto"/>
              <w:ind w:left="102" w:right="-20"/>
              <w:jc w:val="center"/>
              <w:rPr>
                <w:sz w:val="20"/>
                <w:szCs w:val="20"/>
              </w:rPr>
            </w:pPr>
          </w:p>
        </w:tc>
      </w:tr>
      <w:tr w:rsidR="00AD3209">
        <w:trPr>
          <w:trHeight w:val="1125"/>
          <w:tblHeader/>
        </w:trPr>
        <w:tc>
          <w:tcPr>
            <w:tcW w:w="1647" w:type="dxa"/>
            <w:vAlign w:val="center"/>
          </w:tcPr>
          <w:p w:rsidR="00AD3209" w:rsidRDefault="007007E4">
            <w:pPr>
              <w:widowControl w:val="0"/>
              <w:spacing w:after="0" w:line="264" w:lineRule="auto"/>
              <w:ind w:right="-20"/>
              <w:jc w:val="center"/>
              <w:rPr>
                <w:sz w:val="20"/>
                <w:szCs w:val="20"/>
              </w:rPr>
            </w:pPr>
            <w:r>
              <w:rPr>
                <w:sz w:val="20"/>
                <w:szCs w:val="20"/>
              </w:rPr>
              <w:t>Station Area Planning (SAP)</w:t>
            </w:r>
          </w:p>
        </w:tc>
        <w:tc>
          <w:tcPr>
            <w:tcW w:w="1649" w:type="dxa"/>
            <w:vAlign w:val="center"/>
          </w:tcPr>
          <w:p w:rsidR="00AD3209" w:rsidRDefault="007007E4">
            <w:pPr>
              <w:widowControl w:val="0"/>
              <w:spacing w:after="0" w:line="264" w:lineRule="auto"/>
              <w:ind w:right="-20"/>
              <w:jc w:val="center"/>
              <w:rPr>
                <w:sz w:val="20"/>
                <w:szCs w:val="20"/>
              </w:rPr>
            </w:pPr>
            <w:r>
              <w:rPr>
                <w:sz w:val="20"/>
                <w:szCs w:val="20"/>
              </w:rPr>
              <w:t>Planning Assistance for SAPs</w:t>
            </w:r>
          </w:p>
        </w:tc>
        <w:tc>
          <w:tcPr>
            <w:tcW w:w="1647" w:type="dxa"/>
            <w:vAlign w:val="center"/>
          </w:tcPr>
          <w:p w:rsidR="00AD3209" w:rsidRDefault="007007E4">
            <w:pPr>
              <w:widowControl w:val="0"/>
              <w:spacing w:after="0" w:line="264" w:lineRule="auto"/>
              <w:ind w:right="-20"/>
              <w:jc w:val="center"/>
              <w:rPr>
                <w:sz w:val="20"/>
                <w:szCs w:val="20"/>
              </w:rPr>
            </w:pPr>
            <w:r>
              <w:rPr>
                <w:sz w:val="20"/>
                <w:szCs w:val="20"/>
              </w:rPr>
              <w:t>N/A</w:t>
            </w:r>
          </w:p>
        </w:tc>
        <w:tc>
          <w:tcPr>
            <w:tcW w:w="1646" w:type="dxa"/>
            <w:vAlign w:val="center"/>
          </w:tcPr>
          <w:p w:rsidR="00AD3209" w:rsidRDefault="007007E4">
            <w:pPr>
              <w:widowControl w:val="0"/>
              <w:spacing w:after="0" w:line="264" w:lineRule="auto"/>
              <w:ind w:right="-20"/>
              <w:jc w:val="center"/>
              <w:rPr>
                <w:sz w:val="20"/>
                <w:szCs w:val="20"/>
              </w:rPr>
            </w:pPr>
            <w:r>
              <w:rPr>
                <w:sz w:val="20"/>
                <w:szCs w:val="20"/>
              </w:rPr>
              <w:t>Deadlines every 2 months</w:t>
            </w:r>
          </w:p>
        </w:tc>
        <w:tc>
          <w:tcPr>
            <w:tcW w:w="1647" w:type="dxa"/>
            <w:vAlign w:val="center"/>
          </w:tcPr>
          <w:p w:rsidR="00AD3209" w:rsidRDefault="007007E4">
            <w:pPr>
              <w:widowControl w:val="0"/>
              <w:spacing w:after="0" w:line="264" w:lineRule="auto"/>
              <w:ind w:right="-20"/>
              <w:jc w:val="center"/>
              <w:rPr>
                <w:sz w:val="20"/>
                <w:szCs w:val="20"/>
              </w:rPr>
            </w:pPr>
            <w:r>
              <w:rPr>
                <w:sz w:val="20"/>
                <w:szCs w:val="20"/>
              </w:rPr>
              <w:t>2022</w:t>
            </w:r>
          </w:p>
        </w:tc>
        <w:tc>
          <w:tcPr>
            <w:tcW w:w="1649" w:type="dxa"/>
            <w:vAlign w:val="center"/>
          </w:tcPr>
          <w:p w:rsidR="00AD3209" w:rsidRDefault="007007E4">
            <w:pPr>
              <w:widowControl w:val="0"/>
              <w:spacing w:after="0" w:line="264" w:lineRule="auto"/>
              <w:ind w:right="-20"/>
              <w:jc w:val="center"/>
              <w:rPr>
                <w:sz w:val="20"/>
                <w:szCs w:val="20"/>
              </w:rPr>
            </w:pPr>
            <w:r>
              <w:rPr>
                <w:sz w:val="20"/>
                <w:szCs w:val="20"/>
              </w:rPr>
              <w:t>Up to $5million over 2 years</w:t>
            </w:r>
          </w:p>
        </w:tc>
        <w:tc>
          <w:tcPr>
            <w:tcW w:w="1675" w:type="dxa"/>
            <w:vAlign w:val="center"/>
          </w:tcPr>
          <w:p w:rsidR="00AD3209" w:rsidRDefault="007007E4">
            <w:pPr>
              <w:widowControl w:val="0"/>
              <w:spacing w:after="0" w:line="264" w:lineRule="auto"/>
              <w:ind w:right="-20"/>
              <w:jc w:val="center"/>
              <w:rPr>
                <w:sz w:val="20"/>
                <w:szCs w:val="20"/>
              </w:rPr>
            </w:pPr>
            <w:r>
              <w:rPr>
                <w:sz w:val="20"/>
                <w:szCs w:val="20"/>
              </w:rPr>
              <w:t>Non-Competitive</w:t>
            </w:r>
          </w:p>
        </w:tc>
        <w:tc>
          <w:tcPr>
            <w:tcW w:w="2044" w:type="dxa"/>
            <w:vAlign w:val="center"/>
          </w:tcPr>
          <w:p w:rsidR="00AD3209" w:rsidRDefault="007007E4">
            <w:pPr>
              <w:widowControl w:val="0"/>
              <w:spacing w:after="0" w:line="240" w:lineRule="auto"/>
              <w:ind w:right="-20"/>
              <w:jc w:val="center"/>
              <w:rPr>
                <w:sz w:val="20"/>
                <w:szCs w:val="20"/>
              </w:rPr>
            </w:pPr>
            <w:r>
              <w:rPr>
                <w:sz w:val="20"/>
                <w:szCs w:val="20"/>
              </w:rPr>
              <w:t xml:space="preserve">Megan Townsend </w:t>
            </w:r>
            <w:hyperlink r:id="rId32">
              <w:r>
                <w:rPr>
                  <w:color w:val="0000FF"/>
                  <w:sz w:val="20"/>
                  <w:szCs w:val="20"/>
                  <w:u w:val="single"/>
                </w:rPr>
                <w:t>mtownsend@wfrc.org</w:t>
              </w:r>
            </w:hyperlink>
          </w:p>
        </w:tc>
      </w:tr>
      <w:tr w:rsidR="00AD3209">
        <w:trPr>
          <w:trHeight w:val="924"/>
          <w:tblHeader/>
        </w:trPr>
        <w:tc>
          <w:tcPr>
            <w:tcW w:w="1647" w:type="dxa"/>
            <w:vAlign w:val="center"/>
          </w:tcPr>
          <w:p w:rsidR="00AD3209" w:rsidRDefault="007007E4">
            <w:pPr>
              <w:widowControl w:val="0"/>
              <w:spacing w:after="0" w:line="264" w:lineRule="auto"/>
              <w:ind w:right="-20"/>
              <w:jc w:val="center"/>
              <w:rPr>
                <w:sz w:val="20"/>
                <w:szCs w:val="20"/>
              </w:rPr>
            </w:pPr>
            <w:r>
              <w:rPr>
                <w:sz w:val="20"/>
                <w:szCs w:val="20"/>
              </w:rPr>
              <w:t>Community</w:t>
            </w:r>
            <w:r>
              <w:rPr>
                <w:sz w:val="20"/>
                <w:szCs w:val="20"/>
              </w:rPr>
              <w:t xml:space="preserve"> Development Block Grant Program (CDBG)</w:t>
            </w:r>
          </w:p>
        </w:tc>
        <w:tc>
          <w:tcPr>
            <w:tcW w:w="1649" w:type="dxa"/>
            <w:vAlign w:val="center"/>
          </w:tcPr>
          <w:p w:rsidR="00AD3209" w:rsidRDefault="007007E4">
            <w:pPr>
              <w:widowControl w:val="0"/>
              <w:spacing w:after="0" w:line="264" w:lineRule="auto"/>
              <w:ind w:right="-20"/>
              <w:jc w:val="center"/>
              <w:rPr>
                <w:sz w:val="20"/>
                <w:szCs w:val="20"/>
              </w:rPr>
            </w:pPr>
            <w:r>
              <w:rPr>
                <w:sz w:val="20"/>
                <w:szCs w:val="20"/>
              </w:rPr>
              <w:t>Housing and Community Development Activities</w:t>
            </w:r>
          </w:p>
        </w:tc>
        <w:tc>
          <w:tcPr>
            <w:tcW w:w="1647" w:type="dxa"/>
            <w:vAlign w:val="center"/>
          </w:tcPr>
          <w:p w:rsidR="00AD3209" w:rsidRDefault="007007E4">
            <w:pPr>
              <w:widowControl w:val="0"/>
              <w:spacing w:after="0" w:line="264" w:lineRule="auto"/>
              <w:ind w:right="-20"/>
              <w:jc w:val="center"/>
              <w:rPr>
                <w:sz w:val="20"/>
                <w:szCs w:val="20"/>
              </w:rPr>
            </w:pPr>
            <w:r>
              <w:rPr>
                <w:sz w:val="20"/>
                <w:szCs w:val="20"/>
              </w:rPr>
              <w:t>Mandatory</w:t>
            </w:r>
            <w:r>
              <w:rPr>
                <w:sz w:val="20"/>
                <w:szCs w:val="20"/>
              </w:rPr>
              <w:t xml:space="preserve"> </w:t>
            </w:r>
          </w:p>
          <w:p w:rsidR="00AD3209" w:rsidRDefault="007007E4">
            <w:pPr>
              <w:widowControl w:val="0"/>
              <w:spacing w:after="0" w:line="264" w:lineRule="auto"/>
              <w:ind w:right="-20"/>
              <w:jc w:val="center"/>
              <w:rPr>
                <w:sz w:val="20"/>
                <w:szCs w:val="20"/>
              </w:rPr>
            </w:pPr>
            <w:r>
              <w:rPr>
                <w:sz w:val="20"/>
                <w:szCs w:val="20"/>
              </w:rPr>
              <w:t>How to Apply Workshop: 10/20/22, 3pm</w:t>
            </w:r>
          </w:p>
        </w:tc>
        <w:tc>
          <w:tcPr>
            <w:tcW w:w="1646" w:type="dxa"/>
            <w:vAlign w:val="center"/>
          </w:tcPr>
          <w:p w:rsidR="00AD3209" w:rsidRDefault="007007E4">
            <w:pPr>
              <w:widowControl w:val="0"/>
              <w:spacing w:after="0" w:line="264" w:lineRule="auto"/>
              <w:ind w:right="-20"/>
              <w:jc w:val="center"/>
              <w:rPr>
                <w:sz w:val="20"/>
                <w:szCs w:val="20"/>
              </w:rPr>
            </w:pPr>
            <w:r>
              <w:rPr>
                <w:sz w:val="20"/>
                <w:szCs w:val="20"/>
              </w:rPr>
              <w:t>January 31, 202</w:t>
            </w:r>
            <w:r>
              <w:rPr>
                <w:sz w:val="20"/>
                <w:szCs w:val="20"/>
              </w:rPr>
              <w:t>3</w:t>
            </w:r>
          </w:p>
        </w:tc>
        <w:tc>
          <w:tcPr>
            <w:tcW w:w="1647" w:type="dxa"/>
            <w:vAlign w:val="center"/>
          </w:tcPr>
          <w:p w:rsidR="00AD3209" w:rsidRDefault="007007E4">
            <w:pPr>
              <w:widowControl w:val="0"/>
              <w:spacing w:after="0" w:line="264" w:lineRule="auto"/>
              <w:ind w:left="102" w:right="-20"/>
              <w:jc w:val="center"/>
              <w:rPr>
                <w:sz w:val="20"/>
                <w:szCs w:val="20"/>
              </w:rPr>
            </w:pPr>
            <w:r>
              <w:rPr>
                <w:sz w:val="20"/>
                <w:szCs w:val="20"/>
              </w:rPr>
              <w:t>202</w:t>
            </w:r>
            <w:r>
              <w:rPr>
                <w:sz w:val="20"/>
                <w:szCs w:val="20"/>
              </w:rPr>
              <w:t>3</w:t>
            </w:r>
          </w:p>
        </w:tc>
        <w:tc>
          <w:tcPr>
            <w:tcW w:w="1649" w:type="dxa"/>
            <w:vAlign w:val="center"/>
          </w:tcPr>
          <w:p w:rsidR="00AD3209" w:rsidRDefault="007007E4">
            <w:pPr>
              <w:widowControl w:val="0"/>
              <w:spacing w:after="0" w:line="264" w:lineRule="auto"/>
              <w:ind w:right="-20"/>
              <w:jc w:val="center"/>
              <w:rPr>
                <w:sz w:val="20"/>
                <w:szCs w:val="20"/>
              </w:rPr>
            </w:pPr>
            <w:r>
              <w:rPr>
                <w:sz w:val="20"/>
                <w:szCs w:val="20"/>
              </w:rPr>
              <w:t>$</w:t>
            </w:r>
            <w:r>
              <w:rPr>
                <w:sz w:val="20"/>
                <w:szCs w:val="20"/>
              </w:rPr>
              <w:t>1,000</w:t>
            </w:r>
            <w:r>
              <w:rPr>
                <w:sz w:val="20"/>
                <w:szCs w:val="20"/>
              </w:rPr>
              <w:t>,000</w:t>
            </w:r>
          </w:p>
        </w:tc>
        <w:tc>
          <w:tcPr>
            <w:tcW w:w="1675" w:type="dxa"/>
            <w:vAlign w:val="center"/>
          </w:tcPr>
          <w:p w:rsidR="00AD3209" w:rsidRDefault="007007E4">
            <w:pPr>
              <w:widowControl w:val="0"/>
              <w:spacing w:after="0" w:line="264" w:lineRule="auto"/>
              <w:ind w:right="-20"/>
              <w:jc w:val="center"/>
              <w:rPr>
                <w:sz w:val="20"/>
                <w:szCs w:val="20"/>
              </w:rPr>
            </w:pPr>
            <w:r>
              <w:rPr>
                <w:sz w:val="20"/>
                <w:szCs w:val="20"/>
              </w:rPr>
              <w:t>Competitive</w:t>
            </w:r>
          </w:p>
        </w:tc>
        <w:tc>
          <w:tcPr>
            <w:tcW w:w="2044" w:type="dxa"/>
            <w:vAlign w:val="center"/>
          </w:tcPr>
          <w:p w:rsidR="00AD3209" w:rsidRDefault="007007E4">
            <w:pPr>
              <w:widowControl w:val="0"/>
              <w:spacing w:after="0" w:line="240" w:lineRule="auto"/>
              <w:ind w:right="-20"/>
              <w:jc w:val="center"/>
              <w:rPr>
                <w:sz w:val="20"/>
                <w:szCs w:val="20"/>
              </w:rPr>
            </w:pPr>
            <w:r>
              <w:rPr>
                <w:sz w:val="20"/>
                <w:szCs w:val="20"/>
              </w:rPr>
              <w:t xml:space="preserve">Christy Dahlberg </w:t>
            </w:r>
            <w:hyperlink r:id="rId33">
              <w:r>
                <w:rPr>
                  <w:color w:val="0000FF"/>
                  <w:sz w:val="20"/>
                  <w:szCs w:val="20"/>
                  <w:u w:val="single"/>
                </w:rPr>
                <w:t>christy@wfrc.org</w:t>
              </w:r>
            </w:hyperlink>
          </w:p>
          <w:p w:rsidR="00AD3209" w:rsidRDefault="00AD3209">
            <w:pPr>
              <w:widowControl w:val="0"/>
              <w:spacing w:after="0" w:line="240" w:lineRule="auto"/>
              <w:ind w:left="102" w:right="-20"/>
              <w:jc w:val="center"/>
              <w:rPr>
                <w:sz w:val="20"/>
                <w:szCs w:val="20"/>
              </w:rPr>
            </w:pPr>
          </w:p>
        </w:tc>
      </w:tr>
      <w:tr w:rsidR="00AD3209">
        <w:trPr>
          <w:trHeight w:val="870"/>
          <w:tblHeader/>
        </w:trPr>
        <w:tc>
          <w:tcPr>
            <w:tcW w:w="1647" w:type="dxa"/>
            <w:vAlign w:val="center"/>
          </w:tcPr>
          <w:p w:rsidR="00AD3209" w:rsidRDefault="007007E4">
            <w:pPr>
              <w:widowControl w:val="0"/>
              <w:spacing w:after="0" w:line="264" w:lineRule="auto"/>
              <w:ind w:right="-20"/>
              <w:jc w:val="center"/>
              <w:rPr>
                <w:sz w:val="20"/>
                <w:szCs w:val="20"/>
              </w:rPr>
            </w:pPr>
            <w:r>
              <w:rPr>
                <w:sz w:val="20"/>
                <w:szCs w:val="20"/>
              </w:rPr>
              <w:t>Community Impact Board (CIB)</w:t>
            </w:r>
          </w:p>
        </w:tc>
        <w:tc>
          <w:tcPr>
            <w:tcW w:w="1649" w:type="dxa"/>
            <w:vAlign w:val="center"/>
          </w:tcPr>
          <w:p w:rsidR="00AD3209" w:rsidRDefault="007007E4">
            <w:pPr>
              <w:widowControl w:val="0"/>
              <w:spacing w:after="0" w:line="264" w:lineRule="auto"/>
              <w:ind w:right="-20"/>
              <w:jc w:val="center"/>
              <w:rPr>
                <w:sz w:val="20"/>
                <w:szCs w:val="20"/>
              </w:rPr>
            </w:pPr>
            <w:r>
              <w:rPr>
                <w:sz w:val="20"/>
                <w:szCs w:val="20"/>
              </w:rPr>
              <w:t>Planning and Infrastructure Loans/Grants</w:t>
            </w:r>
          </w:p>
        </w:tc>
        <w:tc>
          <w:tcPr>
            <w:tcW w:w="1647" w:type="dxa"/>
            <w:vAlign w:val="center"/>
          </w:tcPr>
          <w:p w:rsidR="00AD3209" w:rsidRDefault="007007E4">
            <w:pPr>
              <w:widowControl w:val="0"/>
              <w:spacing w:after="0" w:line="264" w:lineRule="auto"/>
              <w:ind w:right="-20"/>
              <w:jc w:val="center"/>
              <w:rPr>
                <w:sz w:val="20"/>
                <w:szCs w:val="20"/>
              </w:rPr>
            </w:pPr>
            <w:r>
              <w:rPr>
                <w:sz w:val="20"/>
                <w:szCs w:val="20"/>
              </w:rPr>
              <w:t>Updated Capital Improvement Plan Each March</w:t>
            </w:r>
          </w:p>
        </w:tc>
        <w:tc>
          <w:tcPr>
            <w:tcW w:w="1646" w:type="dxa"/>
            <w:vAlign w:val="center"/>
          </w:tcPr>
          <w:p w:rsidR="00AD3209" w:rsidRDefault="007007E4">
            <w:pPr>
              <w:widowControl w:val="0"/>
              <w:spacing w:after="0" w:line="264" w:lineRule="auto"/>
              <w:ind w:right="-20"/>
              <w:jc w:val="center"/>
              <w:rPr>
                <w:sz w:val="20"/>
                <w:szCs w:val="20"/>
              </w:rPr>
            </w:pPr>
            <w:r>
              <w:rPr>
                <w:sz w:val="20"/>
                <w:szCs w:val="20"/>
              </w:rPr>
              <w:t>February, June, October</w:t>
            </w:r>
          </w:p>
        </w:tc>
        <w:tc>
          <w:tcPr>
            <w:tcW w:w="1647" w:type="dxa"/>
            <w:vAlign w:val="center"/>
          </w:tcPr>
          <w:p w:rsidR="00AD3209" w:rsidRDefault="007007E4">
            <w:pPr>
              <w:widowControl w:val="0"/>
              <w:spacing w:after="0" w:line="264" w:lineRule="auto"/>
              <w:ind w:left="102" w:right="-20"/>
              <w:jc w:val="center"/>
              <w:rPr>
                <w:sz w:val="20"/>
                <w:szCs w:val="20"/>
              </w:rPr>
            </w:pPr>
            <w:r>
              <w:rPr>
                <w:sz w:val="20"/>
                <w:szCs w:val="20"/>
              </w:rPr>
              <w:t>Ongoing</w:t>
            </w:r>
          </w:p>
        </w:tc>
        <w:tc>
          <w:tcPr>
            <w:tcW w:w="1649" w:type="dxa"/>
            <w:vAlign w:val="center"/>
          </w:tcPr>
          <w:p w:rsidR="00AD3209" w:rsidRDefault="007007E4">
            <w:pPr>
              <w:widowControl w:val="0"/>
              <w:spacing w:after="0" w:line="264" w:lineRule="auto"/>
              <w:ind w:right="-20"/>
              <w:jc w:val="center"/>
              <w:rPr>
                <w:sz w:val="20"/>
                <w:szCs w:val="20"/>
              </w:rPr>
            </w:pPr>
            <w:r>
              <w:rPr>
                <w:sz w:val="20"/>
                <w:szCs w:val="20"/>
              </w:rPr>
              <w:t>N/A</w:t>
            </w:r>
          </w:p>
        </w:tc>
        <w:tc>
          <w:tcPr>
            <w:tcW w:w="1675" w:type="dxa"/>
            <w:vAlign w:val="center"/>
          </w:tcPr>
          <w:p w:rsidR="00AD3209" w:rsidRDefault="007007E4">
            <w:pPr>
              <w:widowControl w:val="0"/>
              <w:spacing w:after="0" w:line="264" w:lineRule="auto"/>
              <w:ind w:right="-20"/>
              <w:jc w:val="center"/>
              <w:rPr>
                <w:sz w:val="20"/>
                <w:szCs w:val="20"/>
              </w:rPr>
            </w:pPr>
            <w:r>
              <w:rPr>
                <w:sz w:val="20"/>
                <w:szCs w:val="20"/>
              </w:rPr>
              <w:t>Competitive</w:t>
            </w:r>
          </w:p>
        </w:tc>
        <w:tc>
          <w:tcPr>
            <w:tcW w:w="2044" w:type="dxa"/>
            <w:vAlign w:val="center"/>
          </w:tcPr>
          <w:p w:rsidR="00AD3209" w:rsidRDefault="007007E4">
            <w:pPr>
              <w:widowControl w:val="0"/>
              <w:spacing w:after="0" w:line="240" w:lineRule="auto"/>
              <w:ind w:right="-20"/>
              <w:jc w:val="center"/>
              <w:rPr>
                <w:sz w:val="20"/>
                <w:szCs w:val="20"/>
              </w:rPr>
            </w:pPr>
            <w:r>
              <w:rPr>
                <w:sz w:val="20"/>
                <w:szCs w:val="20"/>
              </w:rPr>
              <w:t>Christy Dahlberg</w:t>
            </w:r>
          </w:p>
          <w:p w:rsidR="00AD3209" w:rsidRDefault="007007E4">
            <w:pPr>
              <w:widowControl w:val="0"/>
              <w:spacing w:after="0" w:line="240" w:lineRule="auto"/>
              <w:ind w:right="-20"/>
              <w:jc w:val="center"/>
              <w:rPr>
                <w:sz w:val="20"/>
                <w:szCs w:val="20"/>
              </w:rPr>
            </w:pPr>
            <w:r>
              <w:rPr>
                <w:sz w:val="20"/>
                <w:szCs w:val="20"/>
              </w:rPr>
              <w:t>christy@wfrc.org</w:t>
            </w:r>
          </w:p>
        </w:tc>
      </w:tr>
      <w:tr w:rsidR="00AD3209">
        <w:trPr>
          <w:trHeight w:val="960"/>
        </w:trPr>
        <w:tc>
          <w:tcPr>
            <w:tcW w:w="1647" w:type="dxa"/>
            <w:vAlign w:val="center"/>
          </w:tcPr>
          <w:p w:rsidR="00AD3209" w:rsidRDefault="007007E4">
            <w:pPr>
              <w:widowControl w:val="0"/>
              <w:spacing w:after="0" w:line="264" w:lineRule="auto"/>
              <w:ind w:right="-20"/>
              <w:jc w:val="center"/>
              <w:rPr>
                <w:sz w:val="20"/>
                <w:szCs w:val="20"/>
              </w:rPr>
            </w:pPr>
            <w:r>
              <w:rPr>
                <w:sz w:val="20"/>
                <w:szCs w:val="20"/>
              </w:rPr>
              <w:t>Economic Development Administration</w:t>
            </w:r>
          </w:p>
        </w:tc>
        <w:tc>
          <w:tcPr>
            <w:tcW w:w="1649" w:type="dxa"/>
            <w:vAlign w:val="center"/>
          </w:tcPr>
          <w:p w:rsidR="00AD3209" w:rsidRDefault="007007E4">
            <w:pPr>
              <w:widowControl w:val="0"/>
              <w:spacing w:after="0" w:line="264" w:lineRule="auto"/>
              <w:ind w:right="-20"/>
              <w:jc w:val="center"/>
              <w:rPr>
                <w:sz w:val="20"/>
                <w:szCs w:val="20"/>
              </w:rPr>
            </w:pPr>
            <w:r>
              <w:rPr>
                <w:sz w:val="20"/>
                <w:szCs w:val="20"/>
              </w:rPr>
              <w:t>Economic Development and Marketing Strategies</w:t>
            </w:r>
          </w:p>
        </w:tc>
        <w:tc>
          <w:tcPr>
            <w:tcW w:w="1647" w:type="dxa"/>
            <w:vAlign w:val="center"/>
          </w:tcPr>
          <w:p w:rsidR="00AD3209" w:rsidRDefault="007007E4">
            <w:pPr>
              <w:widowControl w:val="0"/>
              <w:spacing w:after="0" w:line="264" w:lineRule="auto"/>
              <w:ind w:right="-20"/>
              <w:jc w:val="center"/>
              <w:rPr>
                <w:sz w:val="20"/>
                <w:szCs w:val="20"/>
              </w:rPr>
            </w:pPr>
            <w:r>
              <w:rPr>
                <w:sz w:val="20"/>
                <w:szCs w:val="20"/>
              </w:rPr>
              <w:t>N/A</w:t>
            </w:r>
          </w:p>
        </w:tc>
        <w:tc>
          <w:tcPr>
            <w:tcW w:w="1646" w:type="dxa"/>
            <w:vAlign w:val="center"/>
          </w:tcPr>
          <w:p w:rsidR="00AD3209" w:rsidRDefault="007007E4">
            <w:pPr>
              <w:widowControl w:val="0"/>
              <w:spacing w:after="0" w:line="264" w:lineRule="auto"/>
              <w:ind w:right="-20"/>
              <w:jc w:val="center"/>
              <w:rPr>
                <w:sz w:val="20"/>
                <w:szCs w:val="20"/>
              </w:rPr>
            </w:pPr>
            <w:r>
              <w:rPr>
                <w:sz w:val="20"/>
                <w:szCs w:val="20"/>
              </w:rPr>
              <w:t>Ongoing</w:t>
            </w:r>
          </w:p>
        </w:tc>
        <w:tc>
          <w:tcPr>
            <w:tcW w:w="1647" w:type="dxa"/>
            <w:vAlign w:val="center"/>
          </w:tcPr>
          <w:p w:rsidR="00AD3209" w:rsidRDefault="007007E4">
            <w:pPr>
              <w:widowControl w:val="0"/>
              <w:spacing w:after="0" w:line="264" w:lineRule="auto"/>
              <w:ind w:left="102" w:right="-20"/>
              <w:jc w:val="center"/>
              <w:rPr>
                <w:sz w:val="20"/>
                <w:szCs w:val="20"/>
              </w:rPr>
            </w:pPr>
            <w:r>
              <w:rPr>
                <w:sz w:val="20"/>
                <w:szCs w:val="20"/>
              </w:rPr>
              <w:t>Ongoing</w:t>
            </w:r>
          </w:p>
        </w:tc>
        <w:tc>
          <w:tcPr>
            <w:tcW w:w="1649" w:type="dxa"/>
            <w:vAlign w:val="center"/>
          </w:tcPr>
          <w:p w:rsidR="00AD3209" w:rsidRDefault="007007E4">
            <w:pPr>
              <w:widowControl w:val="0"/>
              <w:spacing w:after="0" w:line="264" w:lineRule="auto"/>
              <w:ind w:right="-20"/>
              <w:jc w:val="center"/>
              <w:rPr>
                <w:sz w:val="20"/>
                <w:szCs w:val="20"/>
              </w:rPr>
            </w:pPr>
            <w:r>
              <w:rPr>
                <w:sz w:val="20"/>
                <w:szCs w:val="20"/>
              </w:rPr>
              <w:t>$100,000+</w:t>
            </w:r>
          </w:p>
        </w:tc>
        <w:tc>
          <w:tcPr>
            <w:tcW w:w="1675" w:type="dxa"/>
            <w:vAlign w:val="center"/>
          </w:tcPr>
          <w:p w:rsidR="00AD3209" w:rsidRDefault="007007E4">
            <w:pPr>
              <w:widowControl w:val="0"/>
              <w:spacing w:after="0" w:line="264" w:lineRule="auto"/>
              <w:ind w:right="-20"/>
              <w:jc w:val="center"/>
              <w:rPr>
                <w:sz w:val="20"/>
                <w:szCs w:val="20"/>
              </w:rPr>
            </w:pPr>
            <w:r>
              <w:rPr>
                <w:sz w:val="20"/>
                <w:szCs w:val="20"/>
              </w:rPr>
              <w:t>Competitive</w:t>
            </w:r>
          </w:p>
        </w:tc>
        <w:tc>
          <w:tcPr>
            <w:tcW w:w="2044" w:type="dxa"/>
            <w:vAlign w:val="center"/>
          </w:tcPr>
          <w:p w:rsidR="00AD3209" w:rsidRDefault="007007E4">
            <w:pPr>
              <w:widowControl w:val="0"/>
              <w:spacing w:after="0" w:line="240" w:lineRule="auto"/>
              <w:ind w:right="-20"/>
              <w:jc w:val="center"/>
              <w:rPr>
                <w:sz w:val="20"/>
                <w:szCs w:val="20"/>
              </w:rPr>
            </w:pPr>
            <w:r>
              <w:rPr>
                <w:sz w:val="20"/>
                <w:szCs w:val="20"/>
              </w:rPr>
              <w:t>Marcia White</w:t>
            </w:r>
          </w:p>
          <w:p w:rsidR="00AD3209" w:rsidRDefault="007007E4">
            <w:pPr>
              <w:widowControl w:val="0"/>
              <w:spacing w:after="0" w:line="240" w:lineRule="auto"/>
              <w:ind w:right="-20"/>
              <w:jc w:val="center"/>
              <w:rPr>
                <w:sz w:val="20"/>
                <w:szCs w:val="20"/>
              </w:rPr>
            </w:pPr>
            <w:r>
              <w:rPr>
                <w:sz w:val="20"/>
                <w:szCs w:val="20"/>
              </w:rPr>
              <w:t>mwhite@wfrc.org</w:t>
            </w:r>
          </w:p>
        </w:tc>
      </w:tr>
    </w:tbl>
    <w:p w:rsidR="00AD3209" w:rsidRDefault="007007E4">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g">
            <w:drawing>
              <wp:anchor distT="0" distB="0" distL="114300" distR="114300" simplePos="0" relativeHeight="251658240" behindDoc="1" locked="0" layoutInCell="1" hidden="0" allowOverlap="1">
                <wp:simplePos x="0" y="0"/>
                <wp:positionH relativeFrom="page">
                  <wp:posOffset>0</wp:posOffset>
                </wp:positionH>
                <wp:positionV relativeFrom="page">
                  <wp:posOffset>7396163</wp:posOffset>
                </wp:positionV>
                <wp:extent cx="10048875" cy="352425"/>
                <wp:effectExtent l="0" t="0" r="0" b="0"/>
                <wp:wrapNone/>
                <wp:docPr id="4" name="Group 4"/>
                <wp:cNvGraphicFramePr/>
                <a:graphic xmlns:a="http://schemas.openxmlformats.org/drawingml/2006/main">
                  <a:graphicData uri="http://schemas.microsoft.com/office/word/2010/wordprocessingGroup">
                    <wpg:wgp>
                      <wpg:cNvGrpSpPr/>
                      <wpg:grpSpPr>
                        <a:xfrm>
                          <a:off x="0" y="0"/>
                          <a:ext cx="10048875" cy="352425"/>
                          <a:chOff x="319340" y="3528541"/>
                          <a:chExt cx="10053300" cy="502900"/>
                        </a:xfrm>
                      </wpg:grpSpPr>
                      <wpg:grpSp>
                        <wpg:cNvPr id="7" name="Group 7"/>
                        <wpg:cNvGrpSpPr/>
                        <wpg:grpSpPr>
                          <a:xfrm>
                            <a:off x="319340" y="3528541"/>
                            <a:ext cx="10053300" cy="502900"/>
                            <a:chOff x="0" y="0"/>
                            <a:chExt cx="10053300" cy="502900"/>
                          </a:xfrm>
                        </wpg:grpSpPr>
                        <wps:wsp>
                          <wps:cNvPr id="9" name="Rectangle 9"/>
                          <wps:cNvSpPr/>
                          <wps:spPr>
                            <a:xfrm>
                              <a:off x="0" y="0"/>
                              <a:ext cx="10053300" cy="502900"/>
                            </a:xfrm>
                            <a:prstGeom prst="rect">
                              <a:avLst/>
                            </a:prstGeom>
                            <a:noFill/>
                            <a:ln>
                              <a:noFill/>
                            </a:ln>
                          </wps:spPr>
                          <wps:txbx>
                            <w:txbxContent>
                              <w:p w:rsidR="00AD3209" w:rsidRDefault="00AD3209">
                                <w:pPr>
                                  <w:spacing w:after="0" w:line="240" w:lineRule="auto"/>
                                  <w:textDirection w:val="btLr"/>
                                </w:pPr>
                              </w:p>
                            </w:txbxContent>
                          </wps:txbx>
                          <wps:bodyPr spcFirstLastPara="1" wrap="square" lIns="91425" tIns="91425" rIns="91425" bIns="91425" anchor="ctr" anchorCtr="0">
                            <a:noAutofit/>
                          </wps:bodyPr>
                        </wps:wsp>
                        <wps:wsp>
                          <wps:cNvPr id="11" name="Rectangle 11"/>
                          <wps:cNvSpPr/>
                          <wps:spPr>
                            <a:xfrm>
                              <a:off x="635" y="12699"/>
                              <a:ext cx="10039985" cy="476884"/>
                            </a:xfrm>
                            <a:prstGeom prst="rect">
                              <a:avLst/>
                            </a:prstGeom>
                            <a:solidFill>
                              <a:srgbClr val="003A5C"/>
                            </a:solidFill>
                            <a:ln>
                              <a:noFill/>
                            </a:ln>
                          </wps:spPr>
                          <wps:txbx>
                            <w:txbxContent>
                              <w:p w:rsidR="00AD3209" w:rsidRDefault="00AD3209">
                                <w:pPr>
                                  <w:spacing w:after="0" w:line="240" w:lineRule="auto"/>
                                  <w:textDirection w:val="btLr"/>
                                </w:pPr>
                              </w:p>
                            </w:txbxContent>
                          </wps:txbx>
                          <wps:bodyPr spcFirstLastPara="1" wrap="square" lIns="91425" tIns="91425" rIns="91425" bIns="91425" anchor="ctr" anchorCtr="0">
                            <a:noAutofit/>
                          </wps:bodyPr>
                        </wps:wsp>
                        <wps:wsp>
                          <wps:cNvPr id="12" name="Rectangle 12"/>
                          <wps:cNvSpPr/>
                          <wps:spPr>
                            <a:xfrm>
                              <a:off x="635" y="12699"/>
                              <a:ext cx="10039985" cy="476884"/>
                            </a:xfrm>
                            <a:prstGeom prst="rect">
                              <a:avLst/>
                            </a:prstGeom>
                            <a:noFill/>
                            <a:ln w="25900" cap="flat" cmpd="sng">
                              <a:solidFill>
                                <a:srgbClr val="385D89"/>
                              </a:solidFill>
                              <a:prstDash val="solid"/>
                              <a:round/>
                              <a:headEnd type="none" w="sm" len="sm"/>
                              <a:tailEnd type="none" w="sm" len="sm"/>
                            </a:ln>
                          </wps:spPr>
                          <wps:txbx>
                            <w:txbxContent>
                              <w:p w:rsidR="00AD3209" w:rsidRDefault="00AD3209">
                                <w:pPr>
                                  <w:spacing w:after="0"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114300" distR="114300" hidden="0" layoutInCell="1" locked="0" relativeHeight="0" simplePos="0">
                <wp:simplePos x="0" y="0"/>
                <wp:positionH relativeFrom="page">
                  <wp:posOffset>0</wp:posOffset>
                </wp:positionH>
                <wp:positionV relativeFrom="page">
                  <wp:posOffset>7396163</wp:posOffset>
                </wp:positionV>
                <wp:extent cx="10048875" cy="352425"/>
                <wp:effectExtent b="0" l="0" r="0" t="0"/>
                <wp:wrapNone/>
                <wp:docPr id="4" name="image9.png"/>
                <a:graphic>
                  <a:graphicData uri="http://schemas.openxmlformats.org/drawingml/2006/picture">
                    <pic:pic>
                      <pic:nvPicPr>
                        <pic:cNvPr id="0" name="image9.png"/>
                        <pic:cNvPicPr preferRelativeResize="0"/>
                      </pic:nvPicPr>
                      <pic:blipFill>
                        <a:blip r:embed="rId34"/>
                        <a:srcRect/>
                        <a:stretch>
                          <a:fillRect/>
                        </a:stretch>
                      </pic:blipFill>
                      <pic:spPr>
                        <a:xfrm>
                          <a:off x="0" y="0"/>
                          <a:ext cx="10048875" cy="352425"/>
                        </a:xfrm>
                        <a:prstGeom prst="rect"/>
                        <a:ln/>
                      </pic:spPr>
                    </pic:pic>
                  </a:graphicData>
                </a:graphic>
              </wp:anchor>
            </w:drawing>
          </mc:Fallback>
        </mc:AlternateContent>
      </w:r>
    </w:p>
    <w:p w:rsidR="00AD3209" w:rsidRDefault="007007E4">
      <w:pPr>
        <w:widowControl w:val="0"/>
        <w:spacing w:before="11" w:after="0" w:line="240" w:lineRule="auto"/>
        <w:ind w:left="782" w:right="5104"/>
        <w:jc w:val="both"/>
        <w:rPr>
          <w:color w:val="000000"/>
          <w:sz w:val="40"/>
          <w:szCs w:val="40"/>
        </w:rPr>
      </w:pPr>
      <w:r>
        <w:rPr>
          <w:noProof/>
        </w:rPr>
        <w:lastRenderedPageBreak/>
        <w:drawing>
          <wp:anchor distT="0" distB="0" distL="114300" distR="114300" simplePos="0" relativeHeight="251659264" behindDoc="1" locked="0" layoutInCell="1" hidden="0" allowOverlap="1">
            <wp:simplePos x="0" y="0"/>
            <wp:positionH relativeFrom="page">
              <wp:posOffset>5287010</wp:posOffset>
            </wp:positionH>
            <wp:positionV relativeFrom="page">
              <wp:posOffset>29210</wp:posOffset>
            </wp:positionV>
            <wp:extent cx="1828800" cy="1828800"/>
            <wp:effectExtent l="0" t="0" r="0" b="0"/>
            <wp:wrapNone/>
            <wp:docPr id="1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5"/>
                    <a:srcRect/>
                    <a:stretch>
                      <a:fillRect/>
                    </a:stretch>
                  </pic:blipFill>
                  <pic:spPr>
                    <a:xfrm>
                      <a:off x="0" y="0"/>
                      <a:ext cx="1828800" cy="1828800"/>
                    </a:xfrm>
                    <a:prstGeom prst="rect">
                      <a:avLst/>
                    </a:prstGeom>
                    <a:ln/>
                  </pic:spPr>
                </pic:pic>
              </a:graphicData>
            </a:graphic>
          </wp:anchor>
        </w:drawing>
      </w:r>
      <w:r>
        <w:rPr>
          <w:b/>
          <w:color w:val="365F91"/>
          <w:sz w:val="40"/>
          <w:szCs w:val="40"/>
        </w:rPr>
        <w:t>Surface Transportation Program (STP)</w:t>
      </w:r>
    </w:p>
    <w:p w:rsidR="00AD3209" w:rsidRDefault="00AD3209">
      <w:pPr>
        <w:widowControl w:val="0"/>
        <w:spacing w:before="12" w:after="0" w:line="240" w:lineRule="auto"/>
        <w:rPr>
          <w:color w:val="000000"/>
        </w:rPr>
      </w:pPr>
    </w:p>
    <w:p w:rsidR="00AD3209" w:rsidRDefault="007007E4">
      <w:pPr>
        <w:widowControl w:val="0"/>
        <w:spacing w:after="0" w:line="240" w:lineRule="auto"/>
        <w:ind w:left="720" w:right="9585"/>
        <w:jc w:val="both"/>
        <w:rPr>
          <w:color w:val="000000"/>
        </w:rPr>
      </w:pPr>
      <w:r>
        <w:rPr>
          <w:b/>
          <w:color w:val="000000"/>
          <w:u w:val="single"/>
        </w:rPr>
        <w:t>Program Description</w:t>
      </w:r>
    </w:p>
    <w:p w:rsidR="00AD3209" w:rsidRDefault="007007E4">
      <w:pPr>
        <w:pBdr>
          <w:top w:val="nil"/>
          <w:left w:val="nil"/>
          <w:bottom w:val="nil"/>
          <w:right w:val="nil"/>
          <w:between w:val="nil"/>
        </w:pBdr>
        <w:spacing w:after="0" w:line="240" w:lineRule="auto"/>
        <w:ind w:left="720" w:right="653"/>
        <w:jc w:val="both"/>
        <w:rPr>
          <w:color w:val="000000"/>
        </w:rPr>
      </w:pPr>
      <w:r>
        <w:rPr>
          <w:color w:val="000000"/>
        </w:rPr>
        <w:t>Provides funding that may be used for projects on Federal-aid eligible highways, transit capital improvements, and active transportation projects.</w:t>
      </w:r>
    </w:p>
    <w:p w:rsidR="00AD3209" w:rsidRDefault="00AD3209">
      <w:pPr>
        <w:widowControl w:val="0"/>
        <w:spacing w:after="0" w:line="240" w:lineRule="auto"/>
        <w:rPr>
          <w:color w:val="000000"/>
        </w:rPr>
      </w:pPr>
    </w:p>
    <w:p w:rsidR="00AD3209" w:rsidRDefault="007007E4">
      <w:pPr>
        <w:widowControl w:val="0"/>
        <w:spacing w:after="0" w:line="240" w:lineRule="auto"/>
        <w:ind w:left="720" w:right="9799"/>
        <w:jc w:val="both"/>
        <w:rPr>
          <w:color w:val="000000"/>
        </w:rPr>
      </w:pPr>
      <w:r>
        <w:rPr>
          <w:b/>
          <w:color w:val="000000"/>
          <w:u w:val="single"/>
        </w:rPr>
        <w:t>Program Eligibility</w:t>
      </w:r>
    </w:p>
    <w:p w:rsidR="00AD3209" w:rsidRDefault="007007E4">
      <w:pPr>
        <w:widowControl w:val="0"/>
        <w:spacing w:before="41" w:after="0" w:line="240" w:lineRule="auto"/>
        <w:ind w:left="720" w:right="659"/>
        <w:jc w:val="both"/>
        <w:rPr>
          <w:color w:val="000000"/>
        </w:rPr>
      </w:pPr>
      <w:r>
        <w:rPr>
          <w:color w:val="000000"/>
        </w:rPr>
        <w:t>An eligible project sponsor must be a local government in the Ogden/</w:t>
      </w:r>
      <w:r>
        <w:rPr>
          <w:color w:val="000000"/>
        </w:rPr>
        <w:t xml:space="preserve"> Layton Urbanized or Salt Lake/ West Valley Urbanized Area, the department of transportation, or the transit authority, or submit a letter in cooperation with one of these entities.</w:t>
      </w:r>
    </w:p>
    <w:p w:rsidR="00AD3209" w:rsidRDefault="00AD3209">
      <w:pPr>
        <w:widowControl w:val="0"/>
        <w:spacing w:after="0" w:line="240" w:lineRule="auto"/>
        <w:rPr>
          <w:color w:val="000000"/>
        </w:rPr>
      </w:pPr>
    </w:p>
    <w:p w:rsidR="00AD3209" w:rsidRDefault="007007E4">
      <w:pPr>
        <w:widowControl w:val="0"/>
        <w:spacing w:after="0" w:line="240" w:lineRule="auto"/>
        <w:ind w:left="720" w:right="9919"/>
        <w:jc w:val="both"/>
        <w:rPr>
          <w:color w:val="000000"/>
        </w:rPr>
      </w:pPr>
      <w:r>
        <w:rPr>
          <w:b/>
          <w:color w:val="000000"/>
          <w:u w:val="single"/>
        </w:rPr>
        <w:t>Eligible Activities</w:t>
      </w:r>
    </w:p>
    <w:p w:rsidR="00AD3209" w:rsidRDefault="007007E4">
      <w:pPr>
        <w:widowControl w:val="0"/>
        <w:spacing w:before="39" w:after="0" w:line="240" w:lineRule="auto"/>
        <w:ind w:left="720" w:right="656"/>
        <w:jc w:val="both"/>
        <w:rPr>
          <w:color w:val="000000"/>
        </w:rPr>
      </w:pPr>
      <w:r>
        <w:rPr>
          <w:color w:val="000000"/>
        </w:rPr>
        <w:t xml:space="preserve">STP funds may be used for constructing new streets or widening, improving, or reconstructing existing streets classified as Federal Aid Eligible (FAE) freeways, highways, arterials or collectors (click </w:t>
      </w:r>
      <w:hyperlink r:id="rId36">
        <w:r>
          <w:rPr>
            <w:color w:val="0000FF"/>
            <w:u w:val="single"/>
          </w:rPr>
          <w:t>here</w:t>
        </w:r>
      </w:hyperlink>
      <w:hyperlink r:id="rId37">
        <w:r>
          <w:rPr>
            <w:color w:val="0000FF"/>
          </w:rPr>
          <w:t xml:space="preserve"> </w:t>
        </w:r>
      </w:hyperlink>
      <w:r>
        <w:rPr>
          <w:color w:val="000000"/>
        </w:rPr>
        <w:t>for the</w:t>
      </w:r>
      <w:r>
        <w:rPr>
          <w:color w:val="000000"/>
        </w:rPr>
        <w:t xml:space="preserve"> latest version of the FAE facilities map in your Urban Area). In addition, STP funds can be used for bridge replacement, intersection improvements, projects which reduce traffic demand, such as transit capital improvements and active transportation, and o</w:t>
      </w:r>
      <w:r>
        <w:rPr>
          <w:color w:val="000000"/>
        </w:rPr>
        <w:t>ther projects as provided for in federal legislation. Major highway and transit capacity improvements must be identified in the first phase of the 2019-2050 RTP.</w:t>
      </w:r>
    </w:p>
    <w:p w:rsidR="00AD3209" w:rsidRDefault="00AD3209">
      <w:pPr>
        <w:widowControl w:val="0"/>
        <w:spacing w:after="0" w:line="240" w:lineRule="auto"/>
        <w:rPr>
          <w:color w:val="000000"/>
        </w:rPr>
      </w:pPr>
    </w:p>
    <w:p w:rsidR="00AD3209" w:rsidRDefault="007007E4">
      <w:pPr>
        <w:widowControl w:val="0"/>
        <w:spacing w:after="0" w:line="240" w:lineRule="auto"/>
        <w:ind w:left="720" w:right="10736"/>
        <w:jc w:val="both"/>
        <w:rPr>
          <w:color w:val="000000"/>
        </w:rPr>
      </w:pPr>
      <w:r>
        <w:rPr>
          <w:b/>
          <w:color w:val="000000"/>
          <w:u w:val="single"/>
        </w:rPr>
        <w:t>Funding</w:t>
      </w:r>
    </w:p>
    <w:p w:rsidR="00AD3209" w:rsidRDefault="007007E4">
      <w:pPr>
        <w:widowControl w:val="0"/>
        <w:spacing w:before="41" w:after="0" w:line="240" w:lineRule="auto"/>
        <w:ind w:left="720" w:right="655"/>
        <w:jc w:val="both"/>
        <w:rPr>
          <w:color w:val="000000"/>
        </w:rPr>
      </w:pPr>
      <w:r>
        <w:rPr>
          <w:color w:val="000000"/>
        </w:rPr>
        <w:t>By population formula, the federal government currently apportions approximately $10,000,000 - $1</w:t>
      </w:r>
      <w:r>
        <w:t>2</w:t>
      </w:r>
      <w:r>
        <w:rPr>
          <w:color w:val="000000"/>
        </w:rPr>
        <w:t>,000,000 in Urban STP funds each year to the Ogden/ Layton Urbanized Area, and approximately $</w:t>
      </w:r>
      <w:r>
        <w:t>20</w:t>
      </w:r>
      <w:r>
        <w:rPr>
          <w:color w:val="000000"/>
        </w:rPr>
        <w:t>,000,000 - $2</w:t>
      </w:r>
      <w:r>
        <w:t>2</w:t>
      </w:r>
      <w:r>
        <w:rPr>
          <w:color w:val="000000"/>
        </w:rPr>
        <w:t>,000,000 in the Salt Lake/ West Valley Urbanized</w:t>
      </w:r>
      <w:r>
        <w:rPr>
          <w:color w:val="000000"/>
        </w:rPr>
        <w:t xml:space="preserve"> Area. Funds are programmed over a six-year period and applicants currently will be competing for funds available in the federal fiscal year 202</w:t>
      </w:r>
      <w:r>
        <w:t>9</w:t>
      </w:r>
      <w:r>
        <w:rPr>
          <w:color w:val="000000"/>
        </w:rPr>
        <w:t>.</w:t>
      </w:r>
    </w:p>
    <w:p w:rsidR="00AD3209" w:rsidRDefault="00AD3209">
      <w:pPr>
        <w:widowControl w:val="0"/>
        <w:spacing w:after="0" w:line="240" w:lineRule="auto"/>
        <w:rPr>
          <w:color w:val="000000"/>
        </w:rPr>
      </w:pPr>
    </w:p>
    <w:p w:rsidR="00AD3209" w:rsidRDefault="007007E4">
      <w:pPr>
        <w:widowControl w:val="0"/>
        <w:spacing w:after="0" w:line="240" w:lineRule="auto"/>
        <w:ind w:left="720" w:right="9986"/>
        <w:jc w:val="both"/>
        <w:rPr>
          <w:color w:val="000000"/>
        </w:rPr>
      </w:pPr>
      <w:r>
        <w:rPr>
          <w:b/>
          <w:color w:val="000000"/>
          <w:u w:val="single"/>
        </w:rPr>
        <w:t>Letters of Intent</w:t>
      </w:r>
    </w:p>
    <w:p w:rsidR="00AD3209" w:rsidRDefault="007007E4">
      <w:pPr>
        <w:widowControl w:val="0"/>
        <w:spacing w:before="41" w:after="0" w:line="240" w:lineRule="auto"/>
        <w:ind w:left="720" w:right="654"/>
        <w:jc w:val="both"/>
        <w:rPr>
          <w:color w:val="000000"/>
        </w:rPr>
      </w:pPr>
      <w:r>
        <w:rPr>
          <w:color w:val="000000"/>
        </w:rPr>
        <w:t>In order for the WFRC staff to recommend whether a sponsor should submit an application, t</w:t>
      </w:r>
      <w:r>
        <w:rPr>
          <w:color w:val="000000"/>
        </w:rPr>
        <w:t>he “Letter of Intent” must include the project name, project limits, a brief project description, and an estimated cost. A list of all the projects appropriately submitted will be distributed to members of the Councils of Governments (COGs) and then review</w:t>
      </w:r>
      <w:r>
        <w:rPr>
          <w:color w:val="000000"/>
        </w:rPr>
        <w:t xml:space="preserve">ed by WFRC to determine program eligibility. </w:t>
      </w:r>
      <w:r>
        <w:rPr>
          <w:b/>
          <w:color w:val="000000"/>
        </w:rPr>
        <w:t xml:space="preserve">Letters of Intent are due September </w:t>
      </w:r>
      <w:r>
        <w:rPr>
          <w:b/>
        </w:rPr>
        <w:t>29</w:t>
      </w:r>
      <w:r>
        <w:rPr>
          <w:b/>
          <w:color w:val="000000"/>
        </w:rPr>
        <w:t>, 202</w:t>
      </w:r>
      <w:r>
        <w:rPr>
          <w:b/>
        </w:rPr>
        <w:t>2</w:t>
      </w:r>
      <w:r>
        <w:rPr>
          <w:b/>
          <w:color w:val="000000"/>
        </w:rPr>
        <w:t xml:space="preserve"> electronically. </w:t>
      </w:r>
      <w:hyperlink r:id="rId38">
        <w:r>
          <w:rPr>
            <w:b/>
            <w:color w:val="1155CC"/>
            <w:u w:val="single"/>
          </w:rPr>
          <w:t>Form available here</w:t>
        </w:r>
        <w:r>
          <w:rPr>
            <w:b/>
            <w:color w:val="1155CC"/>
            <w:u w:val="single"/>
          </w:rPr>
          <w:t>.</w:t>
        </w:r>
      </w:hyperlink>
      <w:r>
        <w:rPr>
          <w:b/>
          <w:color w:val="000000"/>
        </w:rPr>
        <w:t xml:space="preserve"> </w:t>
      </w:r>
      <w:r>
        <w:rPr>
          <w:color w:val="000000"/>
        </w:rPr>
        <w:t>This letter should be signed by the Mayor, Commissioner, or executive director of the sponsoring agency.</w:t>
      </w:r>
    </w:p>
    <w:p w:rsidR="00AD3209" w:rsidRDefault="00AD3209">
      <w:pPr>
        <w:widowControl w:val="0"/>
        <w:spacing w:after="0" w:line="240" w:lineRule="auto"/>
        <w:rPr>
          <w:color w:val="000000"/>
        </w:rPr>
      </w:pPr>
    </w:p>
    <w:p w:rsidR="00AD3209" w:rsidRDefault="007007E4">
      <w:pPr>
        <w:widowControl w:val="0"/>
        <w:spacing w:after="0" w:line="240" w:lineRule="auto"/>
        <w:ind w:left="720" w:right="10333"/>
        <w:jc w:val="both"/>
        <w:rPr>
          <w:color w:val="000000"/>
        </w:rPr>
      </w:pPr>
      <w:r>
        <w:rPr>
          <w:b/>
          <w:color w:val="000000"/>
          <w:u w:val="single"/>
        </w:rPr>
        <w:t>Applications</w:t>
      </w:r>
    </w:p>
    <w:p w:rsidR="00AD3209" w:rsidRDefault="007007E4">
      <w:pPr>
        <w:widowControl w:val="0"/>
        <w:spacing w:before="39" w:after="0" w:line="240" w:lineRule="auto"/>
        <w:ind w:left="720" w:right="658"/>
        <w:jc w:val="both"/>
        <w:rPr>
          <w:color w:val="000000"/>
        </w:rPr>
      </w:pPr>
      <w:r>
        <w:rPr>
          <w:color w:val="000000"/>
        </w:rPr>
        <w:t xml:space="preserve">Sponsors of eligible projects will be notified and required to submit a new and/or updated “Project Evaluation Concept Report” and “Cost Estimation Form” for each project by </w:t>
      </w:r>
      <w:r>
        <w:rPr>
          <w:b/>
          <w:color w:val="000000"/>
        </w:rPr>
        <w:t xml:space="preserve">December </w:t>
      </w:r>
      <w:r>
        <w:rPr>
          <w:b/>
        </w:rPr>
        <w:t>8</w:t>
      </w:r>
      <w:r>
        <w:rPr>
          <w:b/>
          <w:color w:val="000000"/>
        </w:rPr>
        <w:t>, 202</w:t>
      </w:r>
      <w:r>
        <w:rPr>
          <w:b/>
        </w:rPr>
        <w:t>2</w:t>
      </w:r>
      <w:r>
        <w:rPr>
          <w:color w:val="000000"/>
        </w:rPr>
        <w:t>. These reports will be reviewed for completeness. The projects wi</w:t>
      </w:r>
      <w:r>
        <w:rPr>
          <w:color w:val="000000"/>
        </w:rPr>
        <w:t xml:space="preserve">ll be evaluated and scored by the WFRC staff according to the approved criteria prior to presenting information to the Technical Advisory Committees for review and recommendation. The projects and the recommendations will then be presented to the COGs for </w:t>
      </w:r>
      <w:r>
        <w:rPr>
          <w:color w:val="000000"/>
        </w:rPr>
        <w:t>discussion and review, as well as to Trans Com for recommendation to the Regional Council.</w:t>
      </w:r>
    </w:p>
    <w:p w:rsidR="00AD3209" w:rsidRDefault="00AD3209">
      <w:pPr>
        <w:widowControl w:val="0"/>
        <w:spacing w:after="0" w:line="240" w:lineRule="auto"/>
        <w:rPr>
          <w:color w:val="000000"/>
        </w:rPr>
      </w:pPr>
    </w:p>
    <w:p w:rsidR="00AD3209" w:rsidRDefault="007007E4">
      <w:pPr>
        <w:widowControl w:val="0"/>
        <w:spacing w:after="0" w:line="240" w:lineRule="auto"/>
        <w:ind w:left="720" w:right="4630"/>
        <w:jc w:val="both"/>
        <w:rPr>
          <w:color w:val="000000"/>
        </w:rPr>
        <w:sectPr w:rsidR="00AD3209">
          <w:headerReference w:type="default" r:id="rId39"/>
          <w:footerReference w:type="default" r:id="rId40"/>
          <w:pgSz w:w="15840" w:h="12240" w:orient="landscape"/>
          <w:pgMar w:top="1120" w:right="960" w:bottom="280" w:left="1040" w:header="0" w:footer="0" w:gutter="0"/>
          <w:cols w:space="720"/>
        </w:sectPr>
      </w:pPr>
      <w:bookmarkStart w:id="1" w:name="_gjdgxs" w:colFirst="0" w:colLast="0"/>
      <w:bookmarkEnd w:id="1"/>
      <w:r>
        <w:rPr>
          <w:b/>
          <w:color w:val="000000"/>
          <w:u w:val="single"/>
        </w:rPr>
        <w:t>Staff Contact</w:t>
      </w:r>
      <w:r>
        <w:rPr>
          <w:b/>
          <w:color w:val="000000"/>
        </w:rPr>
        <w:t xml:space="preserve">        </w:t>
      </w:r>
      <w:r>
        <w:rPr>
          <w:color w:val="000000"/>
        </w:rPr>
        <w:t xml:space="preserve">Ben Wuthrich, </w:t>
      </w:r>
      <w:r>
        <w:rPr>
          <w:color w:val="0000FF"/>
        </w:rPr>
        <w:t xml:space="preserve"> </w:t>
      </w:r>
      <w:hyperlink r:id="rId41">
        <w:r>
          <w:rPr>
            <w:color w:val="0000FF"/>
            <w:u w:val="single"/>
          </w:rPr>
          <w:t>bwuthrich@wfrc.org</w:t>
        </w:r>
      </w:hyperlink>
      <w:r>
        <w:rPr>
          <w:color w:val="000000"/>
        </w:rPr>
        <w:t>, (801) 363-4230 x1121</w:t>
      </w:r>
    </w:p>
    <w:p w:rsidR="00AD3209" w:rsidRDefault="00AD3209">
      <w:pPr>
        <w:widowControl w:val="0"/>
        <w:spacing w:after="0" w:line="200" w:lineRule="auto"/>
        <w:rPr>
          <w:color w:val="000000"/>
          <w:sz w:val="20"/>
          <w:szCs w:val="20"/>
        </w:rPr>
      </w:pPr>
    </w:p>
    <w:p w:rsidR="00AD3209" w:rsidRDefault="00AD3209">
      <w:pPr>
        <w:widowControl w:val="0"/>
        <w:spacing w:after="0" w:line="200" w:lineRule="auto"/>
        <w:rPr>
          <w:color w:val="000000"/>
          <w:sz w:val="20"/>
          <w:szCs w:val="20"/>
        </w:rPr>
      </w:pPr>
    </w:p>
    <w:p w:rsidR="00AD3209" w:rsidRDefault="00AD3209">
      <w:pPr>
        <w:widowControl w:val="0"/>
        <w:spacing w:after="0" w:line="200" w:lineRule="auto"/>
        <w:rPr>
          <w:color w:val="000000"/>
          <w:sz w:val="20"/>
          <w:szCs w:val="20"/>
        </w:rPr>
      </w:pPr>
    </w:p>
    <w:p w:rsidR="00AD3209" w:rsidRDefault="00AD3209">
      <w:pPr>
        <w:widowControl w:val="0"/>
        <w:spacing w:after="0" w:line="200" w:lineRule="auto"/>
        <w:rPr>
          <w:color w:val="000000"/>
          <w:sz w:val="20"/>
          <w:szCs w:val="20"/>
        </w:rPr>
      </w:pPr>
    </w:p>
    <w:p w:rsidR="00AD3209" w:rsidRDefault="00AD3209">
      <w:pPr>
        <w:widowControl w:val="0"/>
        <w:spacing w:after="0" w:line="200" w:lineRule="auto"/>
        <w:rPr>
          <w:color w:val="000000"/>
          <w:sz w:val="20"/>
          <w:szCs w:val="20"/>
        </w:rPr>
      </w:pPr>
    </w:p>
    <w:p w:rsidR="00AD3209" w:rsidRDefault="007007E4">
      <w:pPr>
        <w:widowControl w:val="0"/>
        <w:spacing w:after="0" w:line="468" w:lineRule="auto"/>
        <w:ind w:left="720" w:right="4376"/>
        <w:jc w:val="both"/>
        <w:rPr>
          <w:color w:val="000000"/>
          <w:sz w:val="40"/>
          <w:szCs w:val="40"/>
        </w:rPr>
      </w:pPr>
      <w:r>
        <w:rPr>
          <w:b/>
          <w:color w:val="365F91"/>
          <w:sz w:val="40"/>
          <w:szCs w:val="40"/>
        </w:rPr>
        <w:t>Congestion Mitig</w:t>
      </w:r>
      <w:r>
        <w:rPr>
          <w:b/>
          <w:color w:val="365F91"/>
          <w:sz w:val="40"/>
          <w:szCs w:val="40"/>
        </w:rPr>
        <w:t>ation/Air Quality (CMAQ)</w:t>
      </w:r>
      <w:r>
        <w:rPr>
          <w:noProof/>
        </w:rPr>
        <w:drawing>
          <wp:anchor distT="0" distB="0" distL="114300" distR="114300" simplePos="0" relativeHeight="251660288" behindDoc="1" locked="0" layoutInCell="1" hidden="0" allowOverlap="1">
            <wp:simplePos x="0" y="0"/>
            <wp:positionH relativeFrom="column">
              <wp:posOffset>5553710</wp:posOffset>
            </wp:positionH>
            <wp:positionV relativeFrom="paragraph">
              <wp:posOffset>-824229</wp:posOffset>
            </wp:positionV>
            <wp:extent cx="1828800" cy="1752600"/>
            <wp:effectExtent l="0" t="0" r="0" b="0"/>
            <wp:wrapNone/>
            <wp:docPr id="1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2"/>
                    <a:srcRect/>
                    <a:stretch>
                      <a:fillRect/>
                    </a:stretch>
                  </pic:blipFill>
                  <pic:spPr>
                    <a:xfrm>
                      <a:off x="0" y="0"/>
                      <a:ext cx="1828800" cy="1752600"/>
                    </a:xfrm>
                    <a:prstGeom prst="rect">
                      <a:avLst/>
                    </a:prstGeom>
                    <a:ln/>
                  </pic:spPr>
                </pic:pic>
              </a:graphicData>
            </a:graphic>
          </wp:anchor>
        </w:drawing>
      </w:r>
    </w:p>
    <w:p w:rsidR="00AD3209" w:rsidRDefault="00AD3209">
      <w:pPr>
        <w:widowControl w:val="0"/>
        <w:spacing w:after="0" w:line="200" w:lineRule="auto"/>
        <w:rPr>
          <w:color w:val="000000"/>
          <w:sz w:val="20"/>
          <w:szCs w:val="20"/>
        </w:rPr>
      </w:pPr>
    </w:p>
    <w:p w:rsidR="00AD3209" w:rsidRDefault="00AD3209">
      <w:pPr>
        <w:widowControl w:val="0"/>
        <w:spacing w:after="0" w:line="200" w:lineRule="auto"/>
        <w:rPr>
          <w:color w:val="000000"/>
          <w:sz w:val="20"/>
          <w:szCs w:val="20"/>
        </w:rPr>
      </w:pPr>
    </w:p>
    <w:p w:rsidR="00AD3209" w:rsidRDefault="007007E4">
      <w:pPr>
        <w:pBdr>
          <w:top w:val="nil"/>
          <w:left w:val="nil"/>
          <w:bottom w:val="nil"/>
          <w:right w:val="nil"/>
          <w:between w:val="nil"/>
        </w:pBdr>
        <w:spacing w:after="0" w:line="240" w:lineRule="auto"/>
        <w:ind w:left="720" w:right="720"/>
        <w:rPr>
          <w:b/>
          <w:color w:val="000000"/>
          <w:sz w:val="24"/>
          <w:szCs w:val="24"/>
          <w:u w:val="single"/>
        </w:rPr>
      </w:pPr>
      <w:r>
        <w:rPr>
          <w:b/>
          <w:color w:val="000000"/>
          <w:sz w:val="24"/>
          <w:szCs w:val="24"/>
          <w:u w:val="single"/>
        </w:rPr>
        <w:t>Program Overview</w:t>
      </w:r>
    </w:p>
    <w:p w:rsidR="00AD3209" w:rsidRDefault="007007E4">
      <w:pPr>
        <w:pBdr>
          <w:top w:val="nil"/>
          <w:left w:val="nil"/>
          <w:bottom w:val="nil"/>
          <w:right w:val="nil"/>
          <w:between w:val="nil"/>
        </w:pBdr>
        <w:spacing w:after="0" w:line="240" w:lineRule="auto"/>
        <w:ind w:left="720" w:right="720"/>
        <w:jc w:val="both"/>
        <w:rPr>
          <w:color w:val="000000"/>
        </w:rPr>
      </w:pPr>
      <w:r>
        <w:rPr>
          <w:color w:val="000000"/>
        </w:rPr>
        <w:t xml:space="preserve">CMAQ provides federal funding for transportation projects and programs that reduce congestion and improve air quality. </w:t>
      </w:r>
    </w:p>
    <w:p w:rsidR="00AD3209" w:rsidRDefault="00AD3209">
      <w:pPr>
        <w:pBdr>
          <w:top w:val="nil"/>
          <w:left w:val="nil"/>
          <w:bottom w:val="nil"/>
          <w:right w:val="nil"/>
          <w:between w:val="nil"/>
        </w:pBdr>
        <w:spacing w:after="0" w:line="120" w:lineRule="auto"/>
        <w:ind w:left="720" w:right="720"/>
        <w:rPr>
          <w:color w:val="000000"/>
        </w:rPr>
      </w:pPr>
    </w:p>
    <w:p w:rsidR="00AD3209" w:rsidRDefault="007007E4">
      <w:pPr>
        <w:pBdr>
          <w:top w:val="nil"/>
          <w:left w:val="nil"/>
          <w:bottom w:val="nil"/>
          <w:right w:val="nil"/>
          <w:between w:val="nil"/>
        </w:pBdr>
        <w:spacing w:after="0" w:line="240" w:lineRule="auto"/>
        <w:ind w:left="720" w:right="720"/>
        <w:rPr>
          <w:b/>
          <w:color w:val="000000"/>
          <w:sz w:val="24"/>
          <w:szCs w:val="24"/>
          <w:u w:val="single"/>
        </w:rPr>
      </w:pPr>
      <w:r>
        <w:rPr>
          <w:b/>
          <w:color w:val="000000"/>
          <w:sz w:val="24"/>
          <w:szCs w:val="24"/>
          <w:u w:val="single"/>
        </w:rPr>
        <w:t>Program Eligibility</w:t>
      </w:r>
    </w:p>
    <w:p w:rsidR="00AD3209" w:rsidRDefault="007007E4">
      <w:pPr>
        <w:pBdr>
          <w:top w:val="nil"/>
          <w:left w:val="nil"/>
          <w:bottom w:val="nil"/>
          <w:right w:val="nil"/>
          <w:between w:val="nil"/>
        </w:pBdr>
        <w:spacing w:after="0" w:line="240" w:lineRule="auto"/>
        <w:ind w:left="720" w:right="720"/>
        <w:jc w:val="both"/>
        <w:rPr>
          <w:color w:val="000000"/>
        </w:rPr>
      </w:pPr>
      <w:r>
        <w:rPr>
          <w:color w:val="000000"/>
        </w:rPr>
        <w:t xml:space="preserve">An eligible project sponsor must be a local government in the </w:t>
      </w:r>
      <w:hyperlink r:id="rId43">
        <w:r>
          <w:rPr>
            <w:color w:val="0000FF"/>
            <w:u w:val="single"/>
          </w:rPr>
          <w:t>Ogden/ Layton or Salt Lake/ West Valley Urbanized Area</w:t>
        </w:r>
      </w:hyperlink>
      <w:r>
        <w:rPr>
          <w:color w:val="000000"/>
        </w:rPr>
        <w:t xml:space="preserve">, the Utah Department of Transportation, or the Utah Transit Authority.  Other entities </w:t>
      </w:r>
      <w:r>
        <w:rPr>
          <w:color w:val="000000"/>
        </w:rPr>
        <w:t xml:space="preserve">can partner with eligible applicants.  </w:t>
      </w:r>
    </w:p>
    <w:p w:rsidR="00AD3209" w:rsidRDefault="00AD3209">
      <w:pPr>
        <w:pBdr>
          <w:top w:val="nil"/>
          <w:left w:val="nil"/>
          <w:bottom w:val="nil"/>
          <w:right w:val="nil"/>
          <w:between w:val="nil"/>
        </w:pBdr>
        <w:spacing w:after="0" w:line="120" w:lineRule="auto"/>
        <w:ind w:left="720" w:right="720"/>
        <w:rPr>
          <w:color w:val="000000"/>
        </w:rPr>
      </w:pPr>
    </w:p>
    <w:p w:rsidR="00AD3209" w:rsidRDefault="007007E4">
      <w:pPr>
        <w:pBdr>
          <w:top w:val="nil"/>
          <w:left w:val="nil"/>
          <w:bottom w:val="nil"/>
          <w:right w:val="nil"/>
          <w:between w:val="nil"/>
        </w:pBdr>
        <w:spacing w:after="0" w:line="240" w:lineRule="auto"/>
        <w:ind w:left="720" w:right="720"/>
        <w:rPr>
          <w:b/>
          <w:color w:val="000000"/>
          <w:sz w:val="24"/>
          <w:szCs w:val="24"/>
          <w:u w:val="single"/>
        </w:rPr>
      </w:pPr>
      <w:r>
        <w:rPr>
          <w:b/>
          <w:color w:val="000000"/>
          <w:sz w:val="24"/>
          <w:szCs w:val="24"/>
          <w:u w:val="single"/>
        </w:rPr>
        <w:t>Eligible Activities</w:t>
      </w:r>
    </w:p>
    <w:p w:rsidR="00AD3209" w:rsidRDefault="007007E4">
      <w:pPr>
        <w:pBdr>
          <w:top w:val="nil"/>
          <w:left w:val="nil"/>
          <w:bottom w:val="nil"/>
          <w:right w:val="nil"/>
          <w:between w:val="nil"/>
        </w:pBdr>
        <w:spacing w:after="0" w:line="240" w:lineRule="auto"/>
        <w:ind w:left="720" w:right="720"/>
        <w:jc w:val="both"/>
        <w:rPr>
          <w:color w:val="000000"/>
        </w:rPr>
      </w:pPr>
      <w:r>
        <w:rPr>
          <w:color w:val="000000"/>
        </w:rPr>
        <w:t xml:space="preserve">Funds must be used for transportation projects which improve air quality within the Urbanized Area. Examples of eligible projects include transportation control measures in the State Air Quality </w:t>
      </w:r>
      <w:r>
        <w:rPr>
          <w:color w:val="000000"/>
        </w:rPr>
        <w:t>Implementation Plan (SIP); construction/ purchase of new public transportation facilities and equipment; construction of bicycle or pedestrian facilities serving commuter transportation needs; promotion of alternative travel modes, including ridesharing; I</w:t>
      </w:r>
      <w:r>
        <w:rPr>
          <w:color w:val="000000"/>
        </w:rPr>
        <w:t>ntelligent Transportation Systems (ITS); and certain traffic control measures, such as traffic signal coordination, intersection improvements, and incident management. The funds may not be used for major road widening.</w:t>
      </w:r>
    </w:p>
    <w:p w:rsidR="00AD3209" w:rsidRDefault="00AD3209">
      <w:pPr>
        <w:pBdr>
          <w:top w:val="nil"/>
          <w:left w:val="nil"/>
          <w:bottom w:val="nil"/>
          <w:right w:val="nil"/>
          <w:between w:val="nil"/>
        </w:pBdr>
        <w:spacing w:after="0" w:line="120" w:lineRule="auto"/>
        <w:ind w:left="720" w:right="720"/>
        <w:rPr>
          <w:color w:val="000000"/>
        </w:rPr>
      </w:pPr>
    </w:p>
    <w:p w:rsidR="00AD3209" w:rsidRDefault="007007E4">
      <w:pPr>
        <w:pBdr>
          <w:top w:val="nil"/>
          <w:left w:val="nil"/>
          <w:bottom w:val="nil"/>
          <w:right w:val="nil"/>
          <w:between w:val="nil"/>
        </w:pBdr>
        <w:spacing w:after="0" w:line="240" w:lineRule="auto"/>
        <w:ind w:left="720" w:right="720"/>
        <w:rPr>
          <w:b/>
          <w:color w:val="000000"/>
          <w:sz w:val="24"/>
          <w:szCs w:val="24"/>
          <w:u w:val="single"/>
        </w:rPr>
      </w:pPr>
      <w:r>
        <w:rPr>
          <w:b/>
          <w:color w:val="000000"/>
          <w:sz w:val="24"/>
          <w:szCs w:val="24"/>
          <w:u w:val="single"/>
        </w:rPr>
        <w:t>Funding</w:t>
      </w:r>
    </w:p>
    <w:p w:rsidR="00AD3209" w:rsidRDefault="007007E4">
      <w:pPr>
        <w:pBdr>
          <w:top w:val="nil"/>
          <w:left w:val="nil"/>
          <w:bottom w:val="nil"/>
          <w:right w:val="nil"/>
          <w:between w:val="nil"/>
        </w:pBdr>
        <w:spacing w:after="0" w:line="240" w:lineRule="auto"/>
        <w:ind w:left="720" w:right="720"/>
        <w:jc w:val="both"/>
        <w:rPr>
          <w:color w:val="000000"/>
        </w:rPr>
      </w:pPr>
      <w:r>
        <w:rPr>
          <w:color w:val="000000"/>
        </w:rPr>
        <w:t>By population formula, the U.S. Department of Transportation currently apportions approximately $</w:t>
      </w:r>
      <w:r>
        <w:t>3,0</w:t>
      </w:r>
      <w:r>
        <w:rPr>
          <w:color w:val="000000"/>
        </w:rPr>
        <w:t>00,000 in CMAQ funds each year to the Ogden/ Layton Urbanized Area and approximately $5,</w:t>
      </w:r>
      <w:r>
        <w:t>6</w:t>
      </w:r>
      <w:r>
        <w:rPr>
          <w:color w:val="000000"/>
        </w:rPr>
        <w:t>00,000 in the Salt Lake/ West Valley Urbanized Area. Funds are prog</w:t>
      </w:r>
      <w:r>
        <w:rPr>
          <w:color w:val="000000"/>
        </w:rPr>
        <w:t>rammed over a six-year period and applicants currently will be applying for funds available in federal fiscal year 202</w:t>
      </w:r>
      <w:r>
        <w:t>9</w:t>
      </w:r>
      <w:r>
        <w:rPr>
          <w:color w:val="000000"/>
        </w:rPr>
        <w:t>.</w:t>
      </w:r>
    </w:p>
    <w:p w:rsidR="00AD3209" w:rsidRDefault="00AD3209">
      <w:pPr>
        <w:pBdr>
          <w:top w:val="nil"/>
          <w:left w:val="nil"/>
          <w:bottom w:val="nil"/>
          <w:right w:val="nil"/>
          <w:between w:val="nil"/>
        </w:pBdr>
        <w:spacing w:after="0" w:line="120" w:lineRule="auto"/>
        <w:ind w:left="720" w:right="720"/>
        <w:rPr>
          <w:color w:val="000000"/>
        </w:rPr>
      </w:pPr>
    </w:p>
    <w:p w:rsidR="00AD3209" w:rsidRDefault="007007E4">
      <w:pPr>
        <w:pBdr>
          <w:top w:val="nil"/>
          <w:left w:val="nil"/>
          <w:bottom w:val="nil"/>
          <w:right w:val="nil"/>
          <w:between w:val="nil"/>
        </w:pBdr>
        <w:spacing w:after="0" w:line="240" w:lineRule="auto"/>
        <w:ind w:left="720" w:right="720"/>
        <w:rPr>
          <w:b/>
          <w:color w:val="000000"/>
          <w:sz w:val="24"/>
          <w:szCs w:val="24"/>
          <w:u w:val="single"/>
        </w:rPr>
      </w:pPr>
      <w:r>
        <w:rPr>
          <w:b/>
          <w:color w:val="000000"/>
          <w:sz w:val="24"/>
          <w:szCs w:val="24"/>
          <w:u w:val="single"/>
        </w:rPr>
        <w:t>Letters of Intent</w:t>
      </w:r>
    </w:p>
    <w:p w:rsidR="00AD3209" w:rsidRDefault="007007E4">
      <w:pPr>
        <w:pBdr>
          <w:top w:val="nil"/>
          <w:left w:val="nil"/>
          <w:bottom w:val="nil"/>
          <w:right w:val="nil"/>
          <w:between w:val="nil"/>
        </w:pBdr>
        <w:spacing w:after="0" w:line="240" w:lineRule="auto"/>
        <w:ind w:left="720" w:right="720"/>
        <w:jc w:val="both"/>
        <w:rPr>
          <w:color w:val="000000"/>
        </w:rPr>
      </w:pPr>
      <w:r>
        <w:rPr>
          <w:color w:val="000000"/>
        </w:rPr>
        <w:t>In order for the WFRC staff to recommend whether a sponsor should submit an application, the “Letter of Intent” must include the project name, project limits, a brief project description, and an estimated total project cost. A list of all the projects appr</w:t>
      </w:r>
      <w:r>
        <w:rPr>
          <w:color w:val="000000"/>
        </w:rPr>
        <w:t xml:space="preserve">opriately submitted will be distributed to members of the Councils of Governments (COGs) and will be reviewed by WFRC to determine program eligibility. </w:t>
      </w:r>
      <w:r>
        <w:rPr>
          <w:b/>
          <w:color w:val="000000"/>
        </w:rPr>
        <w:t xml:space="preserve">Letters of Intent are due September </w:t>
      </w:r>
      <w:r>
        <w:rPr>
          <w:b/>
        </w:rPr>
        <w:t>29</w:t>
      </w:r>
      <w:r>
        <w:rPr>
          <w:b/>
          <w:color w:val="000000"/>
        </w:rPr>
        <w:t>, 202</w:t>
      </w:r>
      <w:r>
        <w:rPr>
          <w:b/>
        </w:rPr>
        <w:t>2</w:t>
      </w:r>
      <w:r>
        <w:rPr>
          <w:b/>
          <w:color w:val="000000"/>
        </w:rPr>
        <w:t xml:space="preserve"> electronically. </w:t>
      </w:r>
      <w:hyperlink r:id="rId44">
        <w:r>
          <w:rPr>
            <w:b/>
            <w:color w:val="1155CC"/>
            <w:u w:val="single"/>
          </w:rPr>
          <w:t xml:space="preserve"> Form available here.</w:t>
        </w:r>
      </w:hyperlink>
      <w:r>
        <w:rPr>
          <w:b/>
          <w:color w:val="000000"/>
        </w:rPr>
        <w:t xml:space="preserve"> </w:t>
      </w:r>
      <w:r>
        <w:rPr>
          <w:color w:val="000000"/>
        </w:rPr>
        <w:t>This letter should be signed by the Mayor, County Commissioner, or executive director of the sponsoring agency.</w:t>
      </w:r>
    </w:p>
    <w:p w:rsidR="00AD3209" w:rsidRDefault="00AD3209">
      <w:pPr>
        <w:pBdr>
          <w:top w:val="nil"/>
          <w:left w:val="nil"/>
          <w:bottom w:val="nil"/>
          <w:right w:val="nil"/>
          <w:between w:val="nil"/>
        </w:pBdr>
        <w:spacing w:after="0" w:line="120" w:lineRule="auto"/>
        <w:ind w:left="720" w:right="720"/>
        <w:rPr>
          <w:color w:val="000000"/>
        </w:rPr>
      </w:pPr>
    </w:p>
    <w:p w:rsidR="00AD3209" w:rsidRDefault="007007E4">
      <w:pPr>
        <w:pBdr>
          <w:top w:val="nil"/>
          <w:left w:val="nil"/>
          <w:bottom w:val="nil"/>
          <w:right w:val="nil"/>
          <w:between w:val="nil"/>
        </w:pBdr>
        <w:spacing w:after="0" w:line="240" w:lineRule="auto"/>
        <w:ind w:left="720" w:right="720"/>
        <w:jc w:val="both"/>
        <w:rPr>
          <w:color w:val="000000"/>
        </w:rPr>
      </w:pPr>
      <w:r>
        <w:rPr>
          <w:b/>
          <w:color w:val="000000"/>
          <w:sz w:val="24"/>
          <w:szCs w:val="24"/>
          <w:u w:val="single"/>
        </w:rPr>
        <w:t>Applications</w:t>
      </w:r>
      <w:r>
        <w:rPr>
          <w:color w:val="000000"/>
        </w:rPr>
        <w:br/>
        <w:t>Sponsors of eligible</w:t>
      </w:r>
      <w:r>
        <w:rPr>
          <w:color w:val="000000"/>
        </w:rPr>
        <w:t xml:space="preserve"> projects will be notified and required to submit a new and/or updated “Project Evaluation Concept Report,” “Cost Estimation Form,” and “Emissions Analysis Form” for each project </w:t>
      </w:r>
      <w:r>
        <w:rPr>
          <w:b/>
          <w:color w:val="000000"/>
        </w:rPr>
        <w:t xml:space="preserve">by December </w:t>
      </w:r>
      <w:r>
        <w:rPr>
          <w:b/>
        </w:rPr>
        <w:t>8</w:t>
      </w:r>
      <w:r>
        <w:rPr>
          <w:b/>
          <w:color w:val="000000"/>
        </w:rPr>
        <w:t>, 202</w:t>
      </w:r>
      <w:r>
        <w:rPr>
          <w:b/>
        </w:rPr>
        <w:t>2</w:t>
      </w:r>
      <w:r>
        <w:rPr>
          <w:color w:val="000000"/>
        </w:rPr>
        <w:t>. These forms will be reviewed for completeness and suppor</w:t>
      </w:r>
      <w:r>
        <w:rPr>
          <w:color w:val="000000"/>
        </w:rPr>
        <w:t>ting documentation. The projects will be evaluated and scored by the WFRC staff according to the approved criteria prior to presenting information to the WFRC Technical Advisory Committees for review and recommendation. After this, the projects and recomme</w:t>
      </w:r>
      <w:r>
        <w:rPr>
          <w:color w:val="000000"/>
        </w:rPr>
        <w:t>ndations will be presented to the COGs for input, and then to Trans Com for recommendation to the Regional Council.</w:t>
      </w:r>
    </w:p>
    <w:p w:rsidR="00AD3209" w:rsidRDefault="00AD3209">
      <w:pPr>
        <w:pBdr>
          <w:top w:val="nil"/>
          <w:left w:val="nil"/>
          <w:bottom w:val="nil"/>
          <w:right w:val="nil"/>
          <w:between w:val="nil"/>
        </w:pBdr>
        <w:spacing w:after="0" w:line="120" w:lineRule="auto"/>
        <w:ind w:left="720" w:right="720"/>
        <w:rPr>
          <w:color w:val="000000"/>
        </w:rPr>
      </w:pPr>
    </w:p>
    <w:p w:rsidR="00AD3209" w:rsidRDefault="007007E4">
      <w:pPr>
        <w:pBdr>
          <w:top w:val="nil"/>
          <w:left w:val="nil"/>
          <w:bottom w:val="nil"/>
          <w:right w:val="nil"/>
          <w:between w:val="nil"/>
        </w:pBdr>
        <w:spacing w:after="0" w:line="240" w:lineRule="auto"/>
        <w:ind w:left="720" w:right="720"/>
        <w:rPr>
          <w:b/>
          <w:color w:val="000000"/>
          <w:sz w:val="24"/>
          <w:szCs w:val="24"/>
          <w:u w:val="single"/>
        </w:rPr>
      </w:pPr>
      <w:r>
        <w:rPr>
          <w:b/>
          <w:color w:val="000000"/>
          <w:sz w:val="24"/>
          <w:szCs w:val="24"/>
          <w:u w:val="single"/>
        </w:rPr>
        <w:t>Project Evaluation</w:t>
      </w:r>
    </w:p>
    <w:p w:rsidR="00AD3209" w:rsidRDefault="007007E4">
      <w:pPr>
        <w:pBdr>
          <w:top w:val="nil"/>
          <w:left w:val="nil"/>
          <w:bottom w:val="nil"/>
          <w:right w:val="nil"/>
          <w:between w:val="nil"/>
        </w:pBdr>
        <w:spacing w:after="0" w:line="240" w:lineRule="auto"/>
        <w:ind w:left="720" w:right="720"/>
        <w:jc w:val="both"/>
        <w:rPr>
          <w:color w:val="000000"/>
        </w:rPr>
      </w:pPr>
      <w:bookmarkStart w:id="2" w:name="_30j0zll" w:colFirst="0" w:colLast="0"/>
      <w:bookmarkEnd w:id="2"/>
      <w:r>
        <w:rPr>
          <w:color w:val="000000"/>
        </w:rPr>
        <w:t>Projects submitted to compete for CMAQ funds are scored based on annual emissions reduction benefit divided by project c</w:t>
      </w:r>
      <w:r>
        <w:rPr>
          <w:color w:val="000000"/>
        </w:rPr>
        <w:t xml:space="preserve">ost.  The length of the project’s effective life in years is included in the benefit/ cost calculation.  Other benefits of a project such as safety, congestion relief, or synergy with other improvements, are also considered.  Because the principal purpose </w:t>
      </w:r>
      <w:r>
        <w:rPr>
          <w:color w:val="000000"/>
        </w:rPr>
        <w:t>of the CMAQ Program is to improve air quality by reducing mobile source emissions, applicants are encouraged to submit a project that will generate a significant air quality benefit.  Examples of the air quality benefits from some past CMAQ-funded projects</w:t>
      </w:r>
      <w:r>
        <w:rPr>
          <w:color w:val="000000"/>
        </w:rPr>
        <w:t xml:space="preserve"> are included in this </w:t>
      </w:r>
      <w:hyperlink r:id="rId45">
        <w:r>
          <w:rPr>
            <w:color w:val="0000FF"/>
            <w:u w:val="single"/>
          </w:rPr>
          <w:t>graph</w:t>
        </w:r>
      </w:hyperlink>
      <w:r>
        <w:rPr>
          <w:color w:val="000000"/>
        </w:rPr>
        <w:t>.  Each project submitted is evaluated independently for its air quality benefit.</w:t>
      </w:r>
    </w:p>
    <w:p w:rsidR="00AD3209" w:rsidRDefault="00AD3209">
      <w:pPr>
        <w:pBdr>
          <w:top w:val="nil"/>
          <w:left w:val="nil"/>
          <w:bottom w:val="nil"/>
          <w:right w:val="nil"/>
          <w:between w:val="nil"/>
        </w:pBdr>
        <w:spacing w:after="0" w:line="120" w:lineRule="auto"/>
        <w:ind w:left="720" w:right="720"/>
        <w:rPr>
          <w:color w:val="000000"/>
          <w:u w:val="single"/>
        </w:rPr>
      </w:pPr>
    </w:p>
    <w:p w:rsidR="00AD3209" w:rsidRDefault="007007E4">
      <w:pPr>
        <w:pBdr>
          <w:top w:val="nil"/>
          <w:left w:val="nil"/>
          <w:bottom w:val="nil"/>
          <w:right w:val="nil"/>
          <w:between w:val="nil"/>
        </w:pBdr>
        <w:spacing w:after="0" w:line="240" w:lineRule="auto"/>
        <w:ind w:left="720" w:right="720"/>
        <w:rPr>
          <w:color w:val="000000"/>
        </w:rPr>
      </w:pPr>
      <w:r>
        <w:rPr>
          <w:b/>
          <w:color w:val="000000"/>
          <w:sz w:val="24"/>
          <w:szCs w:val="24"/>
          <w:u w:val="single"/>
        </w:rPr>
        <w:t>Staff Contact</w:t>
      </w:r>
      <w:r>
        <w:rPr>
          <w:color w:val="000000"/>
        </w:rPr>
        <w:t xml:space="preserve">        Ben Wuthrich,  </w:t>
      </w:r>
      <w:hyperlink r:id="rId46">
        <w:r>
          <w:rPr>
            <w:color w:val="0000FF"/>
            <w:u w:val="single"/>
          </w:rPr>
          <w:t>bwuthrich@wfrc.org</w:t>
        </w:r>
      </w:hyperlink>
      <w:r>
        <w:rPr>
          <w:color w:val="000000"/>
        </w:rPr>
        <w:t>, (801) 363-4230 x1121</w:t>
      </w:r>
    </w:p>
    <w:p w:rsidR="00AD3209" w:rsidRDefault="00AD3209">
      <w:pPr>
        <w:widowControl w:val="0"/>
        <w:spacing w:after="0" w:line="200" w:lineRule="auto"/>
        <w:rPr>
          <w:color w:val="000000"/>
          <w:sz w:val="20"/>
          <w:szCs w:val="20"/>
        </w:rPr>
      </w:pPr>
    </w:p>
    <w:p w:rsidR="00AD3209" w:rsidRDefault="00AD3209">
      <w:pPr>
        <w:widowControl w:val="0"/>
        <w:spacing w:before="18" w:after="0" w:line="240" w:lineRule="auto"/>
        <w:rPr>
          <w:color w:val="000000"/>
          <w:sz w:val="24"/>
          <w:szCs w:val="24"/>
        </w:rPr>
      </w:pPr>
    </w:p>
    <w:p w:rsidR="00AD3209" w:rsidRDefault="007007E4">
      <w:pPr>
        <w:widowControl w:val="0"/>
        <w:spacing w:after="0" w:line="468" w:lineRule="auto"/>
        <w:ind w:left="720" w:right="-20"/>
        <w:rPr>
          <w:color w:val="000000"/>
          <w:sz w:val="40"/>
          <w:szCs w:val="40"/>
        </w:rPr>
      </w:pPr>
      <w:r>
        <w:rPr>
          <w:b/>
          <w:color w:val="365F91"/>
          <w:sz w:val="40"/>
          <w:szCs w:val="40"/>
        </w:rPr>
        <w:t>Transportation Alternatives Program (TAP)</w:t>
      </w:r>
      <w:r>
        <w:rPr>
          <w:noProof/>
        </w:rPr>
        <w:drawing>
          <wp:anchor distT="0" distB="0" distL="114300" distR="114300" simplePos="0" relativeHeight="251661312" behindDoc="1" locked="0" layoutInCell="1" hidden="0" allowOverlap="1">
            <wp:simplePos x="0" y="0"/>
            <wp:positionH relativeFrom="column">
              <wp:posOffset>5668010</wp:posOffset>
            </wp:positionH>
            <wp:positionV relativeFrom="paragraph">
              <wp:posOffset>-357504</wp:posOffset>
            </wp:positionV>
            <wp:extent cx="1498600" cy="1511300"/>
            <wp:effectExtent l="0" t="0" r="0" b="0"/>
            <wp:wrapNone/>
            <wp:docPr id="2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47"/>
                    <a:srcRect/>
                    <a:stretch>
                      <a:fillRect/>
                    </a:stretch>
                  </pic:blipFill>
                  <pic:spPr>
                    <a:xfrm>
                      <a:off x="0" y="0"/>
                      <a:ext cx="1498600" cy="1511300"/>
                    </a:xfrm>
                    <a:prstGeom prst="rect">
                      <a:avLst/>
                    </a:prstGeom>
                    <a:ln/>
                  </pic:spPr>
                </pic:pic>
              </a:graphicData>
            </a:graphic>
          </wp:anchor>
        </w:drawing>
      </w:r>
    </w:p>
    <w:p w:rsidR="00AD3209" w:rsidRDefault="00AD3209">
      <w:pPr>
        <w:widowControl w:val="0"/>
        <w:spacing w:after="0" w:line="200" w:lineRule="auto"/>
        <w:rPr>
          <w:color w:val="000000"/>
          <w:sz w:val="20"/>
          <w:szCs w:val="20"/>
        </w:rPr>
      </w:pPr>
    </w:p>
    <w:p w:rsidR="00AD3209" w:rsidRDefault="00AD3209">
      <w:pPr>
        <w:widowControl w:val="0"/>
        <w:spacing w:after="0" w:line="200" w:lineRule="auto"/>
        <w:rPr>
          <w:color w:val="000000"/>
          <w:sz w:val="20"/>
          <w:szCs w:val="20"/>
        </w:rPr>
      </w:pPr>
    </w:p>
    <w:p w:rsidR="00AD3209" w:rsidRDefault="00AD3209">
      <w:pPr>
        <w:widowControl w:val="0"/>
        <w:spacing w:before="16" w:after="0" w:line="220" w:lineRule="auto"/>
        <w:rPr>
          <w:color w:val="000000"/>
        </w:rPr>
      </w:pPr>
    </w:p>
    <w:p w:rsidR="00AD3209" w:rsidRDefault="007007E4">
      <w:pPr>
        <w:widowControl w:val="0"/>
        <w:spacing w:after="0" w:line="240" w:lineRule="auto"/>
        <w:ind w:left="720" w:right="-20"/>
        <w:rPr>
          <w:color w:val="000000"/>
        </w:rPr>
      </w:pPr>
      <w:r>
        <w:rPr>
          <w:b/>
          <w:color w:val="000000"/>
          <w:u w:val="single"/>
        </w:rPr>
        <w:t>Program Description</w:t>
      </w:r>
    </w:p>
    <w:p w:rsidR="00AD3209" w:rsidRDefault="007007E4">
      <w:pPr>
        <w:widowControl w:val="0"/>
        <w:spacing w:before="43" w:after="0" w:line="265" w:lineRule="auto"/>
        <w:ind w:left="720" w:right="-20"/>
        <w:rPr>
          <w:color w:val="000000"/>
        </w:rPr>
      </w:pPr>
      <w:r>
        <w:rPr>
          <w:color w:val="000000"/>
        </w:rPr>
        <w:t>TAP funds are for the construction and planning of bicycle and pedestrian facilities.</w:t>
      </w:r>
    </w:p>
    <w:p w:rsidR="00AD3209" w:rsidRDefault="00AD3209">
      <w:pPr>
        <w:widowControl w:val="0"/>
        <w:spacing w:before="5" w:after="0" w:line="180" w:lineRule="auto"/>
        <w:rPr>
          <w:color w:val="000000"/>
          <w:sz w:val="18"/>
          <w:szCs w:val="18"/>
        </w:rPr>
      </w:pPr>
    </w:p>
    <w:p w:rsidR="00AD3209" w:rsidRDefault="007007E4">
      <w:pPr>
        <w:widowControl w:val="0"/>
        <w:spacing w:before="16" w:after="0" w:line="240" w:lineRule="auto"/>
        <w:ind w:left="720" w:right="9799"/>
        <w:jc w:val="both"/>
        <w:rPr>
          <w:color w:val="000000"/>
        </w:rPr>
      </w:pPr>
      <w:r>
        <w:rPr>
          <w:b/>
          <w:color w:val="000000"/>
          <w:u w:val="single"/>
        </w:rPr>
        <w:t>Program Eligibility</w:t>
      </w:r>
    </w:p>
    <w:p w:rsidR="00AD3209" w:rsidRDefault="007007E4">
      <w:pPr>
        <w:widowControl w:val="0"/>
        <w:spacing w:before="41" w:after="0" w:line="274" w:lineRule="auto"/>
        <w:ind w:left="720" w:right="663"/>
        <w:jc w:val="both"/>
        <w:rPr>
          <w:color w:val="000000"/>
        </w:rPr>
      </w:pPr>
      <w:r>
        <w:rPr>
          <w:color w:val="000000"/>
        </w:rPr>
        <w:t>An eligible project sponsor must be a local government in the Ogden/ Layton or Salt Lake/ West Valley Urbanized Area, the department of transportation, or the transit authority, or submit a letter in cooperation with one of these entities.</w:t>
      </w:r>
    </w:p>
    <w:p w:rsidR="00AD3209" w:rsidRDefault="00AD3209">
      <w:pPr>
        <w:widowControl w:val="0"/>
        <w:spacing w:before="2" w:after="0" w:line="110" w:lineRule="auto"/>
        <w:rPr>
          <w:color w:val="000000"/>
          <w:sz w:val="11"/>
          <w:szCs w:val="11"/>
        </w:rPr>
      </w:pPr>
    </w:p>
    <w:p w:rsidR="00AD3209" w:rsidRDefault="00AD3209">
      <w:pPr>
        <w:widowControl w:val="0"/>
        <w:spacing w:after="0" w:line="200" w:lineRule="auto"/>
        <w:rPr>
          <w:color w:val="000000"/>
          <w:sz w:val="20"/>
          <w:szCs w:val="20"/>
        </w:rPr>
      </w:pPr>
    </w:p>
    <w:p w:rsidR="00AD3209" w:rsidRDefault="007007E4">
      <w:pPr>
        <w:widowControl w:val="0"/>
        <w:spacing w:after="0" w:line="240" w:lineRule="auto"/>
        <w:ind w:left="720" w:right="9919"/>
        <w:jc w:val="both"/>
        <w:rPr>
          <w:color w:val="000000"/>
        </w:rPr>
      </w:pPr>
      <w:r>
        <w:rPr>
          <w:b/>
          <w:color w:val="000000"/>
          <w:u w:val="single"/>
        </w:rPr>
        <w:t>Eligible Activ</w:t>
      </w:r>
      <w:r>
        <w:rPr>
          <w:b/>
          <w:color w:val="000000"/>
          <w:u w:val="single"/>
        </w:rPr>
        <w:t>ities</w:t>
      </w:r>
    </w:p>
    <w:p w:rsidR="00AD3209" w:rsidRDefault="007007E4">
      <w:pPr>
        <w:widowControl w:val="0"/>
        <w:spacing w:before="38" w:after="0"/>
        <w:ind w:left="720" w:right="655"/>
        <w:jc w:val="both"/>
        <w:rPr>
          <w:color w:val="000000"/>
        </w:rPr>
      </w:pPr>
      <w:r>
        <w:rPr>
          <w:color w:val="000000"/>
        </w:rPr>
        <w:t>Funds may be used for construction, planning, and design of on-road and off-road trail facilities for pedestrians, bicyclists, and other non-motorized forms of transportation, including sidewalks, bicycle infrastructure, pedestrian and bicycle signal</w:t>
      </w:r>
      <w:r>
        <w:rPr>
          <w:color w:val="000000"/>
        </w:rPr>
        <w:t>s, traffic calming techniques, lighting and other safety-related infrastructure that will provide safe routes for non- drivers, and transportation projects to achieve compliance with the Americans with Disabilities Act of 1990. Funding eligibility includes</w:t>
      </w:r>
      <w:r>
        <w:rPr>
          <w:color w:val="000000"/>
        </w:rPr>
        <w:t xml:space="preserve"> Safe Routes to School infrastructure projects.</w:t>
      </w:r>
    </w:p>
    <w:p w:rsidR="00AD3209" w:rsidRDefault="00AD3209">
      <w:pPr>
        <w:widowControl w:val="0"/>
        <w:spacing w:before="8" w:after="0" w:line="100" w:lineRule="auto"/>
        <w:rPr>
          <w:color w:val="000000"/>
          <w:sz w:val="10"/>
          <w:szCs w:val="10"/>
        </w:rPr>
      </w:pPr>
    </w:p>
    <w:p w:rsidR="00AD3209" w:rsidRDefault="00AD3209">
      <w:pPr>
        <w:widowControl w:val="0"/>
        <w:spacing w:after="0" w:line="200" w:lineRule="auto"/>
        <w:rPr>
          <w:color w:val="000000"/>
          <w:sz w:val="20"/>
          <w:szCs w:val="20"/>
        </w:rPr>
      </w:pPr>
    </w:p>
    <w:p w:rsidR="00AD3209" w:rsidRDefault="007007E4">
      <w:pPr>
        <w:widowControl w:val="0"/>
        <w:spacing w:after="0" w:line="240" w:lineRule="auto"/>
        <w:ind w:left="720" w:right="10736"/>
        <w:jc w:val="both"/>
        <w:rPr>
          <w:color w:val="000000"/>
        </w:rPr>
      </w:pPr>
      <w:r>
        <w:rPr>
          <w:b/>
          <w:color w:val="000000"/>
          <w:u w:val="single"/>
        </w:rPr>
        <w:t>Funding</w:t>
      </w:r>
    </w:p>
    <w:p w:rsidR="00AD3209" w:rsidRDefault="007007E4">
      <w:pPr>
        <w:widowControl w:val="0"/>
        <w:spacing w:before="41" w:after="0"/>
        <w:ind w:left="720" w:right="657"/>
        <w:jc w:val="both"/>
        <w:rPr>
          <w:color w:val="000000"/>
        </w:rPr>
      </w:pPr>
      <w:r>
        <w:rPr>
          <w:color w:val="000000"/>
        </w:rPr>
        <w:t>By population formula, the federal government currently apportions approximately $</w:t>
      </w:r>
      <w:r>
        <w:t>1,10</w:t>
      </w:r>
      <w:r>
        <w:rPr>
          <w:color w:val="000000"/>
        </w:rPr>
        <w:t>0,000 in TAP funds each year to the Ogden/ Layton Urbanized Area and approximately $</w:t>
      </w:r>
      <w:r>
        <w:t>2,0</w:t>
      </w:r>
      <w:r>
        <w:rPr>
          <w:color w:val="000000"/>
        </w:rPr>
        <w:t>00,000 to the Salt Lake/ West Valley Urbanized Area. Applicants will be competing for funds available in the federal fiscal year 202</w:t>
      </w:r>
      <w:r>
        <w:t>5</w:t>
      </w:r>
      <w:r>
        <w:rPr>
          <w:color w:val="000000"/>
        </w:rPr>
        <w:t>.</w:t>
      </w:r>
    </w:p>
    <w:p w:rsidR="00AD3209" w:rsidRDefault="00AD3209">
      <w:pPr>
        <w:widowControl w:val="0"/>
        <w:spacing w:before="8" w:after="0" w:line="100" w:lineRule="auto"/>
        <w:rPr>
          <w:color w:val="000000"/>
          <w:sz w:val="10"/>
          <w:szCs w:val="10"/>
        </w:rPr>
      </w:pPr>
    </w:p>
    <w:p w:rsidR="00AD3209" w:rsidRDefault="00AD3209">
      <w:pPr>
        <w:widowControl w:val="0"/>
        <w:spacing w:after="0" w:line="200" w:lineRule="auto"/>
        <w:rPr>
          <w:color w:val="000000"/>
          <w:sz w:val="20"/>
          <w:szCs w:val="20"/>
        </w:rPr>
      </w:pPr>
    </w:p>
    <w:p w:rsidR="00AD3209" w:rsidRDefault="007007E4">
      <w:pPr>
        <w:widowControl w:val="0"/>
        <w:spacing w:after="0" w:line="240" w:lineRule="auto"/>
        <w:ind w:left="720" w:right="9986"/>
        <w:jc w:val="both"/>
        <w:rPr>
          <w:color w:val="000000"/>
        </w:rPr>
      </w:pPr>
      <w:r>
        <w:rPr>
          <w:b/>
          <w:color w:val="000000"/>
          <w:u w:val="single"/>
        </w:rPr>
        <w:t>Letters of Intent</w:t>
      </w:r>
    </w:p>
    <w:p w:rsidR="00AD3209" w:rsidRDefault="007007E4">
      <w:pPr>
        <w:widowControl w:val="0"/>
        <w:spacing w:before="41" w:after="0"/>
        <w:ind w:left="720" w:right="654"/>
        <w:jc w:val="both"/>
        <w:rPr>
          <w:color w:val="000000"/>
        </w:rPr>
      </w:pPr>
      <w:r>
        <w:rPr>
          <w:color w:val="000000"/>
        </w:rPr>
        <w:t xml:space="preserve">In order for the WFRC staff to recommend whether a sponsor should submit an application, the “Letter </w:t>
      </w:r>
      <w:r>
        <w:rPr>
          <w:color w:val="000000"/>
        </w:rPr>
        <w:t xml:space="preserve">of Intent” must include the project name, project limits, a brief project description, and an estimated cost. A list of all the projects appropriately submitted will be distributed to members of the Councils of Governments (COGs) and then reviewed by WFRC </w:t>
      </w:r>
      <w:r>
        <w:rPr>
          <w:color w:val="000000"/>
        </w:rPr>
        <w:t xml:space="preserve">to determine program eligibility. </w:t>
      </w:r>
      <w:r>
        <w:rPr>
          <w:b/>
          <w:color w:val="000000"/>
        </w:rPr>
        <w:t xml:space="preserve">Letters of Intent are due September </w:t>
      </w:r>
      <w:r>
        <w:rPr>
          <w:b/>
        </w:rPr>
        <w:t>29</w:t>
      </w:r>
      <w:r>
        <w:rPr>
          <w:b/>
          <w:color w:val="000000"/>
        </w:rPr>
        <w:t>, 202</w:t>
      </w:r>
      <w:r>
        <w:rPr>
          <w:b/>
        </w:rPr>
        <w:t>2</w:t>
      </w:r>
      <w:r>
        <w:rPr>
          <w:b/>
          <w:color w:val="000000"/>
        </w:rPr>
        <w:t xml:space="preserve"> electronically. </w:t>
      </w:r>
      <w:hyperlink r:id="rId48">
        <w:r>
          <w:rPr>
            <w:b/>
            <w:color w:val="1155CC"/>
            <w:u w:val="single"/>
          </w:rPr>
          <w:t xml:space="preserve"> Form available here.</w:t>
        </w:r>
      </w:hyperlink>
      <w:r>
        <w:rPr>
          <w:b/>
          <w:color w:val="000000"/>
        </w:rPr>
        <w:t xml:space="preserve">  </w:t>
      </w:r>
      <w:r>
        <w:rPr>
          <w:color w:val="000000"/>
        </w:rPr>
        <w:t>This le</w:t>
      </w:r>
      <w:r>
        <w:rPr>
          <w:color w:val="000000"/>
        </w:rPr>
        <w:t>tter should be signed by the Mayor, Commissioner, or executive director of the sponsoring agency.</w:t>
      </w:r>
    </w:p>
    <w:p w:rsidR="00AD3209" w:rsidRDefault="00AD3209">
      <w:pPr>
        <w:widowControl w:val="0"/>
        <w:spacing w:before="8" w:after="0" w:line="100" w:lineRule="auto"/>
        <w:rPr>
          <w:color w:val="000000"/>
          <w:sz w:val="10"/>
          <w:szCs w:val="10"/>
        </w:rPr>
      </w:pPr>
    </w:p>
    <w:p w:rsidR="00AD3209" w:rsidRDefault="00AD3209">
      <w:pPr>
        <w:widowControl w:val="0"/>
        <w:spacing w:after="0" w:line="200" w:lineRule="auto"/>
        <w:rPr>
          <w:color w:val="000000"/>
          <w:sz w:val="20"/>
          <w:szCs w:val="20"/>
        </w:rPr>
      </w:pPr>
    </w:p>
    <w:p w:rsidR="00AD3209" w:rsidRDefault="007007E4">
      <w:pPr>
        <w:widowControl w:val="0"/>
        <w:spacing w:after="0" w:line="240" w:lineRule="auto"/>
        <w:ind w:left="720" w:right="10333"/>
        <w:jc w:val="both"/>
        <w:rPr>
          <w:color w:val="000000"/>
        </w:rPr>
      </w:pPr>
      <w:r>
        <w:rPr>
          <w:b/>
          <w:color w:val="000000"/>
          <w:u w:val="single"/>
        </w:rPr>
        <w:t>Applications</w:t>
      </w:r>
    </w:p>
    <w:p w:rsidR="00AD3209" w:rsidRDefault="007007E4">
      <w:pPr>
        <w:widowControl w:val="0"/>
        <w:spacing w:before="41" w:after="0"/>
        <w:ind w:left="720" w:right="657"/>
        <w:jc w:val="both"/>
        <w:rPr>
          <w:color w:val="000000"/>
        </w:rPr>
      </w:pPr>
      <w:r>
        <w:rPr>
          <w:color w:val="000000"/>
        </w:rPr>
        <w:t xml:space="preserve">Sponsors of eligible projects will be notified and required to submit a new and/or updated “TAP Concept Report” and “Cost Estimation Form” for </w:t>
      </w:r>
      <w:r>
        <w:rPr>
          <w:color w:val="000000"/>
        </w:rPr>
        <w:t xml:space="preserve">each project by </w:t>
      </w:r>
      <w:r>
        <w:rPr>
          <w:b/>
          <w:color w:val="000000"/>
        </w:rPr>
        <w:t xml:space="preserve">December </w:t>
      </w:r>
      <w:r>
        <w:rPr>
          <w:b/>
        </w:rPr>
        <w:t>8</w:t>
      </w:r>
      <w:r>
        <w:rPr>
          <w:b/>
          <w:color w:val="000000"/>
        </w:rPr>
        <w:t>, 202</w:t>
      </w:r>
      <w:r>
        <w:rPr>
          <w:b/>
        </w:rPr>
        <w:t>2</w:t>
      </w:r>
      <w:r>
        <w:rPr>
          <w:color w:val="000000"/>
        </w:rPr>
        <w:t>. These reports will be reviewed for completeness. The projects will be evaluated and scored by the WFRC staff according to the approved criteria prior to presenting information to the Technical Committees for review and rec</w:t>
      </w:r>
      <w:r>
        <w:rPr>
          <w:color w:val="000000"/>
        </w:rPr>
        <w:t>ommendation. The projects and the recommendations will be presented to the COGs and the Active Transportation Committee for discussion and review, and then to Trans Com for recommendation to the Regional Council.</w:t>
      </w:r>
    </w:p>
    <w:p w:rsidR="00AD3209" w:rsidRDefault="00AD3209">
      <w:pPr>
        <w:widowControl w:val="0"/>
        <w:spacing w:before="41" w:after="0"/>
        <w:ind w:left="720" w:right="657"/>
        <w:jc w:val="both"/>
        <w:rPr>
          <w:color w:val="000000"/>
        </w:rPr>
      </w:pPr>
    </w:p>
    <w:p w:rsidR="00AD3209" w:rsidRDefault="00AD3209">
      <w:pPr>
        <w:widowControl w:val="0"/>
        <w:spacing w:before="41" w:after="0"/>
        <w:ind w:left="720" w:right="657"/>
        <w:jc w:val="both"/>
        <w:rPr>
          <w:color w:val="000000"/>
        </w:rPr>
      </w:pPr>
    </w:p>
    <w:p w:rsidR="00AD3209" w:rsidRDefault="007007E4">
      <w:pPr>
        <w:widowControl w:val="0"/>
        <w:spacing w:before="41" w:after="0"/>
        <w:ind w:left="720" w:right="657"/>
        <w:jc w:val="both"/>
        <w:rPr>
          <w:color w:val="000000"/>
        </w:rPr>
      </w:pPr>
      <w:r>
        <w:rPr>
          <w:b/>
          <w:color w:val="000000"/>
          <w:u w:val="single"/>
        </w:rPr>
        <w:t>Staff Contact</w:t>
      </w:r>
      <w:r>
        <w:rPr>
          <w:b/>
          <w:color w:val="000000"/>
        </w:rPr>
        <w:t xml:space="preserve">        </w:t>
      </w:r>
      <w:r>
        <w:rPr>
          <w:color w:val="000000"/>
        </w:rPr>
        <w:t xml:space="preserve">Ben Wuthrich, </w:t>
      </w:r>
      <w:r>
        <w:rPr>
          <w:color w:val="0000FF"/>
        </w:rPr>
        <w:t xml:space="preserve"> </w:t>
      </w:r>
      <w:hyperlink r:id="rId49">
        <w:r>
          <w:rPr>
            <w:color w:val="0000FF"/>
            <w:u w:val="single"/>
          </w:rPr>
          <w:t>bwuthrich@wfrc.org</w:t>
        </w:r>
      </w:hyperlink>
      <w:r>
        <w:rPr>
          <w:color w:val="000000"/>
        </w:rPr>
        <w:t>, (801) 363-4230 x1121</w:t>
      </w:r>
    </w:p>
    <w:p w:rsidR="00AD3209" w:rsidRDefault="00AD3209">
      <w:pPr>
        <w:widowControl w:val="0"/>
        <w:spacing w:before="41" w:after="0"/>
        <w:ind w:left="720" w:right="657"/>
        <w:jc w:val="both"/>
        <w:rPr>
          <w:color w:val="000000"/>
        </w:rPr>
      </w:pPr>
    </w:p>
    <w:p w:rsidR="00AD3209" w:rsidRDefault="00AD3209">
      <w:pPr>
        <w:widowControl w:val="0"/>
        <w:spacing w:before="41" w:after="0"/>
        <w:ind w:left="720" w:right="657"/>
        <w:jc w:val="both"/>
      </w:pPr>
    </w:p>
    <w:p w:rsidR="00AD3209" w:rsidRDefault="00AD3209">
      <w:pPr>
        <w:widowControl w:val="0"/>
        <w:spacing w:before="41" w:after="0"/>
        <w:ind w:left="720" w:right="657"/>
        <w:jc w:val="both"/>
      </w:pPr>
    </w:p>
    <w:p w:rsidR="00AD3209" w:rsidRDefault="00AD3209">
      <w:pPr>
        <w:widowControl w:val="0"/>
        <w:spacing w:after="0" w:line="200" w:lineRule="auto"/>
        <w:rPr>
          <w:sz w:val="20"/>
          <w:szCs w:val="20"/>
        </w:rPr>
      </w:pPr>
    </w:p>
    <w:p w:rsidR="00AD3209" w:rsidRDefault="007007E4">
      <w:pPr>
        <w:widowControl w:val="0"/>
        <w:spacing w:after="0" w:line="468" w:lineRule="auto"/>
        <w:ind w:left="720" w:right="4376"/>
        <w:jc w:val="both"/>
        <w:rPr>
          <w:b/>
          <w:color w:val="365F91"/>
          <w:sz w:val="40"/>
          <w:szCs w:val="40"/>
        </w:rPr>
      </w:pPr>
      <w:r>
        <w:rPr>
          <w:noProof/>
        </w:rPr>
        <w:lastRenderedPageBreak/>
        <w:drawing>
          <wp:anchor distT="0" distB="0" distL="114300" distR="114300" simplePos="0" relativeHeight="251662336" behindDoc="0" locked="0" layoutInCell="1" hidden="0" allowOverlap="1">
            <wp:simplePos x="0" y="0"/>
            <wp:positionH relativeFrom="column">
              <wp:posOffset>5320039</wp:posOffset>
            </wp:positionH>
            <wp:positionV relativeFrom="paragraph">
              <wp:posOffset>352425</wp:posOffset>
            </wp:positionV>
            <wp:extent cx="1957388" cy="1103255"/>
            <wp:effectExtent l="0" t="0" r="0" b="0"/>
            <wp:wrapNone/>
            <wp:docPr id="24"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50"/>
                    <a:srcRect/>
                    <a:stretch>
                      <a:fillRect/>
                    </a:stretch>
                  </pic:blipFill>
                  <pic:spPr>
                    <a:xfrm>
                      <a:off x="0" y="0"/>
                      <a:ext cx="1957388" cy="1103255"/>
                    </a:xfrm>
                    <a:prstGeom prst="rect">
                      <a:avLst/>
                    </a:prstGeom>
                    <a:ln/>
                  </pic:spPr>
                </pic:pic>
              </a:graphicData>
            </a:graphic>
          </wp:anchor>
        </w:drawing>
      </w:r>
    </w:p>
    <w:p w:rsidR="00AD3209" w:rsidRDefault="007007E4">
      <w:pPr>
        <w:widowControl w:val="0"/>
        <w:spacing w:after="0" w:line="468" w:lineRule="auto"/>
        <w:ind w:left="720" w:right="4376"/>
        <w:jc w:val="both"/>
        <w:rPr>
          <w:sz w:val="40"/>
          <w:szCs w:val="40"/>
        </w:rPr>
      </w:pPr>
      <w:r>
        <w:rPr>
          <w:b/>
          <w:color w:val="365F91"/>
          <w:sz w:val="40"/>
          <w:szCs w:val="40"/>
        </w:rPr>
        <w:t>Carbon Reduction Program (CRP)</w:t>
      </w:r>
    </w:p>
    <w:p w:rsidR="00AD3209" w:rsidRDefault="00AD3209">
      <w:pPr>
        <w:widowControl w:val="0"/>
        <w:spacing w:after="0" w:line="200" w:lineRule="auto"/>
        <w:rPr>
          <w:sz w:val="20"/>
          <w:szCs w:val="20"/>
        </w:rPr>
      </w:pPr>
    </w:p>
    <w:p w:rsidR="00AD3209" w:rsidRDefault="00AD3209">
      <w:pPr>
        <w:widowControl w:val="0"/>
        <w:spacing w:after="0" w:line="200" w:lineRule="auto"/>
        <w:rPr>
          <w:sz w:val="20"/>
          <w:szCs w:val="20"/>
        </w:rPr>
      </w:pPr>
    </w:p>
    <w:p w:rsidR="00AD3209" w:rsidRDefault="007007E4">
      <w:pPr>
        <w:spacing w:after="0" w:line="240" w:lineRule="auto"/>
        <w:ind w:left="720" w:right="720"/>
        <w:rPr>
          <w:b/>
          <w:sz w:val="24"/>
          <w:szCs w:val="24"/>
          <w:u w:val="single"/>
        </w:rPr>
      </w:pPr>
      <w:r>
        <w:rPr>
          <w:b/>
          <w:sz w:val="24"/>
          <w:szCs w:val="24"/>
          <w:u w:val="single"/>
        </w:rPr>
        <w:t>Program Overview</w:t>
      </w:r>
    </w:p>
    <w:p w:rsidR="00AD3209" w:rsidRDefault="007007E4">
      <w:pPr>
        <w:spacing w:after="0" w:line="240" w:lineRule="auto"/>
        <w:ind w:left="720" w:right="720"/>
        <w:jc w:val="both"/>
      </w:pPr>
      <w:r>
        <w:t>CRP funding may be used on a wide range of projects that support the reduction of on-road CO2 emissions.</w:t>
      </w:r>
    </w:p>
    <w:p w:rsidR="00AD3209" w:rsidRDefault="00AD3209">
      <w:pPr>
        <w:spacing w:after="0" w:line="120" w:lineRule="auto"/>
        <w:ind w:left="720" w:right="720"/>
      </w:pPr>
    </w:p>
    <w:p w:rsidR="00AD3209" w:rsidRDefault="007007E4">
      <w:pPr>
        <w:spacing w:after="0" w:line="240" w:lineRule="auto"/>
        <w:ind w:left="720" w:right="720"/>
        <w:rPr>
          <w:b/>
          <w:sz w:val="24"/>
          <w:szCs w:val="24"/>
          <w:u w:val="single"/>
        </w:rPr>
      </w:pPr>
      <w:r>
        <w:rPr>
          <w:b/>
          <w:sz w:val="24"/>
          <w:szCs w:val="24"/>
          <w:u w:val="single"/>
        </w:rPr>
        <w:t>Program Eligibility</w:t>
      </w:r>
    </w:p>
    <w:p w:rsidR="00AD3209" w:rsidRDefault="007007E4">
      <w:pPr>
        <w:spacing w:after="0" w:line="240" w:lineRule="auto"/>
        <w:ind w:left="720" w:right="720"/>
        <w:jc w:val="both"/>
      </w:pPr>
      <w:r>
        <w:t xml:space="preserve">An eligible project sponsor must be a local government in the </w:t>
      </w:r>
      <w:hyperlink r:id="rId51">
        <w:r>
          <w:rPr>
            <w:color w:val="0000FF"/>
            <w:u w:val="single"/>
          </w:rPr>
          <w:t>Ogden/ Layton or Salt Lake/ West Valley Urbanized Area</w:t>
        </w:r>
      </w:hyperlink>
      <w:r>
        <w:t>, th</w:t>
      </w:r>
      <w:r>
        <w:t xml:space="preserve">e Utah Department of Transportation, or the Utah Transit Authority.  Other entities can partner with eligible applicants.  </w:t>
      </w:r>
    </w:p>
    <w:p w:rsidR="00AD3209" w:rsidRDefault="00AD3209">
      <w:pPr>
        <w:spacing w:after="0" w:line="120" w:lineRule="auto"/>
        <w:ind w:left="720" w:right="720"/>
      </w:pPr>
    </w:p>
    <w:p w:rsidR="00AD3209" w:rsidRDefault="007007E4">
      <w:pPr>
        <w:spacing w:after="0" w:line="240" w:lineRule="auto"/>
        <w:ind w:left="720" w:right="720"/>
        <w:rPr>
          <w:b/>
          <w:sz w:val="24"/>
          <w:szCs w:val="24"/>
          <w:u w:val="single"/>
        </w:rPr>
      </w:pPr>
      <w:r>
        <w:rPr>
          <w:b/>
          <w:sz w:val="24"/>
          <w:szCs w:val="24"/>
          <w:u w:val="single"/>
        </w:rPr>
        <w:t>Eligible Activities</w:t>
      </w:r>
    </w:p>
    <w:p w:rsidR="00AD3209" w:rsidRDefault="007007E4">
      <w:pPr>
        <w:spacing w:after="0" w:line="240" w:lineRule="auto"/>
        <w:ind w:left="720" w:right="720"/>
      </w:pPr>
      <w:r>
        <w:t>Funds must be used to reduce on-road CO2 emissions, which may include projects and strategies for safe, reliabl</w:t>
      </w:r>
      <w:r>
        <w:t>e, and cost-effective options to reduce traffic congestion by facilitating the use of alternatives to single-occupant vehicle trips, including public transportation facilities, pedestrian facilities, bicycle facilities, and shared or pooled vehicle trips w</w:t>
      </w:r>
      <w:r>
        <w:t xml:space="preserve">ithin the Urbanized Area. Examples of eligible projects include traffic monitoring management, advanced truck stop electrification systems, construction/ purchase of new public transportation facilities and equipment; construction of bicycle or pedestrian </w:t>
      </w:r>
      <w:r>
        <w:t>facilities, promotion of alternative travel modes, including ridesharing; Intelligent Transportation Systems (ITS); and certain traffic control measures such as traffic signal coordination, intersection improvements, and incident management. and certain ty</w:t>
      </w:r>
      <w:r>
        <w:t>pes of projects to improve traffic flow that are eligible under the CMAQ program.</w:t>
      </w:r>
    </w:p>
    <w:p w:rsidR="00AD3209" w:rsidRDefault="00AD3209">
      <w:pPr>
        <w:spacing w:after="0" w:line="240" w:lineRule="auto"/>
        <w:ind w:left="720" w:right="720"/>
        <w:rPr>
          <w:b/>
          <w:sz w:val="24"/>
          <w:szCs w:val="24"/>
          <w:u w:val="single"/>
        </w:rPr>
      </w:pPr>
    </w:p>
    <w:p w:rsidR="00AD3209" w:rsidRDefault="007007E4">
      <w:pPr>
        <w:spacing w:after="0" w:line="240" w:lineRule="auto"/>
        <w:ind w:left="720" w:right="720"/>
        <w:rPr>
          <w:b/>
          <w:sz w:val="24"/>
          <w:szCs w:val="24"/>
          <w:u w:val="single"/>
        </w:rPr>
      </w:pPr>
      <w:r>
        <w:rPr>
          <w:b/>
          <w:sz w:val="24"/>
          <w:szCs w:val="24"/>
          <w:u w:val="single"/>
        </w:rPr>
        <w:t>Funding</w:t>
      </w:r>
    </w:p>
    <w:p w:rsidR="00AD3209" w:rsidRDefault="007007E4">
      <w:pPr>
        <w:spacing w:after="0" w:line="240" w:lineRule="auto"/>
        <w:ind w:left="720" w:right="720"/>
        <w:jc w:val="both"/>
      </w:pPr>
      <w:r>
        <w:t>By population formula, the U.S. Department of Transportation currently apportions approximately $1,400,000 in CRP funds each year to the Ogden/ Layton Urbanized Area</w:t>
      </w:r>
      <w:r>
        <w:t xml:space="preserve"> and approximately $2,600,000 in the Salt Lake/ West Valley Urbanized Area. Funds are programmed over a six-year period and applicants currently will be applying for funds available in federal fiscal year 2025.</w:t>
      </w:r>
    </w:p>
    <w:p w:rsidR="00AD3209" w:rsidRDefault="00AD3209">
      <w:pPr>
        <w:spacing w:after="0" w:line="120" w:lineRule="auto"/>
        <w:ind w:left="720" w:right="720"/>
      </w:pPr>
    </w:p>
    <w:p w:rsidR="00AD3209" w:rsidRDefault="007007E4">
      <w:pPr>
        <w:spacing w:after="0" w:line="240" w:lineRule="auto"/>
        <w:ind w:left="720" w:right="720"/>
        <w:rPr>
          <w:b/>
          <w:sz w:val="24"/>
          <w:szCs w:val="24"/>
          <w:u w:val="single"/>
        </w:rPr>
      </w:pPr>
      <w:r>
        <w:rPr>
          <w:b/>
          <w:sz w:val="24"/>
          <w:szCs w:val="24"/>
          <w:u w:val="single"/>
        </w:rPr>
        <w:t>Letters of Intent</w:t>
      </w:r>
    </w:p>
    <w:p w:rsidR="00AD3209" w:rsidRDefault="007007E4">
      <w:pPr>
        <w:spacing w:after="0" w:line="240" w:lineRule="auto"/>
        <w:ind w:left="720" w:right="720"/>
        <w:jc w:val="both"/>
      </w:pPr>
      <w:r>
        <w:t>In order for the WFRC staf</w:t>
      </w:r>
      <w:r>
        <w:t>f to recommend whether a sponsor should submit an application, the “Letter of Intent” must include the project name, project limits, a brief project description, and an estimated total project cost. A list of all the projects appropriately submitted will b</w:t>
      </w:r>
      <w:r>
        <w:t xml:space="preserve">e distributed to members of the Councils of Governments (COGs) and will be reviewed by WFRC to determine program eligibility. </w:t>
      </w:r>
      <w:r>
        <w:rPr>
          <w:b/>
        </w:rPr>
        <w:t xml:space="preserve">Letters of Intent are due September 29, 2022 electronically. </w:t>
      </w:r>
      <w:hyperlink r:id="rId52">
        <w:r>
          <w:rPr>
            <w:b/>
            <w:color w:val="1155CC"/>
            <w:u w:val="single"/>
          </w:rPr>
          <w:t xml:space="preserve"> Form available here.</w:t>
        </w:r>
      </w:hyperlink>
      <w:r>
        <w:rPr>
          <w:b/>
        </w:rPr>
        <w:t xml:space="preserve"> </w:t>
      </w:r>
      <w:r>
        <w:t>This letter should be signed by the Mayor, County Commissioner, or executive director of the sponsoring agency.</w:t>
      </w:r>
    </w:p>
    <w:p w:rsidR="00AD3209" w:rsidRDefault="00AD3209">
      <w:pPr>
        <w:spacing w:after="0" w:line="120" w:lineRule="auto"/>
        <w:ind w:left="720" w:right="720"/>
      </w:pPr>
    </w:p>
    <w:p w:rsidR="00AD3209" w:rsidRDefault="007007E4">
      <w:pPr>
        <w:spacing w:after="0" w:line="240" w:lineRule="auto"/>
        <w:ind w:left="720" w:right="720"/>
        <w:jc w:val="both"/>
      </w:pPr>
      <w:r>
        <w:rPr>
          <w:b/>
          <w:sz w:val="24"/>
          <w:szCs w:val="24"/>
          <w:u w:val="single"/>
        </w:rPr>
        <w:t>Applications</w:t>
      </w:r>
      <w:r>
        <w:br/>
        <w:t>Sponsors of eligible projects will be notified</w:t>
      </w:r>
      <w:r>
        <w:t xml:space="preserve"> and required to submit a new and/or updated “Project Evaluation Concept Report,” “Cost Estimation Form,” and “Emissions Analysis Form” for each project </w:t>
      </w:r>
      <w:r>
        <w:rPr>
          <w:b/>
        </w:rPr>
        <w:t>by December 8, 2022</w:t>
      </w:r>
      <w:r>
        <w:t>. These forms will be reviewed for completeness and supporting documentation. The pr</w:t>
      </w:r>
      <w:r>
        <w:t>ojects will be evaluated and scored by the WFRC staff according to the approved criteria prior to presenting information to the WFRC Technical Advisory Committees for review and recommendation. After this, the projects and recommendations will be presented</w:t>
      </w:r>
      <w:r>
        <w:t xml:space="preserve"> to the COGs for input, and then to Trans Com for recommendation to the Regional Council.</w:t>
      </w:r>
    </w:p>
    <w:p w:rsidR="00AD3209" w:rsidRDefault="00AD3209">
      <w:pPr>
        <w:spacing w:after="0" w:line="120" w:lineRule="auto"/>
        <w:ind w:left="720" w:right="720"/>
      </w:pPr>
    </w:p>
    <w:p w:rsidR="00AD3209" w:rsidRDefault="007007E4">
      <w:pPr>
        <w:spacing w:after="0" w:line="240" w:lineRule="auto"/>
        <w:ind w:left="720" w:right="720"/>
        <w:rPr>
          <w:b/>
          <w:sz w:val="24"/>
          <w:szCs w:val="24"/>
          <w:u w:val="single"/>
        </w:rPr>
      </w:pPr>
      <w:r>
        <w:rPr>
          <w:b/>
          <w:sz w:val="24"/>
          <w:szCs w:val="24"/>
          <w:u w:val="single"/>
        </w:rPr>
        <w:t>Project Evaluation</w:t>
      </w:r>
    </w:p>
    <w:p w:rsidR="00AD3209" w:rsidRDefault="007007E4">
      <w:pPr>
        <w:spacing w:after="0" w:line="240" w:lineRule="auto"/>
        <w:ind w:left="720" w:right="720"/>
      </w:pPr>
      <w:r>
        <w:t>Because the principal purpose of the CRP Program is to reduce on-road CO2 emissions, applicants are encouraged to submit a project that will generate a significant air quality benefit; however, other benefits of a project such as safety of all roadway user</w:t>
      </w:r>
      <w:r>
        <w:t>s, congestion relief, and consideration of unique circumstances affecting community members’ mobility needs, or synergy with other improvements, are also considered.</w:t>
      </w:r>
    </w:p>
    <w:p w:rsidR="00AD3209" w:rsidRDefault="007007E4">
      <w:pPr>
        <w:spacing w:after="0" w:line="240" w:lineRule="auto"/>
        <w:ind w:left="720" w:right="720"/>
        <w:jc w:val="both"/>
      </w:pPr>
      <w:bookmarkStart w:id="3" w:name="_zeaad1s1xjta" w:colFirst="0" w:colLast="0"/>
      <w:bookmarkEnd w:id="3"/>
      <w:r>
        <w:t xml:space="preserve">  </w:t>
      </w:r>
    </w:p>
    <w:p w:rsidR="00AD3209" w:rsidRDefault="007007E4">
      <w:pPr>
        <w:spacing w:after="0" w:line="240" w:lineRule="auto"/>
        <w:ind w:left="720" w:right="720"/>
      </w:pPr>
      <w:r>
        <w:rPr>
          <w:b/>
          <w:sz w:val="24"/>
          <w:szCs w:val="24"/>
          <w:u w:val="single"/>
        </w:rPr>
        <w:t>Staff Contact</w:t>
      </w:r>
      <w:r>
        <w:t xml:space="preserve">        Ben Wuthrich,  </w:t>
      </w:r>
      <w:hyperlink r:id="rId53">
        <w:r>
          <w:rPr>
            <w:color w:val="0000FF"/>
            <w:u w:val="single"/>
          </w:rPr>
          <w:t>bwuthr</w:t>
        </w:r>
        <w:r>
          <w:rPr>
            <w:color w:val="0000FF"/>
            <w:u w:val="single"/>
          </w:rPr>
          <w:t>ich@wfrc.org</w:t>
        </w:r>
      </w:hyperlink>
      <w:r>
        <w:t>, (801) 363-4230 x1121</w:t>
      </w:r>
    </w:p>
    <w:p w:rsidR="00AD3209" w:rsidRDefault="00AD3209">
      <w:pPr>
        <w:widowControl w:val="0"/>
        <w:spacing w:after="0" w:line="461" w:lineRule="auto"/>
        <w:ind w:right="-20"/>
        <w:rPr>
          <w:b/>
          <w:color w:val="365F91"/>
          <w:sz w:val="40"/>
          <w:szCs w:val="40"/>
        </w:rPr>
      </w:pPr>
    </w:p>
    <w:p w:rsidR="00AD3209" w:rsidRDefault="007007E4">
      <w:pPr>
        <w:widowControl w:val="0"/>
        <w:spacing w:after="0" w:line="461" w:lineRule="auto"/>
        <w:ind w:left="720" w:right="-20"/>
        <w:rPr>
          <w:color w:val="000000"/>
          <w:sz w:val="40"/>
          <w:szCs w:val="40"/>
        </w:rPr>
      </w:pPr>
      <w:r>
        <w:rPr>
          <w:b/>
          <w:color w:val="365F91"/>
          <w:sz w:val="40"/>
          <w:szCs w:val="40"/>
        </w:rPr>
        <w:t>Transportation and Land Use Connection</w:t>
      </w:r>
      <w:r>
        <w:rPr>
          <w:noProof/>
        </w:rPr>
        <w:drawing>
          <wp:anchor distT="0" distB="0" distL="114300" distR="114300" simplePos="0" relativeHeight="251663360" behindDoc="1" locked="0" layoutInCell="1" hidden="0" allowOverlap="1">
            <wp:simplePos x="0" y="0"/>
            <wp:positionH relativeFrom="column">
              <wp:posOffset>4944110</wp:posOffset>
            </wp:positionH>
            <wp:positionV relativeFrom="paragraph">
              <wp:posOffset>-720724</wp:posOffset>
            </wp:positionV>
            <wp:extent cx="2730500" cy="1295400"/>
            <wp:effectExtent l="0" t="0" r="0" b="0"/>
            <wp:wrapNone/>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4"/>
                    <a:srcRect/>
                    <a:stretch>
                      <a:fillRect/>
                    </a:stretch>
                  </pic:blipFill>
                  <pic:spPr>
                    <a:xfrm>
                      <a:off x="0" y="0"/>
                      <a:ext cx="2730500" cy="1295400"/>
                    </a:xfrm>
                    <a:prstGeom prst="rect">
                      <a:avLst/>
                    </a:prstGeom>
                    <a:ln/>
                  </pic:spPr>
                </pic:pic>
              </a:graphicData>
            </a:graphic>
          </wp:anchor>
        </w:drawing>
      </w:r>
    </w:p>
    <w:p w:rsidR="00AD3209" w:rsidRDefault="00AD3209">
      <w:pPr>
        <w:widowControl w:val="0"/>
        <w:spacing w:before="5" w:after="0" w:line="170" w:lineRule="auto"/>
        <w:rPr>
          <w:color w:val="000000"/>
          <w:sz w:val="17"/>
          <w:szCs w:val="17"/>
        </w:rPr>
      </w:pPr>
    </w:p>
    <w:p w:rsidR="00AD3209" w:rsidRDefault="00AD3209">
      <w:pPr>
        <w:widowControl w:val="0"/>
        <w:spacing w:after="0" w:line="200" w:lineRule="auto"/>
        <w:rPr>
          <w:color w:val="000000"/>
          <w:sz w:val="20"/>
          <w:szCs w:val="20"/>
        </w:rPr>
      </w:pPr>
    </w:p>
    <w:p w:rsidR="00AD3209" w:rsidRDefault="007007E4">
      <w:pPr>
        <w:widowControl w:val="0"/>
        <w:spacing w:before="16" w:after="0" w:line="240" w:lineRule="auto"/>
        <w:ind w:left="720" w:right="9585"/>
        <w:jc w:val="both"/>
        <w:rPr>
          <w:color w:val="000000"/>
        </w:rPr>
      </w:pPr>
      <w:r>
        <w:rPr>
          <w:b/>
          <w:color w:val="000000"/>
          <w:u w:val="single"/>
        </w:rPr>
        <w:t>Program Description</w:t>
      </w:r>
    </w:p>
    <w:p w:rsidR="00AD3209" w:rsidRDefault="007007E4">
      <w:pPr>
        <w:widowControl w:val="0"/>
        <w:spacing w:before="38" w:after="0" w:line="240" w:lineRule="auto"/>
        <w:ind w:left="720" w:right="659"/>
        <w:jc w:val="both"/>
        <w:rPr>
          <w:color w:val="000000"/>
        </w:rPr>
      </w:pPr>
      <w:r>
        <w:rPr>
          <w:color w:val="000000"/>
        </w:rPr>
        <w:t xml:space="preserve">The </w:t>
      </w:r>
      <w:hyperlink r:id="rId55">
        <w:r>
          <w:rPr>
            <w:b/>
            <w:color w:val="0000FF"/>
            <w:u w:val="single"/>
          </w:rPr>
          <w:t>Transportation and Land Use Connection (TLC)</w:t>
        </w:r>
      </w:hyperlink>
      <w:r>
        <w:rPr>
          <w:b/>
          <w:color w:val="0000FF"/>
          <w:u w:val="single"/>
        </w:rPr>
        <w:t xml:space="preserve"> </w:t>
      </w:r>
      <w:r>
        <w:rPr>
          <w:color w:val="000000"/>
        </w:rPr>
        <w:t>program is a partnership bet</w:t>
      </w:r>
      <w:r>
        <w:rPr>
          <w:color w:val="000000"/>
        </w:rPr>
        <w:t>ween the Wasatch Front Regional Council (WFRC), Salt Lake County, Utah Department of Transportation, and Utah Transit Authority.</w:t>
      </w:r>
    </w:p>
    <w:p w:rsidR="00AD3209" w:rsidRDefault="00AD3209">
      <w:pPr>
        <w:widowControl w:val="0"/>
        <w:spacing w:before="38" w:after="0" w:line="240" w:lineRule="auto"/>
        <w:ind w:left="720" w:right="659"/>
        <w:jc w:val="both"/>
        <w:rPr>
          <w:color w:val="000000"/>
        </w:rPr>
      </w:pPr>
    </w:p>
    <w:p w:rsidR="00AD3209" w:rsidRDefault="007007E4">
      <w:pPr>
        <w:widowControl w:val="0"/>
        <w:spacing w:before="38" w:after="0" w:line="240" w:lineRule="auto"/>
        <w:ind w:left="720" w:right="659"/>
        <w:jc w:val="both"/>
        <w:rPr>
          <w:color w:val="000000"/>
        </w:rPr>
      </w:pPr>
      <w:r>
        <w:rPr>
          <w:color w:val="000000"/>
        </w:rPr>
        <w:t>The TLC program provides planning technical assistance to local communities to help them achieve their goals and plan for grow</w:t>
      </w:r>
      <w:r>
        <w:rPr>
          <w:color w:val="000000"/>
        </w:rPr>
        <w:t xml:space="preserve">th.  The program helps communities implement changes to the built environment that reduce traffic on roads and enable more people to easily walk, bike, and use transit.  This approach is </w:t>
      </w:r>
      <w:r>
        <w:t>consistent with the</w:t>
      </w:r>
      <w:r>
        <w:rPr>
          <w:color w:val="000000"/>
        </w:rPr>
        <w:t xml:space="preserve"> Wasatch Choice Vision and helps residents living </w:t>
      </w:r>
      <w:r>
        <w:rPr>
          <w:color w:val="000000"/>
        </w:rPr>
        <w:t xml:space="preserve">throughout the region enjoy a high quality of life through enhanced mobility, better air quality, and improved economic opportunities. </w:t>
      </w:r>
    </w:p>
    <w:p w:rsidR="00AD3209" w:rsidRDefault="00AD3209">
      <w:pPr>
        <w:widowControl w:val="0"/>
        <w:spacing w:before="7" w:after="0" w:line="100" w:lineRule="auto"/>
        <w:rPr>
          <w:color w:val="000000"/>
          <w:sz w:val="10"/>
          <w:szCs w:val="10"/>
        </w:rPr>
      </w:pPr>
    </w:p>
    <w:p w:rsidR="00AD3209" w:rsidRDefault="00AD3209">
      <w:pPr>
        <w:widowControl w:val="0"/>
        <w:spacing w:after="0" w:line="200" w:lineRule="auto"/>
        <w:rPr>
          <w:color w:val="000000"/>
          <w:sz w:val="20"/>
          <w:szCs w:val="20"/>
        </w:rPr>
      </w:pPr>
    </w:p>
    <w:p w:rsidR="00AD3209" w:rsidRDefault="007007E4">
      <w:pPr>
        <w:widowControl w:val="0"/>
        <w:spacing w:after="0" w:line="240" w:lineRule="auto"/>
        <w:ind w:left="720" w:right="9799"/>
        <w:jc w:val="both"/>
        <w:rPr>
          <w:color w:val="000000"/>
        </w:rPr>
      </w:pPr>
      <w:r>
        <w:rPr>
          <w:b/>
          <w:color w:val="000000"/>
          <w:u w:val="single"/>
        </w:rPr>
        <w:t>Program Eligibility</w:t>
      </w:r>
    </w:p>
    <w:p w:rsidR="00AD3209" w:rsidRDefault="007007E4">
      <w:pPr>
        <w:widowControl w:val="0"/>
        <w:spacing w:before="41" w:after="0" w:line="240" w:lineRule="auto"/>
        <w:ind w:left="720" w:right="657"/>
        <w:rPr>
          <w:color w:val="000000"/>
        </w:rPr>
      </w:pPr>
      <w:r>
        <w:rPr>
          <w:color w:val="000000"/>
        </w:rPr>
        <w:t>An eligible project sponsor must be a local government in Davis, Morgan, Salt Lake, Southern Box Elder, Tooele or Weber</w:t>
      </w:r>
    </w:p>
    <w:p w:rsidR="00AD3209" w:rsidRDefault="007007E4">
      <w:pPr>
        <w:widowControl w:val="0"/>
        <w:spacing w:before="41" w:after="0" w:line="240" w:lineRule="auto"/>
        <w:ind w:left="720" w:right="720"/>
        <w:rPr>
          <w:color w:val="000000"/>
        </w:rPr>
      </w:pPr>
      <w:r>
        <w:rPr>
          <w:color w:val="000000"/>
        </w:rPr>
        <w:t>County.  Multi-jurisdictional projects are encouraged.</w:t>
      </w:r>
    </w:p>
    <w:p w:rsidR="00AD3209" w:rsidRDefault="00AD3209">
      <w:pPr>
        <w:widowControl w:val="0"/>
        <w:spacing w:before="41" w:after="0" w:line="240" w:lineRule="auto"/>
        <w:ind w:left="720" w:right="720"/>
        <w:rPr>
          <w:color w:val="000000"/>
        </w:rPr>
      </w:pPr>
    </w:p>
    <w:p w:rsidR="00AD3209" w:rsidRDefault="007007E4">
      <w:pPr>
        <w:widowControl w:val="0"/>
        <w:spacing w:before="41" w:after="0" w:line="240" w:lineRule="auto"/>
        <w:ind w:left="720" w:right="720"/>
        <w:rPr>
          <w:b/>
          <w:color w:val="000000"/>
          <w:u w:val="single"/>
        </w:rPr>
      </w:pPr>
      <w:r>
        <w:rPr>
          <w:b/>
          <w:color w:val="000000"/>
          <w:u w:val="single"/>
        </w:rPr>
        <w:t>Program Goals</w:t>
      </w:r>
    </w:p>
    <w:p w:rsidR="00AD3209" w:rsidRDefault="007007E4">
      <w:pPr>
        <w:widowControl w:val="0"/>
        <w:numPr>
          <w:ilvl w:val="0"/>
          <w:numId w:val="1"/>
        </w:numPr>
        <w:spacing w:before="41" w:after="0" w:line="240" w:lineRule="auto"/>
        <w:ind w:right="720"/>
        <w:rPr>
          <w:color w:val="000000"/>
        </w:rPr>
      </w:pPr>
      <w:r>
        <w:rPr>
          <w:color w:val="000000"/>
        </w:rPr>
        <w:t>Maximize the value of investment in public infrastructure.</w:t>
      </w:r>
    </w:p>
    <w:p w:rsidR="00AD3209" w:rsidRDefault="007007E4">
      <w:pPr>
        <w:widowControl w:val="0"/>
        <w:numPr>
          <w:ilvl w:val="0"/>
          <w:numId w:val="1"/>
        </w:numPr>
        <w:spacing w:before="41" w:after="0" w:line="240" w:lineRule="auto"/>
        <w:ind w:right="720"/>
        <w:rPr>
          <w:color w:val="000000"/>
        </w:rPr>
      </w:pPr>
      <w:r>
        <w:rPr>
          <w:color w:val="000000"/>
        </w:rPr>
        <w:t>Enhance</w:t>
      </w:r>
      <w:r>
        <w:rPr>
          <w:color w:val="000000"/>
        </w:rPr>
        <w:t xml:space="preserve"> access to opportunities.  </w:t>
      </w:r>
    </w:p>
    <w:p w:rsidR="00AD3209" w:rsidRDefault="007007E4">
      <w:pPr>
        <w:widowControl w:val="0"/>
        <w:numPr>
          <w:ilvl w:val="0"/>
          <w:numId w:val="1"/>
        </w:numPr>
        <w:spacing w:before="41" w:after="0" w:line="240" w:lineRule="auto"/>
        <w:ind w:right="720"/>
        <w:rPr>
          <w:color w:val="000000"/>
        </w:rPr>
      </w:pPr>
      <w:r>
        <w:rPr>
          <w:color w:val="000000"/>
        </w:rPr>
        <w:t xml:space="preserve">Increase travel options to optimize mobility.  </w:t>
      </w:r>
    </w:p>
    <w:p w:rsidR="00AD3209" w:rsidRDefault="007007E4">
      <w:pPr>
        <w:widowControl w:val="0"/>
        <w:numPr>
          <w:ilvl w:val="0"/>
          <w:numId w:val="1"/>
        </w:numPr>
        <w:spacing w:before="41" w:after="0" w:line="240" w:lineRule="auto"/>
        <w:ind w:right="720"/>
        <w:rPr>
          <w:color w:val="000000"/>
          <w:sz w:val="20"/>
          <w:szCs w:val="20"/>
        </w:rPr>
      </w:pPr>
      <w:r>
        <w:rPr>
          <w:color w:val="000000"/>
        </w:rPr>
        <w:t xml:space="preserve">Create communities with opportunities to live, work, and play.  </w:t>
      </w:r>
    </w:p>
    <w:p w:rsidR="00AD3209" w:rsidRDefault="007007E4">
      <w:pPr>
        <w:widowControl w:val="0"/>
        <w:spacing w:before="41" w:after="0" w:line="240" w:lineRule="auto"/>
        <w:ind w:left="1440" w:right="720"/>
        <w:rPr>
          <w:color w:val="000000"/>
          <w:sz w:val="20"/>
          <w:szCs w:val="20"/>
        </w:rPr>
      </w:pPr>
      <w:r>
        <w:rPr>
          <w:color w:val="000000"/>
        </w:rPr>
        <w:t xml:space="preserve">  </w:t>
      </w:r>
    </w:p>
    <w:p w:rsidR="00AD3209" w:rsidRDefault="007007E4">
      <w:pPr>
        <w:widowControl w:val="0"/>
        <w:spacing w:after="0" w:line="240" w:lineRule="auto"/>
        <w:ind w:left="720" w:right="630"/>
        <w:jc w:val="both"/>
        <w:rPr>
          <w:color w:val="000000"/>
        </w:rPr>
      </w:pPr>
      <w:r>
        <w:rPr>
          <w:b/>
          <w:color w:val="000000"/>
          <w:u w:val="single"/>
        </w:rPr>
        <w:t>Eligible Activities</w:t>
      </w:r>
    </w:p>
    <w:p w:rsidR="00AD3209" w:rsidRDefault="007007E4">
      <w:pPr>
        <w:widowControl w:val="0"/>
        <w:spacing w:before="41" w:after="0" w:line="240" w:lineRule="auto"/>
        <w:ind w:left="720" w:right="720"/>
        <w:jc w:val="both"/>
        <w:rPr>
          <w:color w:val="000000"/>
        </w:rPr>
      </w:pPr>
      <w:r>
        <w:rPr>
          <w:color w:val="000000"/>
        </w:rPr>
        <w:t>Funds may be used to provide technical assistance to complete visioning efforts, produce plans, conduct studies, amend policy, or engage in any pre-development activities that support the program goals.</w:t>
      </w:r>
    </w:p>
    <w:p w:rsidR="00AD3209" w:rsidRDefault="00AD3209">
      <w:pPr>
        <w:widowControl w:val="0"/>
        <w:spacing w:before="41" w:after="0" w:line="240" w:lineRule="auto"/>
        <w:ind w:left="720" w:right="7329"/>
        <w:jc w:val="both"/>
        <w:rPr>
          <w:color w:val="000000"/>
          <w:sz w:val="20"/>
          <w:szCs w:val="20"/>
        </w:rPr>
      </w:pPr>
    </w:p>
    <w:p w:rsidR="00AD3209" w:rsidRDefault="007007E4">
      <w:pPr>
        <w:widowControl w:val="0"/>
        <w:spacing w:after="0" w:line="240" w:lineRule="auto"/>
        <w:ind w:left="720" w:right="720"/>
        <w:jc w:val="both"/>
        <w:rPr>
          <w:color w:val="000000"/>
        </w:rPr>
      </w:pPr>
      <w:r>
        <w:rPr>
          <w:b/>
          <w:color w:val="000000"/>
          <w:u w:val="single"/>
        </w:rPr>
        <w:t>Funding</w:t>
      </w:r>
    </w:p>
    <w:p w:rsidR="00AD3209" w:rsidRDefault="007007E4">
      <w:pPr>
        <w:widowControl w:val="0"/>
        <w:spacing w:before="41" w:after="0" w:line="240" w:lineRule="auto"/>
        <w:ind w:left="720" w:right="655"/>
        <w:rPr>
          <w:color w:val="000000"/>
        </w:rPr>
      </w:pPr>
      <w:r>
        <w:rPr>
          <w:color w:val="000000"/>
        </w:rPr>
        <w:t xml:space="preserve">Program funds have grown to $1,900,000. The </w:t>
      </w:r>
      <w:r>
        <w:rPr>
          <w:color w:val="000000"/>
        </w:rPr>
        <w:t>program is funded by the Wasatch Front Regional Council, Salt Lake County, the Utah Department of Transportation, and the Utah Transit Authority. Our partners have an active voice in the program and are integral to the successful implementation of TLC proj</w:t>
      </w:r>
      <w:r>
        <w:rPr>
          <w:color w:val="000000"/>
        </w:rPr>
        <w:t>ects.</w:t>
      </w:r>
    </w:p>
    <w:p w:rsidR="00AD3209" w:rsidRDefault="00AD3209">
      <w:pPr>
        <w:widowControl w:val="0"/>
        <w:spacing w:before="10" w:after="0" w:line="100" w:lineRule="auto"/>
        <w:rPr>
          <w:color w:val="000000"/>
          <w:sz w:val="10"/>
          <w:szCs w:val="10"/>
        </w:rPr>
      </w:pPr>
    </w:p>
    <w:p w:rsidR="00AD3209" w:rsidRDefault="00AD3209">
      <w:pPr>
        <w:widowControl w:val="0"/>
        <w:spacing w:after="0" w:line="200" w:lineRule="auto"/>
        <w:rPr>
          <w:color w:val="000000"/>
          <w:sz w:val="20"/>
          <w:szCs w:val="20"/>
        </w:rPr>
      </w:pPr>
    </w:p>
    <w:p w:rsidR="00AD3209" w:rsidRDefault="007007E4">
      <w:pPr>
        <w:widowControl w:val="0"/>
        <w:spacing w:after="0" w:line="240" w:lineRule="auto"/>
        <w:ind w:left="720" w:right="630"/>
        <w:jc w:val="both"/>
        <w:rPr>
          <w:color w:val="000000"/>
        </w:rPr>
      </w:pPr>
      <w:r>
        <w:rPr>
          <w:b/>
          <w:color w:val="000000"/>
          <w:u w:val="single"/>
        </w:rPr>
        <w:t>Application Process</w:t>
      </w:r>
    </w:p>
    <w:p w:rsidR="00AD3209" w:rsidRDefault="007007E4">
      <w:pPr>
        <w:widowControl w:val="0"/>
        <w:spacing w:before="41" w:after="0"/>
        <w:ind w:left="720" w:right="655"/>
        <w:jc w:val="both"/>
        <w:rPr>
          <w:color w:val="000000"/>
        </w:rPr>
      </w:pPr>
      <w:r>
        <w:rPr>
          <w:color w:val="000000"/>
        </w:rPr>
        <w:t xml:space="preserve">A list of all the projects appropriately submitted will be distributed to members of the Councils of Governments (COGs) and then reviewed by a selection committee made up of program partners to determine program eligibility. </w:t>
      </w:r>
      <w:hyperlink r:id="rId56">
        <w:r>
          <w:rPr>
            <w:b/>
            <w:color w:val="1155CC"/>
            <w:u w:val="single"/>
          </w:rPr>
          <w:t>Letters of Intent</w:t>
        </w:r>
      </w:hyperlink>
      <w:r>
        <w:rPr>
          <w:b/>
          <w:color w:val="000000"/>
        </w:rPr>
        <w:t xml:space="preserve"> are due September </w:t>
      </w:r>
      <w:r>
        <w:rPr>
          <w:b/>
        </w:rPr>
        <w:t>29</w:t>
      </w:r>
      <w:r>
        <w:rPr>
          <w:b/>
          <w:color w:val="000000"/>
        </w:rPr>
        <w:t>, 202</w:t>
      </w:r>
      <w:r>
        <w:rPr>
          <w:b/>
        </w:rPr>
        <w:t>2</w:t>
      </w:r>
      <w:r>
        <w:rPr>
          <w:b/>
          <w:color w:val="000000"/>
        </w:rPr>
        <w:t xml:space="preserve">. </w:t>
      </w:r>
      <w:r>
        <w:rPr>
          <w:color w:val="000000"/>
        </w:rPr>
        <w:t>This letter should be signed by the chief elected official of the sponsoring commu</w:t>
      </w:r>
      <w:r>
        <w:rPr>
          <w:color w:val="000000"/>
        </w:rPr>
        <w:t xml:space="preserve">nity(ies). Sponsors of eligible projects will be notified and required to submit a new application for each project by </w:t>
      </w:r>
      <w:r>
        <w:rPr>
          <w:b/>
          <w:color w:val="000000"/>
        </w:rPr>
        <w:t xml:space="preserve">December </w:t>
      </w:r>
      <w:r>
        <w:rPr>
          <w:b/>
        </w:rPr>
        <w:t>8</w:t>
      </w:r>
      <w:r>
        <w:rPr>
          <w:b/>
          <w:color w:val="000000"/>
        </w:rPr>
        <w:t>, 202</w:t>
      </w:r>
      <w:r>
        <w:rPr>
          <w:b/>
        </w:rPr>
        <w:t>2</w:t>
      </w:r>
      <w:r>
        <w:rPr>
          <w:color w:val="000000"/>
        </w:rPr>
        <w:t xml:space="preserve">. </w:t>
      </w:r>
    </w:p>
    <w:p w:rsidR="00AD3209" w:rsidRDefault="00AD3209">
      <w:pPr>
        <w:widowControl w:val="0"/>
        <w:spacing w:before="9" w:after="0" w:line="260" w:lineRule="auto"/>
        <w:rPr>
          <w:color w:val="000000"/>
          <w:sz w:val="26"/>
          <w:szCs w:val="26"/>
        </w:rPr>
      </w:pPr>
    </w:p>
    <w:p w:rsidR="00AD3209" w:rsidRDefault="007007E4">
      <w:pPr>
        <w:widowControl w:val="0"/>
        <w:spacing w:after="0" w:line="240" w:lineRule="auto"/>
        <w:ind w:left="720" w:right="720"/>
        <w:jc w:val="both"/>
        <w:rPr>
          <w:color w:val="000000"/>
        </w:rPr>
      </w:pPr>
      <w:r>
        <w:rPr>
          <w:b/>
          <w:color w:val="212121"/>
          <w:u w:val="single"/>
        </w:rPr>
        <w:t>For more information</w:t>
      </w:r>
    </w:p>
    <w:p w:rsidR="00AD3209" w:rsidRDefault="007007E4">
      <w:pPr>
        <w:widowControl w:val="0"/>
        <w:spacing w:after="0" w:line="240" w:lineRule="auto"/>
        <w:ind w:left="720" w:right="656"/>
        <w:rPr>
          <w:color w:val="000000"/>
        </w:rPr>
      </w:pPr>
      <w:r>
        <w:rPr>
          <w:color w:val="000000"/>
        </w:rPr>
        <w:t xml:space="preserve">More details can be found on the program website </w:t>
      </w:r>
      <w:hyperlink r:id="rId57">
        <w:r>
          <w:rPr>
            <w:color w:val="1154CC"/>
            <w:u w:val="single"/>
          </w:rPr>
          <w:t>available here</w:t>
        </w:r>
      </w:hyperlink>
      <w:r>
        <w:rPr>
          <w:color w:val="000000"/>
        </w:rPr>
        <w:t xml:space="preserve">.  If you have any further questions or concerns regarding the program or project eligibility, please contact Megan Townsend, </w:t>
      </w:r>
      <w:hyperlink r:id="rId58">
        <w:r>
          <w:rPr>
            <w:color w:val="1155CC"/>
            <w:u w:val="single"/>
          </w:rPr>
          <w:t>mtownsend@wfrc.org</w:t>
        </w:r>
      </w:hyperlink>
      <w:r>
        <w:rPr>
          <w:color w:val="000000"/>
        </w:rPr>
        <w:t>.</w:t>
      </w:r>
    </w:p>
    <w:p w:rsidR="00AD3209" w:rsidRDefault="00AD3209">
      <w:pPr>
        <w:widowControl w:val="0"/>
        <w:spacing w:after="0" w:line="240" w:lineRule="auto"/>
        <w:ind w:left="720" w:right="656"/>
      </w:pPr>
    </w:p>
    <w:p w:rsidR="00AD3209" w:rsidRDefault="007007E4">
      <w:pPr>
        <w:widowControl w:val="0"/>
        <w:spacing w:after="0" w:line="240" w:lineRule="auto"/>
        <w:ind w:left="720" w:right="656"/>
      </w:pPr>
      <w:r>
        <w:br w:type="page"/>
      </w:r>
    </w:p>
    <w:p w:rsidR="00AD3209" w:rsidRDefault="00AD3209">
      <w:pPr>
        <w:widowControl w:val="0"/>
        <w:spacing w:after="0" w:line="461" w:lineRule="auto"/>
        <w:ind w:left="720" w:right="-20"/>
        <w:rPr>
          <w:b/>
          <w:color w:val="365F91"/>
          <w:sz w:val="40"/>
          <w:szCs w:val="40"/>
        </w:rPr>
      </w:pPr>
    </w:p>
    <w:p w:rsidR="00AD3209" w:rsidRDefault="007007E4">
      <w:pPr>
        <w:widowControl w:val="0"/>
        <w:spacing w:after="0" w:line="461" w:lineRule="auto"/>
        <w:ind w:left="720" w:right="-20"/>
        <w:rPr>
          <w:sz w:val="40"/>
          <w:szCs w:val="40"/>
        </w:rPr>
      </w:pPr>
      <w:r>
        <w:rPr>
          <w:b/>
          <w:color w:val="365F91"/>
          <w:sz w:val="40"/>
          <w:szCs w:val="40"/>
        </w:rPr>
        <w:t>Station Area Planning Technical Assistance</w:t>
      </w:r>
    </w:p>
    <w:p w:rsidR="00AD3209" w:rsidRDefault="00AD3209">
      <w:pPr>
        <w:widowControl w:val="0"/>
        <w:spacing w:after="0" w:line="200" w:lineRule="auto"/>
      </w:pPr>
    </w:p>
    <w:p w:rsidR="00AD3209" w:rsidRDefault="007007E4">
      <w:pPr>
        <w:widowControl w:val="0"/>
        <w:spacing w:before="16" w:after="0" w:line="240" w:lineRule="auto"/>
        <w:ind w:left="720" w:right="9585"/>
        <w:jc w:val="both"/>
      </w:pPr>
      <w:r>
        <w:rPr>
          <w:b/>
          <w:u w:val="single"/>
        </w:rPr>
        <w:t>Program Description</w:t>
      </w:r>
    </w:p>
    <w:p w:rsidR="00AD3209" w:rsidRDefault="007007E4">
      <w:pPr>
        <w:widowControl w:val="0"/>
        <w:spacing w:after="0" w:line="240" w:lineRule="auto"/>
        <w:ind w:left="720" w:right="653"/>
        <w:jc w:val="both"/>
      </w:pPr>
      <w:hyperlink r:id="rId59">
        <w:r>
          <w:rPr>
            <w:b/>
            <w:color w:val="1155CC"/>
            <w:u w:val="single"/>
          </w:rPr>
          <w:t>Station Area Plan Technical Assistance (SAP)</w:t>
        </w:r>
      </w:hyperlink>
      <w:r>
        <w:t xml:space="preserve"> is ava</w:t>
      </w:r>
      <w:r>
        <w:t>ilable through WFRC on a rolling basis from July 2022 to July 2024, in partnership with the Governor’s Office of Economic Opportunity, the Utah Transit Authority, and the Mountainland Association of Governments. As of 2022 cities with a fixed-guideway publ</w:t>
      </w:r>
      <w:r>
        <w:t>ic transit station (rail or BRT) must develop a Station Area Plan for that station and update its general plan and zoning to implement the Station Area Plan.</w:t>
      </w:r>
    </w:p>
    <w:p w:rsidR="00AD3209" w:rsidRDefault="00AD3209">
      <w:pPr>
        <w:widowControl w:val="0"/>
        <w:spacing w:before="7" w:after="0" w:line="100" w:lineRule="auto"/>
      </w:pPr>
    </w:p>
    <w:p w:rsidR="00AD3209" w:rsidRDefault="00AD3209">
      <w:pPr>
        <w:widowControl w:val="0"/>
        <w:spacing w:after="0" w:line="200" w:lineRule="auto"/>
      </w:pPr>
    </w:p>
    <w:p w:rsidR="00AD3209" w:rsidRDefault="007007E4">
      <w:pPr>
        <w:widowControl w:val="0"/>
        <w:spacing w:after="0" w:line="240" w:lineRule="auto"/>
        <w:ind w:left="720" w:right="9799"/>
        <w:jc w:val="both"/>
      </w:pPr>
      <w:r>
        <w:rPr>
          <w:b/>
          <w:u w:val="single"/>
        </w:rPr>
        <w:t>Program Eligibility</w:t>
      </w:r>
    </w:p>
    <w:p w:rsidR="00AD3209" w:rsidRDefault="007007E4">
      <w:pPr>
        <w:widowControl w:val="0"/>
        <w:spacing w:before="41" w:after="0" w:line="240" w:lineRule="auto"/>
        <w:ind w:left="720" w:right="720"/>
      </w:pPr>
      <w:r>
        <w:t xml:space="preserve">Cities impacted by the Station Area Plan provisions of HB462. </w:t>
      </w:r>
    </w:p>
    <w:p w:rsidR="00AD3209" w:rsidRDefault="00AD3209">
      <w:pPr>
        <w:widowControl w:val="0"/>
        <w:spacing w:before="41" w:after="0" w:line="240" w:lineRule="auto"/>
        <w:ind w:left="720" w:right="720"/>
      </w:pPr>
    </w:p>
    <w:p w:rsidR="00AD3209" w:rsidRDefault="007007E4">
      <w:pPr>
        <w:widowControl w:val="0"/>
        <w:spacing w:before="41" w:after="0" w:line="240" w:lineRule="auto"/>
        <w:ind w:left="720" w:right="720"/>
        <w:rPr>
          <w:b/>
          <w:u w:val="single"/>
        </w:rPr>
      </w:pPr>
      <w:r>
        <w:rPr>
          <w:b/>
          <w:u w:val="single"/>
        </w:rPr>
        <w:t>Program Goal</w:t>
      </w:r>
      <w:r>
        <w:rPr>
          <w:b/>
          <w:u w:val="single"/>
        </w:rPr>
        <w:t>s</w:t>
      </w:r>
    </w:p>
    <w:p w:rsidR="00AD3209" w:rsidRDefault="007007E4">
      <w:pPr>
        <w:widowControl w:val="0"/>
        <w:numPr>
          <w:ilvl w:val="0"/>
          <w:numId w:val="1"/>
        </w:numPr>
        <w:spacing w:before="41" w:after="0" w:line="240" w:lineRule="auto"/>
        <w:ind w:right="720"/>
      </w:pPr>
      <w:r>
        <w:t>Increase the availability and affordability of housing, including moderate income housing.</w:t>
      </w:r>
    </w:p>
    <w:p w:rsidR="00AD3209" w:rsidRDefault="007007E4">
      <w:pPr>
        <w:widowControl w:val="0"/>
        <w:numPr>
          <w:ilvl w:val="0"/>
          <w:numId w:val="1"/>
        </w:numPr>
        <w:spacing w:before="41" w:after="0" w:line="240" w:lineRule="auto"/>
        <w:ind w:right="720"/>
      </w:pPr>
      <w:r>
        <w:t>Promote sustainable environmental conditions.</w:t>
      </w:r>
    </w:p>
    <w:p w:rsidR="00AD3209" w:rsidRDefault="007007E4">
      <w:pPr>
        <w:widowControl w:val="0"/>
        <w:numPr>
          <w:ilvl w:val="0"/>
          <w:numId w:val="1"/>
        </w:numPr>
        <w:spacing w:before="41" w:after="0" w:line="240" w:lineRule="auto"/>
        <w:ind w:right="720"/>
      </w:pPr>
      <w:r>
        <w:t>Enhance access to opportunities.</w:t>
      </w:r>
    </w:p>
    <w:p w:rsidR="00AD3209" w:rsidRDefault="007007E4">
      <w:pPr>
        <w:widowControl w:val="0"/>
        <w:numPr>
          <w:ilvl w:val="0"/>
          <w:numId w:val="1"/>
        </w:numPr>
        <w:spacing w:before="41" w:after="0" w:line="240" w:lineRule="auto"/>
        <w:ind w:right="720"/>
      </w:pPr>
      <w:r>
        <w:t>Increase transportation choices and connections.</w:t>
      </w:r>
    </w:p>
    <w:p w:rsidR="00AD3209" w:rsidRDefault="007007E4">
      <w:pPr>
        <w:widowControl w:val="0"/>
        <w:spacing w:before="41" w:after="0" w:line="240" w:lineRule="auto"/>
        <w:ind w:left="1440" w:right="720"/>
      </w:pPr>
      <w:r>
        <w:t xml:space="preserve">  </w:t>
      </w:r>
    </w:p>
    <w:p w:rsidR="00AD3209" w:rsidRDefault="007007E4">
      <w:pPr>
        <w:widowControl w:val="0"/>
        <w:spacing w:after="0" w:line="240" w:lineRule="auto"/>
        <w:ind w:left="720" w:right="630"/>
        <w:jc w:val="both"/>
      </w:pPr>
      <w:r>
        <w:rPr>
          <w:b/>
          <w:u w:val="single"/>
        </w:rPr>
        <w:t>Eligible Activities</w:t>
      </w:r>
    </w:p>
    <w:p w:rsidR="00AD3209" w:rsidRDefault="007007E4">
      <w:pPr>
        <w:widowControl w:val="0"/>
        <w:spacing w:before="41" w:after="0" w:line="240" w:lineRule="auto"/>
        <w:ind w:left="720" w:right="720"/>
      </w:pPr>
      <w:r>
        <w:t xml:space="preserve">Projects must fulfill all or some of the SAP statutory requirements, help a city in preparing to do so, or implement any component of the city’s SAP implementation plan. SAPs must include all of the elements summarized </w:t>
      </w:r>
      <w:hyperlink r:id="rId60">
        <w:r>
          <w:rPr>
            <w:color w:val="1155CC"/>
            <w:u w:val="single"/>
          </w:rPr>
          <w:t>here</w:t>
        </w:r>
      </w:hyperlink>
      <w:r>
        <w:t>.</w:t>
      </w:r>
    </w:p>
    <w:p w:rsidR="00AD3209" w:rsidRDefault="00AD3209">
      <w:pPr>
        <w:widowControl w:val="0"/>
        <w:spacing w:before="41" w:after="0" w:line="240" w:lineRule="auto"/>
        <w:ind w:right="7329"/>
        <w:jc w:val="both"/>
      </w:pPr>
    </w:p>
    <w:p w:rsidR="00AD3209" w:rsidRDefault="007007E4">
      <w:pPr>
        <w:widowControl w:val="0"/>
        <w:spacing w:after="0" w:line="240" w:lineRule="auto"/>
        <w:ind w:left="720" w:right="720"/>
        <w:jc w:val="both"/>
      </w:pPr>
      <w:r>
        <w:rPr>
          <w:b/>
          <w:u w:val="single"/>
        </w:rPr>
        <w:t>Funding</w:t>
      </w:r>
    </w:p>
    <w:p w:rsidR="00AD3209" w:rsidRDefault="007007E4">
      <w:pPr>
        <w:widowControl w:val="0"/>
        <w:spacing w:before="41" w:after="0" w:line="240" w:lineRule="auto"/>
        <w:ind w:left="720" w:right="655"/>
      </w:pPr>
      <w:r>
        <w:t>WFRC and the Mountainland Association of Governments will work with the Utah Transit Authority and Governor’s OFfice of Economic Opportunity to program $5 million over two ye</w:t>
      </w:r>
      <w:r>
        <w:t xml:space="preserve">ars. </w:t>
      </w:r>
    </w:p>
    <w:p w:rsidR="00AD3209" w:rsidRDefault="00AD3209">
      <w:pPr>
        <w:widowControl w:val="0"/>
        <w:spacing w:before="10" w:after="0" w:line="100" w:lineRule="auto"/>
      </w:pPr>
    </w:p>
    <w:p w:rsidR="00AD3209" w:rsidRDefault="00AD3209">
      <w:pPr>
        <w:widowControl w:val="0"/>
        <w:spacing w:after="0" w:line="200" w:lineRule="auto"/>
      </w:pPr>
    </w:p>
    <w:p w:rsidR="00AD3209" w:rsidRDefault="007007E4">
      <w:pPr>
        <w:widowControl w:val="0"/>
        <w:spacing w:after="0" w:line="240" w:lineRule="auto"/>
        <w:ind w:left="720" w:right="630"/>
        <w:jc w:val="both"/>
      </w:pPr>
      <w:r>
        <w:rPr>
          <w:b/>
          <w:u w:val="single"/>
        </w:rPr>
        <w:t>Application Process</w:t>
      </w:r>
    </w:p>
    <w:p w:rsidR="00AD3209" w:rsidRDefault="007007E4">
      <w:pPr>
        <w:widowControl w:val="0"/>
        <w:spacing w:before="41" w:after="0"/>
        <w:ind w:left="720" w:right="655"/>
        <w:jc w:val="both"/>
      </w:pPr>
      <w:r>
        <w:t xml:space="preserve">Funds will be programmed on a rolling basis, with review periods roughly every two months. The </w:t>
      </w:r>
      <w:hyperlink r:id="rId61">
        <w:r>
          <w:rPr>
            <w:color w:val="1155CC"/>
            <w:u w:val="single"/>
          </w:rPr>
          <w:t>application</w:t>
        </w:r>
      </w:hyperlink>
      <w:r>
        <w:t xml:space="preserve"> will remain open until funds have run out. </w:t>
      </w:r>
    </w:p>
    <w:p w:rsidR="00AD3209" w:rsidRDefault="00AD3209">
      <w:pPr>
        <w:widowControl w:val="0"/>
        <w:spacing w:before="9" w:after="0" w:line="260" w:lineRule="auto"/>
      </w:pPr>
    </w:p>
    <w:p w:rsidR="00AD3209" w:rsidRDefault="007007E4">
      <w:pPr>
        <w:widowControl w:val="0"/>
        <w:spacing w:after="0" w:line="240" w:lineRule="auto"/>
        <w:ind w:left="720" w:right="720"/>
        <w:jc w:val="both"/>
      </w:pPr>
      <w:r>
        <w:rPr>
          <w:b/>
          <w:color w:val="212121"/>
          <w:u w:val="single"/>
        </w:rPr>
        <w:t>For more information</w:t>
      </w:r>
    </w:p>
    <w:p w:rsidR="00AD3209" w:rsidRDefault="007007E4">
      <w:pPr>
        <w:widowControl w:val="0"/>
        <w:spacing w:after="0" w:line="240" w:lineRule="auto"/>
        <w:ind w:left="720" w:right="656"/>
      </w:pPr>
      <w:r>
        <w:t xml:space="preserve">More details can be found on the program website </w:t>
      </w:r>
      <w:hyperlink r:id="rId62">
        <w:r>
          <w:rPr>
            <w:color w:val="1155CC"/>
            <w:u w:val="single"/>
          </w:rPr>
          <w:t>available here</w:t>
        </w:r>
      </w:hyperlink>
      <w:r>
        <w:t xml:space="preserve">.  If you have any further questions or concerns regarding the program or project eligibility, please contact Megan Townsend, </w:t>
      </w:r>
      <w:hyperlink r:id="rId63">
        <w:r>
          <w:rPr>
            <w:color w:val="1155CC"/>
            <w:u w:val="single"/>
          </w:rPr>
          <w:t>mtownsend@wfrc.org</w:t>
        </w:r>
      </w:hyperlink>
      <w:r>
        <w:t>.</w:t>
      </w:r>
    </w:p>
    <w:p w:rsidR="00AD3209" w:rsidRDefault="00AD3209">
      <w:pPr>
        <w:widowControl w:val="0"/>
        <w:spacing w:after="0" w:line="240" w:lineRule="auto"/>
        <w:ind w:left="720" w:right="656"/>
      </w:pPr>
    </w:p>
    <w:p w:rsidR="00AD3209" w:rsidRDefault="00AD3209">
      <w:pPr>
        <w:widowControl w:val="0"/>
        <w:spacing w:after="0" w:line="240" w:lineRule="auto"/>
        <w:ind w:left="720" w:right="656"/>
        <w:sectPr w:rsidR="00AD3209">
          <w:headerReference w:type="default" r:id="rId64"/>
          <w:footerReference w:type="default" r:id="rId65"/>
          <w:pgSz w:w="12240" w:h="15840"/>
          <w:pgMar w:top="620" w:right="0" w:bottom="800" w:left="0" w:header="0" w:footer="611" w:gutter="0"/>
          <w:cols w:space="720"/>
        </w:sectPr>
      </w:pPr>
    </w:p>
    <w:p w:rsidR="00AD3209" w:rsidRDefault="007007E4">
      <w:pPr>
        <w:widowControl w:val="0"/>
        <w:spacing w:before="24" w:after="0" w:line="240" w:lineRule="auto"/>
        <w:ind w:left="1278" w:right="5580"/>
        <w:jc w:val="center"/>
        <w:rPr>
          <w:b/>
          <w:color w:val="365F91"/>
          <w:sz w:val="40"/>
          <w:szCs w:val="40"/>
        </w:rPr>
      </w:pPr>
      <w:r>
        <w:rPr>
          <w:noProof/>
        </w:rPr>
        <w:lastRenderedPageBreak/>
        <w:drawing>
          <wp:anchor distT="114300" distB="114300" distL="114300" distR="114300" simplePos="0" relativeHeight="251664384" behindDoc="1" locked="0" layoutInCell="1" hidden="0" allowOverlap="1">
            <wp:simplePos x="0" y="0"/>
            <wp:positionH relativeFrom="column">
              <wp:posOffset>4514850</wp:posOffset>
            </wp:positionH>
            <wp:positionV relativeFrom="paragraph">
              <wp:posOffset>114300</wp:posOffset>
            </wp:positionV>
            <wp:extent cx="2690813" cy="1194933"/>
            <wp:effectExtent l="0" t="0" r="0" b="0"/>
            <wp:wrapNone/>
            <wp:docPr id="2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66"/>
                    <a:srcRect/>
                    <a:stretch>
                      <a:fillRect/>
                    </a:stretch>
                  </pic:blipFill>
                  <pic:spPr>
                    <a:xfrm>
                      <a:off x="0" y="0"/>
                      <a:ext cx="2690813" cy="1194933"/>
                    </a:xfrm>
                    <a:prstGeom prst="rect">
                      <a:avLst/>
                    </a:prstGeom>
                    <a:ln/>
                  </pic:spPr>
                </pic:pic>
              </a:graphicData>
            </a:graphic>
          </wp:anchor>
        </w:drawing>
      </w:r>
    </w:p>
    <w:p w:rsidR="00AD3209" w:rsidRDefault="007007E4">
      <w:pPr>
        <w:widowControl w:val="0"/>
        <w:spacing w:before="24" w:after="0" w:line="240" w:lineRule="auto"/>
        <w:ind w:left="1278" w:right="5580"/>
        <w:jc w:val="center"/>
        <w:rPr>
          <w:color w:val="000000"/>
          <w:sz w:val="40"/>
          <w:szCs w:val="40"/>
        </w:rPr>
      </w:pPr>
      <w:r>
        <w:rPr>
          <w:b/>
          <w:noProof/>
          <w:color w:val="365F91"/>
          <w:sz w:val="40"/>
          <w:szCs w:val="40"/>
        </w:rPr>
        <mc:AlternateContent>
          <mc:Choice Requires="wpg">
            <w:drawing>
              <wp:anchor distT="0" distB="0" distL="114300" distR="114300" simplePos="0" relativeHeight="251665408" behindDoc="1" locked="0" layoutInCell="1" hidden="0" allowOverlap="1">
                <wp:simplePos x="0" y="0"/>
                <wp:positionH relativeFrom="page">
                  <wp:posOffset>441325</wp:posOffset>
                </wp:positionH>
                <wp:positionV relativeFrom="page">
                  <wp:posOffset>419100</wp:posOffset>
                </wp:positionV>
                <wp:extent cx="3838575" cy="719138"/>
                <wp:effectExtent l="0" t="0" r="0" b="0"/>
                <wp:wrapNone/>
                <wp:docPr id="2" name="Group 2"/>
                <wp:cNvGraphicFramePr/>
                <a:graphic xmlns:a="http://schemas.openxmlformats.org/drawingml/2006/main">
                  <a:graphicData uri="http://schemas.microsoft.com/office/word/2010/wordprocessingGroup">
                    <wpg:wgp>
                      <wpg:cNvGrpSpPr/>
                      <wpg:grpSpPr>
                        <a:xfrm>
                          <a:off x="0" y="0"/>
                          <a:ext cx="3838575" cy="719138"/>
                          <a:chOff x="1909380" y="3170400"/>
                          <a:chExt cx="6873225" cy="1219200"/>
                        </a:xfrm>
                      </wpg:grpSpPr>
                      <wpg:grpSp>
                        <wpg:cNvPr id="20" name="Group 20"/>
                        <wpg:cNvGrpSpPr/>
                        <wpg:grpSpPr>
                          <a:xfrm>
                            <a:off x="1909380" y="3170400"/>
                            <a:ext cx="6873225" cy="1219200"/>
                            <a:chOff x="0" y="0"/>
                            <a:chExt cx="6873225" cy="1219200"/>
                          </a:xfrm>
                        </wpg:grpSpPr>
                        <wps:wsp>
                          <wps:cNvPr id="21" name="Rectangle 21"/>
                          <wps:cNvSpPr/>
                          <wps:spPr>
                            <a:xfrm>
                              <a:off x="0" y="0"/>
                              <a:ext cx="6873225" cy="1219200"/>
                            </a:xfrm>
                            <a:prstGeom prst="rect">
                              <a:avLst/>
                            </a:prstGeom>
                            <a:noFill/>
                            <a:ln>
                              <a:noFill/>
                            </a:ln>
                          </wps:spPr>
                          <wps:txbx>
                            <w:txbxContent>
                              <w:p w:rsidR="00AD3209" w:rsidRDefault="00AD3209">
                                <w:pPr>
                                  <w:spacing w:after="0" w:line="240" w:lineRule="auto"/>
                                  <w:textDirection w:val="btLr"/>
                                </w:pPr>
                              </w:p>
                            </w:txbxContent>
                          </wps:txbx>
                          <wps:bodyPr spcFirstLastPara="1" wrap="square" lIns="91425" tIns="91425" rIns="91425" bIns="91425" anchor="ctr" anchorCtr="0">
                            <a:noAutofit/>
                          </wps:bodyPr>
                        </wps:wsp>
                        <wps:wsp>
                          <wps:cNvPr id="22" name="Rectangle 22"/>
                          <wps:cNvSpPr/>
                          <wps:spPr>
                            <a:xfrm>
                              <a:off x="6350" y="172085"/>
                              <a:ext cx="4132579" cy="941704"/>
                            </a:xfrm>
                            <a:prstGeom prst="rect">
                              <a:avLst/>
                            </a:prstGeom>
                            <a:solidFill>
                              <a:srgbClr val="FFFFFF"/>
                            </a:solidFill>
                            <a:ln>
                              <a:noFill/>
                            </a:ln>
                          </wps:spPr>
                          <wps:txbx>
                            <w:txbxContent>
                              <w:p w:rsidR="00AD3209" w:rsidRDefault="00AD3209">
                                <w:pPr>
                                  <w:spacing w:after="0"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114300" distR="114300" hidden="0" layoutInCell="1" locked="0" relativeHeight="0" simplePos="0">
                <wp:simplePos x="0" y="0"/>
                <wp:positionH relativeFrom="page">
                  <wp:posOffset>441325</wp:posOffset>
                </wp:positionH>
                <wp:positionV relativeFrom="page">
                  <wp:posOffset>419100</wp:posOffset>
                </wp:positionV>
                <wp:extent cx="3838575" cy="719138"/>
                <wp:effectExtent b="0" l="0" r="0" t="0"/>
                <wp:wrapNone/>
                <wp:docPr id="2" name="image5.png"/>
                <a:graphic>
                  <a:graphicData uri="http://schemas.openxmlformats.org/drawingml/2006/picture">
                    <pic:pic>
                      <pic:nvPicPr>
                        <pic:cNvPr id="0" name="image5.png"/>
                        <pic:cNvPicPr preferRelativeResize="0"/>
                      </pic:nvPicPr>
                      <pic:blipFill>
                        <a:blip r:embed="rId67"/>
                        <a:srcRect/>
                        <a:stretch>
                          <a:fillRect/>
                        </a:stretch>
                      </pic:blipFill>
                      <pic:spPr>
                        <a:xfrm>
                          <a:off x="0" y="0"/>
                          <a:ext cx="3838575" cy="719138"/>
                        </a:xfrm>
                        <a:prstGeom prst="rect"/>
                        <a:ln/>
                      </pic:spPr>
                    </pic:pic>
                  </a:graphicData>
                </a:graphic>
              </wp:anchor>
            </w:drawing>
          </mc:Fallback>
        </mc:AlternateContent>
      </w:r>
      <w:r>
        <w:rPr>
          <w:b/>
          <w:color w:val="365F91"/>
          <w:sz w:val="40"/>
          <w:szCs w:val="40"/>
        </w:rPr>
        <w:t>Community Development Block</w:t>
      </w:r>
    </w:p>
    <w:p w:rsidR="00AD3209" w:rsidRDefault="007007E4">
      <w:pPr>
        <w:widowControl w:val="0"/>
        <w:spacing w:before="73" w:after="0" w:line="481" w:lineRule="auto"/>
        <w:ind w:left="2036" w:right="6335"/>
        <w:jc w:val="center"/>
        <w:rPr>
          <w:color w:val="000000"/>
          <w:sz w:val="40"/>
          <w:szCs w:val="40"/>
        </w:rPr>
      </w:pPr>
      <w:r>
        <w:rPr>
          <w:b/>
          <w:color w:val="365F91"/>
          <w:sz w:val="40"/>
          <w:szCs w:val="40"/>
        </w:rPr>
        <w:t>Grant Program (CDBG)</w:t>
      </w:r>
    </w:p>
    <w:p w:rsidR="00AD3209" w:rsidRDefault="00AD3209">
      <w:pPr>
        <w:widowControl w:val="0"/>
        <w:spacing w:before="7" w:after="0" w:line="100" w:lineRule="auto"/>
        <w:rPr>
          <w:color w:val="000000"/>
          <w:sz w:val="10"/>
          <w:szCs w:val="10"/>
        </w:rPr>
      </w:pPr>
    </w:p>
    <w:p w:rsidR="00AD3209" w:rsidRDefault="00AD3209">
      <w:pPr>
        <w:widowControl w:val="0"/>
        <w:spacing w:after="0" w:line="200" w:lineRule="auto"/>
        <w:rPr>
          <w:color w:val="000000"/>
          <w:sz w:val="20"/>
          <w:szCs w:val="20"/>
        </w:rPr>
      </w:pPr>
    </w:p>
    <w:p w:rsidR="00AD3209" w:rsidRDefault="00AD3209">
      <w:pPr>
        <w:widowControl w:val="0"/>
        <w:spacing w:after="0" w:line="200" w:lineRule="auto"/>
        <w:rPr>
          <w:color w:val="000000"/>
          <w:sz w:val="20"/>
          <w:szCs w:val="20"/>
        </w:rPr>
      </w:pPr>
    </w:p>
    <w:p w:rsidR="00AD3209" w:rsidRDefault="007007E4">
      <w:pPr>
        <w:widowControl w:val="0"/>
        <w:spacing w:before="16" w:after="0" w:line="240" w:lineRule="auto"/>
        <w:ind w:left="720" w:right="9585"/>
        <w:jc w:val="both"/>
        <w:rPr>
          <w:color w:val="000000"/>
        </w:rPr>
      </w:pPr>
      <w:r>
        <w:rPr>
          <w:b/>
          <w:color w:val="000000"/>
          <w:u w:val="single"/>
        </w:rPr>
        <w:t>Program Description</w:t>
      </w:r>
    </w:p>
    <w:p w:rsidR="00AD3209" w:rsidRDefault="007007E4">
      <w:pPr>
        <w:widowControl w:val="0"/>
        <w:spacing w:before="41" w:after="0"/>
        <w:ind w:left="720" w:right="659"/>
        <w:jc w:val="both"/>
        <w:rPr>
          <w:color w:val="000000"/>
        </w:rPr>
      </w:pPr>
      <w:r>
        <w:rPr>
          <w:color w:val="000000"/>
        </w:rPr>
        <w:t xml:space="preserve">CDBG is funded under the Housing and Community Development Act of 1974 by the U.S. Department of Housing and Urban Development. The Governor elects to administer the program and delegates the administration to the Department of Workforce Services, Housing </w:t>
      </w:r>
      <w:r>
        <w:rPr>
          <w:color w:val="000000"/>
        </w:rPr>
        <w:t>and Community Development Division. The purpose of the CDBG program is to assist in developing viable urban communities by providing decent housing, a suitable living environment, and expanding economic opportunities, principally for persons of low and mod</w:t>
      </w:r>
      <w:r>
        <w:rPr>
          <w:color w:val="000000"/>
        </w:rPr>
        <w:t>erate income.</w:t>
      </w:r>
    </w:p>
    <w:p w:rsidR="00AD3209" w:rsidRDefault="00AD3209">
      <w:pPr>
        <w:widowControl w:val="0"/>
        <w:spacing w:before="8" w:after="0" w:line="100" w:lineRule="auto"/>
        <w:rPr>
          <w:color w:val="000000"/>
          <w:sz w:val="10"/>
          <w:szCs w:val="10"/>
        </w:rPr>
      </w:pPr>
    </w:p>
    <w:p w:rsidR="00AD3209" w:rsidRDefault="00AD3209">
      <w:pPr>
        <w:widowControl w:val="0"/>
        <w:spacing w:after="0" w:line="200" w:lineRule="auto"/>
        <w:rPr>
          <w:color w:val="000000"/>
          <w:sz w:val="20"/>
          <w:szCs w:val="20"/>
        </w:rPr>
      </w:pPr>
    </w:p>
    <w:p w:rsidR="00AD3209" w:rsidRDefault="007007E4">
      <w:pPr>
        <w:widowControl w:val="0"/>
        <w:spacing w:after="0" w:line="240" w:lineRule="auto"/>
        <w:ind w:left="720" w:right="10632"/>
        <w:jc w:val="both"/>
        <w:rPr>
          <w:color w:val="000000"/>
        </w:rPr>
      </w:pPr>
      <w:r>
        <w:rPr>
          <w:b/>
          <w:color w:val="000000"/>
          <w:u w:val="single"/>
        </w:rPr>
        <w:t>Eligibility</w:t>
      </w:r>
    </w:p>
    <w:p w:rsidR="00AD3209" w:rsidRDefault="007007E4">
      <w:pPr>
        <w:widowControl w:val="0"/>
        <w:spacing w:before="41" w:after="0" w:line="275" w:lineRule="auto"/>
        <w:ind w:left="720" w:right="654"/>
        <w:jc w:val="both"/>
        <w:rPr>
          <w:color w:val="000000"/>
        </w:rPr>
      </w:pPr>
      <w:r>
        <w:rPr>
          <w:color w:val="000000"/>
        </w:rPr>
        <w:t>Cities with a population of 50,000 or less and counties with a population of 200,000 or less qualify for the small cities program. Eligible entities in the Wasatch Front region include Morgan, Tooele, and Weber Counties and the cities within (excluding Ogd</w:t>
      </w:r>
      <w:r>
        <w:rPr>
          <w:color w:val="000000"/>
        </w:rPr>
        <w:t xml:space="preserve">en City).  </w:t>
      </w:r>
      <w:r>
        <w:rPr>
          <w:color w:val="222222"/>
          <w:highlight w:val="white"/>
        </w:rPr>
        <w:t>Nonprofits and Special Service Districts in these counties are eligible </w:t>
      </w:r>
      <w:r>
        <w:rPr>
          <w:b/>
          <w:color w:val="222222"/>
          <w:highlight w:val="white"/>
        </w:rPr>
        <w:t>for up to 15% of WFRC's allocation,</w:t>
      </w:r>
      <w:r>
        <w:rPr>
          <w:color w:val="222222"/>
          <w:highlight w:val="white"/>
        </w:rPr>
        <w:t> provided they are sponsored by an eligible city or county.</w:t>
      </w:r>
    </w:p>
    <w:p w:rsidR="00AD3209" w:rsidRDefault="00AD3209">
      <w:pPr>
        <w:widowControl w:val="0"/>
        <w:spacing w:before="8" w:after="0" w:line="100" w:lineRule="auto"/>
        <w:rPr>
          <w:color w:val="000000"/>
          <w:sz w:val="10"/>
          <w:szCs w:val="10"/>
        </w:rPr>
      </w:pPr>
    </w:p>
    <w:p w:rsidR="00AD3209" w:rsidRDefault="00AD3209">
      <w:pPr>
        <w:widowControl w:val="0"/>
        <w:spacing w:after="0" w:line="200" w:lineRule="auto"/>
        <w:rPr>
          <w:color w:val="000000"/>
          <w:sz w:val="20"/>
          <w:szCs w:val="20"/>
        </w:rPr>
      </w:pPr>
    </w:p>
    <w:p w:rsidR="00AD3209" w:rsidRDefault="007007E4">
      <w:pPr>
        <w:widowControl w:val="0"/>
        <w:spacing w:after="0" w:line="240" w:lineRule="auto"/>
        <w:ind w:left="720" w:right="9919"/>
        <w:jc w:val="both"/>
        <w:rPr>
          <w:color w:val="000000"/>
        </w:rPr>
      </w:pPr>
      <w:r>
        <w:rPr>
          <w:b/>
          <w:color w:val="000000"/>
          <w:u w:val="single"/>
        </w:rPr>
        <w:t>Eligible Activities</w:t>
      </w:r>
    </w:p>
    <w:p w:rsidR="00AD3209" w:rsidRDefault="007007E4">
      <w:pPr>
        <w:widowControl w:val="0"/>
        <w:spacing w:before="41" w:after="0"/>
        <w:ind w:left="720" w:right="657"/>
        <w:jc w:val="both"/>
        <w:rPr>
          <w:color w:val="000000"/>
        </w:rPr>
      </w:pPr>
      <w:r>
        <w:rPr>
          <w:color w:val="000000"/>
        </w:rPr>
        <w:t>The following activities are eligible for funding: publi</w:t>
      </w:r>
      <w:r>
        <w:rPr>
          <w:color w:val="000000"/>
        </w:rPr>
        <w:t>c services; planning; assistance to not-for-profits for community development activities; removal of barriers that restrict the accessibility of the elderly or handicapped; property acquisition for public purposes; construction or reconstruction of streets</w:t>
      </w:r>
      <w:r>
        <w:rPr>
          <w:color w:val="000000"/>
        </w:rPr>
        <w:t>, water and sewer facilities, construction or reconstruction of parks and other public works in low income areas; demolition of buildings and improvements; rehabilitation of public and private buildings; and slum and blight removal.</w:t>
      </w:r>
    </w:p>
    <w:p w:rsidR="00AD3209" w:rsidRDefault="00AD3209">
      <w:pPr>
        <w:widowControl w:val="0"/>
        <w:spacing w:before="8" w:after="0" w:line="100" w:lineRule="auto"/>
        <w:rPr>
          <w:color w:val="000000"/>
          <w:sz w:val="10"/>
          <w:szCs w:val="10"/>
        </w:rPr>
      </w:pPr>
    </w:p>
    <w:p w:rsidR="00AD3209" w:rsidRDefault="00AD3209">
      <w:pPr>
        <w:widowControl w:val="0"/>
        <w:spacing w:after="0" w:line="200" w:lineRule="auto"/>
        <w:rPr>
          <w:color w:val="000000"/>
          <w:sz w:val="20"/>
          <w:szCs w:val="20"/>
        </w:rPr>
      </w:pPr>
    </w:p>
    <w:p w:rsidR="00AD3209" w:rsidRDefault="007007E4">
      <w:pPr>
        <w:widowControl w:val="0"/>
        <w:spacing w:after="0" w:line="240" w:lineRule="auto"/>
        <w:ind w:left="720" w:right="10736"/>
        <w:jc w:val="both"/>
        <w:rPr>
          <w:color w:val="000000"/>
        </w:rPr>
      </w:pPr>
      <w:r>
        <w:rPr>
          <w:b/>
          <w:color w:val="000000"/>
          <w:u w:val="single"/>
        </w:rPr>
        <w:t>Funding</w:t>
      </w:r>
    </w:p>
    <w:p w:rsidR="00AD3209" w:rsidRDefault="007007E4">
      <w:pPr>
        <w:widowControl w:val="0"/>
        <w:spacing w:before="41" w:after="0" w:line="275" w:lineRule="auto"/>
        <w:ind w:left="720" w:right="655"/>
        <w:jc w:val="both"/>
        <w:rPr>
          <w:color w:val="000000"/>
        </w:rPr>
      </w:pPr>
      <w:r>
        <w:rPr>
          <w:color w:val="000000"/>
        </w:rPr>
        <w:t>The Wasatch Front region received approximately $</w:t>
      </w:r>
      <w:r>
        <w:t>1,038</w:t>
      </w:r>
      <w:r>
        <w:rPr>
          <w:color w:val="000000"/>
        </w:rPr>
        <w:t>,000 of CDBG funds in fiscal year 202</w:t>
      </w:r>
      <w:r>
        <w:t>2</w:t>
      </w:r>
      <w:r>
        <w:rPr>
          <w:color w:val="000000"/>
        </w:rPr>
        <w:t xml:space="preserve">. The program is a competitive grant program; all applicants are required to submit an application for funding. </w:t>
      </w:r>
      <w:r>
        <w:rPr>
          <w:b/>
          <w:color w:val="000000"/>
        </w:rPr>
        <w:t>All interested persons wishing to make an applicatio</w:t>
      </w:r>
      <w:r>
        <w:rPr>
          <w:b/>
          <w:color w:val="000000"/>
        </w:rPr>
        <w:t>n must attend the region’s How-to-Apply workshop on October 20, 202</w:t>
      </w:r>
      <w:r>
        <w:rPr>
          <w:b/>
        </w:rPr>
        <w:t>2</w:t>
      </w:r>
      <w:r>
        <w:rPr>
          <w:b/>
          <w:color w:val="000000"/>
        </w:rPr>
        <w:t xml:space="preserve"> at 3:00 pm (likely virtually)</w:t>
      </w:r>
      <w:r>
        <w:rPr>
          <w:color w:val="000000"/>
        </w:rPr>
        <w:t>. In Utah, project prioritization is delegated to the local elected officials that make up a Regional Review Committee (RRC). This local rating and ranking pr</w:t>
      </w:r>
      <w:r>
        <w:rPr>
          <w:color w:val="000000"/>
        </w:rPr>
        <w:t>ocess provides for maximum involvement of the public and local governments. In the Wasatch Front, the RRC is made up of two members from each county, nominated by their respective County Council of Governments. The RRC determines project eligibility, proje</w:t>
      </w:r>
      <w:r>
        <w:rPr>
          <w:color w:val="000000"/>
        </w:rPr>
        <w:t>ct ranking, and funding recommendations to the Utah Division of Housing and Community Development.</w:t>
      </w:r>
    </w:p>
    <w:p w:rsidR="00AD3209" w:rsidRDefault="00AD3209">
      <w:pPr>
        <w:widowControl w:val="0"/>
        <w:spacing w:before="1" w:after="0" w:line="110" w:lineRule="auto"/>
        <w:rPr>
          <w:color w:val="000000"/>
          <w:sz w:val="11"/>
          <w:szCs w:val="11"/>
        </w:rPr>
      </w:pPr>
    </w:p>
    <w:p w:rsidR="00AD3209" w:rsidRDefault="00AD3209">
      <w:pPr>
        <w:widowControl w:val="0"/>
        <w:spacing w:before="1" w:after="0" w:line="150" w:lineRule="auto"/>
        <w:rPr>
          <w:color w:val="000000"/>
          <w:sz w:val="15"/>
          <w:szCs w:val="15"/>
        </w:rPr>
      </w:pPr>
    </w:p>
    <w:p w:rsidR="00AD3209" w:rsidRDefault="00AD3209">
      <w:pPr>
        <w:widowControl w:val="0"/>
        <w:spacing w:after="0" w:line="200" w:lineRule="auto"/>
        <w:rPr>
          <w:color w:val="000000"/>
          <w:sz w:val="20"/>
          <w:szCs w:val="20"/>
        </w:rPr>
      </w:pPr>
    </w:p>
    <w:p w:rsidR="00AD3209" w:rsidRDefault="007007E4">
      <w:pPr>
        <w:widowControl w:val="0"/>
        <w:spacing w:after="0" w:line="240" w:lineRule="auto"/>
        <w:ind w:left="720" w:right="9471"/>
        <w:jc w:val="both"/>
        <w:rPr>
          <w:color w:val="000000"/>
        </w:rPr>
      </w:pPr>
      <w:r>
        <w:rPr>
          <w:b/>
          <w:color w:val="000000"/>
          <w:u w:val="single"/>
        </w:rPr>
        <w:t>For More Information</w:t>
      </w:r>
    </w:p>
    <w:p w:rsidR="00AD3209" w:rsidRDefault="007007E4">
      <w:pPr>
        <w:widowControl w:val="0"/>
        <w:spacing w:before="38" w:after="0" w:line="240" w:lineRule="auto"/>
        <w:ind w:left="720" w:right="630"/>
        <w:jc w:val="both"/>
      </w:pPr>
      <w:r>
        <w:rPr>
          <w:color w:val="000000"/>
        </w:rPr>
        <w:t xml:space="preserve">Christy Dahlberg | 801-363-4250 x5005 | </w:t>
      </w:r>
      <w:hyperlink r:id="rId68">
        <w:r>
          <w:rPr>
            <w:color w:val="0000FF"/>
            <w:u w:val="single"/>
          </w:rPr>
          <w:t>christy@wfrc.org</w:t>
        </w:r>
      </w:hyperlink>
    </w:p>
    <w:p w:rsidR="00AD3209" w:rsidRDefault="00AD3209">
      <w:pPr>
        <w:widowControl w:val="0"/>
        <w:spacing w:before="38" w:after="0" w:line="240" w:lineRule="auto"/>
        <w:ind w:left="720" w:right="630"/>
        <w:jc w:val="both"/>
      </w:pPr>
    </w:p>
    <w:p w:rsidR="00AD3209" w:rsidRDefault="00AD3209">
      <w:pPr>
        <w:widowControl w:val="0"/>
        <w:spacing w:before="38" w:after="0" w:line="240" w:lineRule="auto"/>
        <w:ind w:left="720" w:right="630"/>
        <w:jc w:val="both"/>
      </w:pPr>
    </w:p>
    <w:p w:rsidR="00AD3209" w:rsidRDefault="00AD3209">
      <w:pPr>
        <w:widowControl w:val="0"/>
        <w:spacing w:before="38" w:after="0" w:line="240" w:lineRule="auto"/>
        <w:ind w:left="720" w:right="630"/>
        <w:jc w:val="both"/>
      </w:pPr>
    </w:p>
    <w:p w:rsidR="00AD3209" w:rsidRDefault="00AD3209">
      <w:pPr>
        <w:widowControl w:val="0"/>
        <w:spacing w:before="38" w:after="0" w:line="240" w:lineRule="auto"/>
        <w:ind w:left="720" w:right="630"/>
        <w:jc w:val="both"/>
      </w:pPr>
    </w:p>
    <w:p w:rsidR="00AD3209" w:rsidRDefault="00AD3209">
      <w:pPr>
        <w:widowControl w:val="0"/>
        <w:spacing w:before="38" w:after="0" w:line="240" w:lineRule="auto"/>
        <w:ind w:left="720" w:right="630"/>
        <w:jc w:val="both"/>
      </w:pPr>
    </w:p>
    <w:p w:rsidR="00AD3209" w:rsidRDefault="00AD3209">
      <w:pPr>
        <w:widowControl w:val="0"/>
        <w:spacing w:before="38" w:after="0" w:line="240" w:lineRule="auto"/>
        <w:ind w:left="720" w:right="630"/>
        <w:jc w:val="both"/>
      </w:pPr>
    </w:p>
    <w:p w:rsidR="00AD3209" w:rsidRDefault="00AD3209">
      <w:pPr>
        <w:widowControl w:val="0"/>
        <w:spacing w:after="0" w:line="461" w:lineRule="auto"/>
        <w:ind w:left="720" w:right="-20"/>
        <w:rPr>
          <w:b/>
          <w:color w:val="365F91"/>
          <w:sz w:val="40"/>
          <w:szCs w:val="40"/>
        </w:rPr>
      </w:pPr>
    </w:p>
    <w:p w:rsidR="00AD3209" w:rsidRDefault="007007E4">
      <w:pPr>
        <w:widowControl w:val="0"/>
        <w:spacing w:after="0" w:line="461" w:lineRule="auto"/>
        <w:ind w:left="720" w:right="-20"/>
        <w:rPr>
          <w:b/>
          <w:color w:val="365F91"/>
          <w:sz w:val="40"/>
          <w:szCs w:val="40"/>
        </w:rPr>
      </w:pPr>
      <w:r>
        <w:rPr>
          <w:b/>
          <w:color w:val="365F91"/>
          <w:sz w:val="40"/>
          <w:szCs w:val="40"/>
        </w:rPr>
        <w:t>Community Impact Board</w:t>
      </w:r>
    </w:p>
    <w:p w:rsidR="00AD3209" w:rsidRDefault="007007E4">
      <w:pPr>
        <w:widowControl w:val="0"/>
        <w:spacing w:before="73" w:after="0" w:line="240" w:lineRule="auto"/>
        <w:ind w:right="6904"/>
      </w:pPr>
      <w:r>
        <w:rPr>
          <w:b/>
          <w:color w:val="365F91"/>
          <w:sz w:val="40"/>
          <w:szCs w:val="40"/>
        </w:rPr>
        <w:tab/>
      </w:r>
      <w:r>
        <w:rPr>
          <w:b/>
          <w:u w:val="single"/>
        </w:rPr>
        <w:t>Program Description</w:t>
      </w:r>
    </w:p>
    <w:p w:rsidR="00AD3209" w:rsidRDefault="007007E4">
      <w:pPr>
        <w:widowControl w:val="0"/>
        <w:spacing w:before="41" w:after="0"/>
        <w:ind w:left="720" w:right="659"/>
        <w:jc w:val="both"/>
      </w:pPr>
      <w:r>
        <w:t>CIB is a federal program that provides low interest loan and/or grant opportunities to communities that have federally leased land used for mineral extraction. The funding opportunities are to mitigate impacts due to the loss of tax revenue on these federa</w:t>
      </w:r>
      <w:r>
        <w:t>lly leased lands.</w:t>
      </w:r>
    </w:p>
    <w:p w:rsidR="00AD3209" w:rsidRDefault="00AD3209">
      <w:pPr>
        <w:widowControl w:val="0"/>
        <w:spacing w:before="8" w:after="0" w:line="100" w:lineRule="auto"/>
        <w:rPr>
          <w:sz w:val="10"/>
          <w:szCs w:val="10"/>
        </w:rPr>
      </w:pPr>
    </w:p>
    <w:p w:rsidR="00AD3209" w:rsidRDefault="00AD3209">
      <w:pPr>
        <w:widowControl w:val="0"/>
        <w:spacing w:after="0" w:line="200" w:lineRule="auto"/>
        <w:rPr>
          <w:sz w:val="20"/>
          <w:szCs w:val="20"/>
        </w:rPr>
      </w:pPr>
    </w:p>
    <w:p w:rsidR="00AD3209" w:rsidRDefault="007007E4">
      <w:pPr>
        <w:widowControl w:val="0"/>
        <w:spacing w:after="0" w:line="240" w:lineRule="auto"/>
        <w:ind w:left="720" w:right="10632"/>
        <w:jc w:val="both"/>
      </w:pPr>
      <w:r>
        <w:rPr>
          <w:b/>
          <w:u w:val="single"/>
        </w:rPr>
        <w:t>Eligibility</w:t>
      </w:r>
    </w:p>
    <w:p w:rsidR="00AD3209" w:rsidRDefault="007007E4">
      <w:pPr>
        <w:widowControl w:val="0"/>
        <w:spacing w:before="41" w:after="0" w:line="275" w:lineRule="auto"/>
        <w:ind w:left="720" w:right="654"/>
        <w:jc w:val="both"/>
      </w:pPr>
      <w:r>
        <w:t>Communities with federally leased land used for mineral extraction. These communities are required to submit a capital improvement plan (CIP) each year outlining their funding priorities for the upcoming year and the next fi</w:t>
      </w:r>
      <w:r>
        <w:t xml:space="preserve">ve years. </w:t>
      </w:r>
    </w:p>
    <w:p w:rsidR="00AD3209" w:rsidRDefault="00AD3209">
      <w:pPr>
        <w:widowControl w:val="0"/>
        <w:spacing w:before="8" w:after="0" w:line="100" w:lineRule="auto"/>
        <w:rPr>
          <w:sz w:val="10"/>
          <w:szCs w:val="10"/>
        </w:rPr>
      </w:pPr>
    </w:p>
    <w:p w:rsidR="00AD3209" w:rsidRDefault="00AD3209">
      <w:pPr>
        <w:widowControl w:val="0"/>
        <w:spacing w:after="0" w:line="200" w:lineRule="auto"/>
        <w:rPr>
          <w:sz w:val="20"/>
          <w:szCs w:val="20"/>
        </w:rPr>
      </w:pPr>
    </w:p>
    <w:p w:rsidR="00AD3209" w:rsidRDefault="007007E4">
      <w:pPr>
        <w:widowControl w:val="0"/>
        <w:spacing w:after="0" w:line="240" w:lineRule="auto"/>
        <w:ind w:left="720" w:right="9919"/>
        <w:jc w:val="both"/>
      </w:pPr>
      <w:r>
        <w:rPr>
          <w:b/>
          <w:u w:val="single"/>
        </w:rPr>
        <w:t>Eligible Activities</w:t>
      </w:r>
    </w:p>
    <w:p w:rsidR="00AD3209" w:rsidRDefault="007007E4">
      <w:pPr>
        <w:widowControl w:val="0"/>
        <w:spacing w:before="41" w:after="0"/>
        <w:ind w:left="720" w:right="657"/>
        <w:jc w:val="both"/>
      </w:pPr>
      <w:r>
        <w:t>The following activities are eligible for funding: planning; construction or reconstruction of streets, water and sewer facilities, construction or reconstruction of parks and other public works; demolition of buildings and</w:t>
      </w:r>
      <w:r>
        <w:t xml:space="preserve"> improvements; and rehabilitation of public buildings.</w:t>
      </w:r>
    </w:p>
    <w:p w:rsidR="00AD3209" w:rsidRDefault="00AD3209">
      <w:pPr>
        <w:widowControl w:val="0"/>
        <w:spacing w:before="8" w:after="0" w:line="100" w:lineRule="auto"/>
        <w:rPr>
          <w:sz w:val="10"/>
          <w:szCs w:val="10"/>
        </w:rPr>
      </w:pPr>
    </w:p>
    <w:p w:rsidR="00AD3209" w:rsidRDefault="00AD3209">
      <w:pPr>
        <w:widowControl w:val="0"/>
        <w:spacing w:after="0" w:line="200" w:lineRule="auto"/>
        <w:rPr>
          <w:sz w:val="20"/>
          <w:szCs w:val="20"/>
        </w:rPr>
      </w:pPr>
    </w:p>
    <w:p w:rsidR="00AD3209" w:rsidRDefault="007007E4">
      <w:pPr>
        <w:widowControl w:val="0"/>
        <w:spacing w:after="0" w:line="240" w:lineRule="auto"/>
        <w:ind w:left="720" w:right="10736"/>
        <w:jc w:val="both"/>
      </w:pPr>
      <w:r>
        <w:rPr>
          <w:b/>
          <w:u w:val="single"/>
        </w:rPr>
        <w:t>Funding</w:t>
      </w:r>
    </w:p>
    <w:p w:rsidR="00AD3209" w:rsidRDefault="007007E4">
      <w:pPr>
        <w:widowControl w:val="0"/>
        <w:spacing w:before="41" w:after="0" w:line="275" w:lineRule="auto"/>
        <w:ind w:left="720" w:right="655"/>
        <w:jc w:val="both"/>
      </w:pPr>
      <w:r>
        <w:t>The Wasatch Front region is not very competitive for grants due to the small amount of federally leased land used for mineral extraction, but more so for low interest loans. If a community (Tooele County and Morgan County) have their CIP submitted each spr</w:t>
      </w:r>
      <w:r>
        <w:t xml:space="preserve">ing, the Board meets every February, June, and October to review applications. </w:t>
      </w:r>
    </w:p>
    <w:p w:rsidR="00AD3209" w:rsidRDefault="00AD3209">
      <w:pPr>
        <w:widowControl w:val="0"/>
        <w:spacing w:before="41" w:after="0" w:line="275" w:lineRule="auto"/>
        <w:ind w:left="720" w:right="655"/>
        <w:jc w:val="both"/>
      </w:pPr>
    </w:p>
    <w:p w:rsidR="00AD3209" w:rsidRDefault="007007E4">
      <w:pPr>
        <w:widowControl w:val="0"/>
        <w:spacing w:after="0"/>
        <w:ind w:left="720" w:right="9480"/>
        <w:jc w:val="both"/>
        <w:rPr>
          <w:b/>
          <w:u w:val="single"/>
        </w:rPr>
      </w:pPr>
      <w:r>
        <w:rPr>
          <w:b/>
          <w:u w:val="single"/>
        </w:rPr>
        <w:t>For More Information</w:t>
      </w:r>
    </w:p>
    <w:p w:rsidR="00AD3209" w:rsidRDefault="007007E4">
      <w:pPr>
        <w:widowControl w:val="0"/>
        <w:spacing w:before="40" w:after="0"/>
        <w:ind w:left="720" w:right="640"/>
        <w:jc w:val="both"/>
        <w:rPr>
          <w:sz w:val="40"/>
          <w:szCs w:val="40"/>
        </w:rPr>
      </w:pPr>
      <w:r>
        <w:t xml:space="preserve">Christy Dahlberg | 801-363-4250 x5005 | </w:t>
      </w:r>
      <w:hyperlink r:id="rId69">
        <w:r>
          <w:rPr>
            <w:color w:val="1155CC"/>
            <w:u w:val="single"/>
          </w:rPr>
          <w:t>christy@wfrc.org</w:t>
        </w:r>
      </w:hyperlink>
      <w:r>
        <w:br w:type="page"/>
      </w:r>
    </w:p>
    <w:p w:rsidR="00AD3209" w:rsidRDefault="007007E4">
      <w:pPr>
        <w:widowControl w:val="0"/>
        <w:spacing w:before="40" w:after="0"/>
        <w:ind w:left="720" w:right="640"/>
        <w:jc w:val="both"/>
        <w:rPr>
          <w:sz w:val="40"/>
          <w:szCs w:val="40"/>
        </w:rPr>
      </w:pPr>
      <w:r>
        <w:rPr>
          <w:noProof/>
        </w:rPr>
        <w:lastRenderedPageBreak/>
        <w:drawing>
          <wp:anchor distT="114300" distB="114300" distL="114300" distR="114300" simplePos="0" relativeHeight="251666432" behindDoc="1" locked="0" layoutInCell="1" hidden="0" allowOverlap="1">
            <wp:simplePos x="0" y="0"/>
            <wp:positionH relativeFrom="column">
              <wp:posOffset>3629025</wp:posOffset>
            </wp:positionH>
            <wp:positionV relativeFrom="paragraph">
              <wp:posOffset>318467</wp:posOffset>
            </wp:positionV>
            <wp:extent cx="3700463" cy="594069"/>
            <wp:effectExtent l="0" t="0" r="0" b="0"/>
            <wp:wrapNone/>
            <wp:docPr id="5"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70"/>
                    <a:srcRect/>
                    <a:stretch>
                      <a:fillRect/>
                    </a:stretch>
                  </pic:blipFill>
                  <pic:spPr>
                    <a:xfrm>
                      <a:off x="0" y="0"/>
                      <a:ext cx="3700463" cy="594069"/>
                    </a:xfrm>
                    <a:prstGeom prst="rect">
                      <a:avLst/>
                    </a:prstGeom>
                    <a:ln/>
                  </pic:spPr>
                </pic:pic>
              </a:graphicData>
            </a:graphic>
          </wp:anchor>
        </w:drawing>
      </w:r>
    </w:p>
    <w:p w:rsidR="00AD3209" w:rsidRDefault="007007E4">
      <w:pPr>
        <w:widowControl w:val="0"/>
        <w:spacing w:after="0" w:line="240" w:lineRule="auto"/>
        <w:ind w:left="720" w:right="6620"/>
        <w:jc w:val="center"/>
        <w:rPr>
          <w:b/>
          <w:color w:val="365F91"/>
          <w:sz w:val="40"/>
          <w:szCs w:val="40"/>
        </w:rPr>
      </w:pPr>
      <w:r>
        <w:rPr>
          <w:b/>
          <w:color w:val="365F91"/>
          <w:sz w:val="40"/>
          <w:szCs w:val="40"/>
        </w:rPr>
        <w:t>Wasatch Front Economic</w:t>
      </w:r>
    </w:p>
    <w:p w:rsidR="00AD3209" w:rsidRDefault="007007E4">
      <w:pPr>
        <w:widowControl w:val="0"/>
        <w:spacing w:after="0" w:line="240" w:lineRule="auto"/>
        <w:ind w:left="720" w:right="6620"/>
        <w:jc w:val="center"/>
        <w:rPr>
          <w:b/>
          <w:color w:val="365F91"/>
          <w:sz w:val="40"/>
          <w:szCs w:val="40"/>
        </w:rPr>
      </w:pPr>
      <w:r>
        <w:rPr>
          <w:b/>
          <w:color w:val="365F91"/>
          <w:sz w:val="40"/>
          <w:szCs w:val="40"/>
        </w:rPr>
        <w:t>Development District</w:t>
      </w:r>
    </w:p>
    <w:p w:rsidR="00AD3209" w:rsidRDefault="007007E4">
      <w:pPr>
        <w:widowControl w:val="0"/>
        <w:spacing w:after="0" w:line="185" w:lineRule="auto"/>
        <w:jc w:val="center"/>
        <w:rPr>
          <w:sz w:val="17"/>
          <w:szCs w:val="17"/>
        </w:rPr>
      </w:pPr>
      <w:r>
        <w:rPr>
          <w:sz w:val="17"/>
          <w:szCs w:val="17"/>
        </w:rPr>
        <w:t xml:space="preserve"> </w:t>
      </w:r>
    </w:p>
    <w:p w:rsidR="00AD3209" w:rsidRDefault="007007E4">
      <w:pPr>
        <w:widowControl w:val="0"/>
        <w:spacing w:before="240" w:after="0" w:line="218" w:lineRule="auto"/>
        <w:jc w:val="center"/>
        <w:rPr>
          <w:sz w:val="20"/>
          <w:szCs w:val="20"/>
        </w:rPr>
      </w:pPr>
      <w:r>
        <w:rPr>
          <w:sz w:val="20"/>
          <w:szCs w:val="20"/>
        </w:rPr>
        <w:t xml:space="preserve"> </w:t>
      </w:r>
    </w:p>
    <w:p w:rsidR="00AD3209" w:rsidRDefault="007007E4">
      <w:pPr>
        <w:widowControl w:val="0"/>
        <w:spacing w:after="0" w:line="240" w:lineRule="auto"/>
        <w:ind w:left="720" w:right="-20"/>
        <w:rPr>
          <w:color w:val="000000"/>
        </w:rPr>
      </w:pPr>
      <w:r>
        <w:rPr>
          <w:b/>
          <w:color w:val="000000"/>
          <w:u w:val="single"/>
        </w:rPr>
        <w:t>Des</w:t>
      </w:r>
      <w:r>
        <w:rPr>
          <w:b/>
          <w:color w:val="000000"/>
          <w:u w:val="single"/>
        </w:rPr>
        <w:t>cription</w:t>
      </w:r>
    </w:p>
    <w:p w:rsidR="00AD3209" w:rsidRDefault="007007E4">
      <w:pPr>
        <w:widowControl w:val="0"/>
        <w:spacing w:before="16" w:after="0" w:line="240" w:lineRule="auto"/>
        <w:ind w:left="720" w:right="659"/>
        <w:jc w:val="both"/>
        <w:rPr>
          <w:color w:val="000000"/>
        </w:rPr>
      </w:pPr>
      <w:r>
        <w:rPr>
          <w:color w:val="000000"/>
        </w:rPr>
        <w:t>The Wasatch Front Economic Development District undertakes a regional approach to economic development with support of its member counties including Davis, Morgan, Salt Lake, Tooele, and Weber. The District operates under the auspice of the Wasatc</w:t>
      </w:r>
      <w:r>
        <w:rPr>
          <w:color w:val="000000"/>
        </w:rPr>
        <w:t>h Front Regional Council. The District received designation as the region’s Economic Development District (EDD) from the U.S. Department of Commerce Economic Development Administration (EDA) in August 2014. The Wasatch Front Economic Development District i</w:t>
      </w:r>
      <w:r>
        <w:rPr>
          <w:color w:val="000000"/>
        </w:rPr>
        <w:t>s one of seven federally recognized economic development districts in Utah - every county in the State of Utah is now represented by a Regional Economic Development District.</w:t>
      </w:r>
    </w:p>
    <w:p w:rsidR="00AD3209" w:rsidRDefault="00AD3209">
      <w:pPr>
        <w:widowControl w:val="0"/>
        <w:spacing w:before="16" w:after="0" w:line="240" w:lineRule="auto"/>
        <w:ind w:left="720" w:right="659"/>
        <w:jc w:val="both"/>
        <w:rPr>
          <w:color w:val="000000"/>
        </w:rPr>
      </w:pPr>
    </w:p>
    <w:p w:rsidR="00AD3209" w:rsidRDefault="007007E4">
      <w:pPr>
        <w:widowControl w:val="0"/>
        <w:spacing w:before="16" w:after="0" w:line="240" w:lineRule="auto"/>
        <w:ind w:left="720" w:right="659"/>
        <w:jc w:val="both"/>
        <w:rPr>
          <w:color w:val="000000"/>
        </w:rPr>
      </w:pPr>
      <w:r>
        <w:rPr>
          <w:b/>
          <w:color w:val="000000"/>
          <w:u w:val="single"/>
        </w:rPr>
        <w:t>Mission and Focus</w:t>
      </w:r>
    </w:p>
    <w:p w:rsidR="00AD3209" w:rsidRDefault="007007E4">
      <w:pPr>
        <w:widowControl w:val="0"/>
        <w:spacing w:after="0" w:line="240" w:lineRule="auto"/>
        <w:ind w:left="720" w:right="656"/>
        <w:jc w:val="both"/>
        <w:rPr>
          <w:color w:val="000000"/>
        </w:rPr>
      </w:pPr>
      <w:r>
        <w:rPr>
          <w:color w:val="000000"/>
        </w:rPr>
        <w:t>The District’s mission is to support economic development plans, promote long-term economic competitiveness, and attract federal monies in order to implement local plans. The District implements its mission through four key strategies that include: 1) Link</w:t>
      </w:r>
      <w:r>
        <w:rPr>
          <w:color w:val="000000"/>
        </w:rPr>
        <w:t xml:space="preserve"> development with transportation and other infrastructure, 2) Create fiscally sustainable places, 3) Provide amenities, and 4) Attract and retain businesses, and encourage innovation.</w:t>
      </w:r>
    </w:p>
    <w:p w:rsidR="00AD3209" w:rsidRDefault="00AD3209">
      <w:pPr>
        <w:widowControl w:val="0"/>
        <w:spacing w:after="0" w:line="240" w:lineRule="auto"/>
        <w:ind w:left="720" w:right="656"/>
        <w:jc w:val="both"/>
        <w:rPr>
          <w:color w:val="000000"/>
        </w:rPr>
      </w:pPr>
    </w:p>
    <w:p w:rsidR="00AD3209" w:rsidRDefault="007007E4">
      <w:pPr>
        <w:widowControl w:val="0"/>
        <w:spacing w:after="0" w:line="240" w:lineRule="auto"/>
        <w:ind w:left="720" w:right="656"/>
        <w:jc w:val="both"/>
        <w:rPr>
          <w:color w:val="000000"/>
        </w:rPr>
      </w:pPr>
      <w:r>
        <w:rPr>
          <w:color w:val="000000"/>
        </w:rPr>
        <w:t>The District’s focus is to further regional economic development activi</w:t>
      </w:r>
      <w:r>
        <w:rPr>
          <w:color w:val="000000"/>
        </w:rPr>
        <w:t>ties through coordination of long-term planning activities, collaboration and partnerships, and the implementation of the region’s regional economic development strategy known as a Comprehensive Economic Development Strategy (CEDS). The CEDS analyzes the r</w:t>
      </w:r>
      <w:r>
        <w:rPr>
          <w:color w:val="000000"/>
        </w:rPr>
        <w:t xml:space="preserve">egion’s strengths, weaknesses, opportunities, and challenges. This analysis allows the District to foster and implement local and regional goals that further comprehensive planning, economies of scale, capital investment, and regional </w:t>
      </w:r>
      <w:r>
        <w:t>competitiveness</w:t>
      </w:r>
      <w:r>
        <w:rPr>
          <w:color w:val="000000"/>
        </w:rPr>
        <w:t>.</w:t>
      </w:r>
    </w:p>
    <w:p w:rsidR="00AD3209" w:rsidRDefault="00AD3209">
      <w:pPr>
        <w:widowControl w:val="0"/>
        <w:spacing w:after="0" w:line="240" w:lineRule="auto"/>
        <w:ind w:left="720" w:right="656"/>
        <w:jc w:val="both"/>
        <w:rPr>
          <w:color w:val="000000"/>
        </w:rPr>
      </w:pPr>
    </w:p>
    <w:p w:rsidR="00AD3209" w:rsidRDefault="007007E4">
      <w:pPr>
        <w:widowControl w:val="0"/>
        <w:spacing w:after="0" w:line="240" w:lineRule="auto"/>
        <w:ind w:left="720" w:right="10632"/>
        <w:jc w:val="both"/>
        <w:rPr>
          <w:b/>
          <w:color w:val="000000"/>
          <w:u w:val="single"/>
        </w:rPr>
      </w:pPr>
      <w:r>
        <w:rPr>
          <w:b/>
          <w:color w:val="000000"/>
          <w:u w:val="single"/>
        </w:rPr>
        <w:t>Eli</w:t>
      </w:r>
      <w:r>
        <w:rPr>
          <w:b/>
          <w:color w:val="000000"/>
          <w:u w:val="single"/>
        </w:rPr>
        <w:t>gibility</w:t>
      </w:r>
    </w:p>
    <w:p w:rsidR="00AD3209" w:rsidRDefault="007007E4">
      <w:pPr>
        <w:widowControl w:val="0"/>
        <w:spacing w:after="0" w:line="240" w:lineRule="auto"/>
        <w:ind w:left="720" w:right="630"/>
        <w:jc w:val="both"/>
        <w:rPr>
          <w:color w:val="000000"/>
        </w:rPr>
      </w:pPr>
      <w:r>
        <w:rPr>
          <w:color w:val="000000"/>
        </w:rPr>
        <w:t>Eligible applicants include the state, political subdivisions of the state, Indian tribes, institutions of higher education, non-profit organizations acting in coordination with political subdivisions of the state, areas that are economically dist</w:t>
      </w:r>
      <w:r>
        <w:rPr>
          <w:color w:val="000000"/>
        </w:rPr>
        <w:t>ressed, or import-impacted U.S. firms.</w:t>
      </w:r>
    </w:p>
    <w:p w:rsidR="00AD3209" w:rsidRDefault="00AD3209">
      <w:pPr>
        <w:widowControl w:val="0"/>
        <w:spacing w:after="0" w:line="240" w:lineRule="auto"/>
        <w:ind w:firstLine="720"/>
        <w:rPr>
          <w:b/>
          <w:color w:val="000000"/>
          <w:u w:val="single"/>
        </w:rPr>
      </w:pPr>
    </w:p>
    <w:p w:rsidR="00AD3209" w:rsidRDefault="007007E4">
      <w:pPr>
        <w:widowControl w:val="0"/>
        <w:spacing w:after="0" w:line="240" w:lineRule="auto"/>
        <w:ind w:firstLine="720"/>
        <w:rPr>
          <w:color w:val="000000"/>
        </w:rPr>
      </w:pPr>
      <w:r>
        <w:rPr>
          <w:b/>
          <w:color w:val="000000"/>
          <w:u w:val="single"/>
        </w:rPr>
        <w:t>Investment Programs</w:t>
      </w:r>
    </w:p>
    <w:p w:rsidR="00AD3209" w:rsidRDefault="007007E4">
      <w:pPr>
        <w:widowControl w:val="0"/>
        <w:spacing w:before="16" w:after="0" w:line="240" w:lineRule="auto"/>
        <w:ind w:left="720" w:right="630"/>
        <w:jc w:val="both"/>
        <w:rPr>
          <w:color w:val="000000"/>
        </w:rPr>
      </w:pPr>
      <w:r>
        <w:rPr>
          <w:color w:val="000000"/>
        </w:rPr>
        <w:t>The District assists entities in coordinating and developing competitive grant applications for the Economic Development Administration’s investment programs. EDA is the only federal government ag</w:t>
      </w:r>
      <w:r>
        <w:rPr>
          <w:color w:val="000000"/>
        </w:rPr>
        <w:t>ency focused exclusively on economic development. The EDD in partnership with EDA can play a critical role in fostering local and regional economic development efforts across the Wasatch Front region by supporting strategic investments that foster job crea</w:t>
      </w:r>
      <w:r>
        <w:rPr>
          <w:color w:val="000000"/>
        </w:rPr>
        <w:t>tion and attract private investment particularly in economically distressed areas. EDA’s investment programs 1) help distressed communities attract new industry and encourage business expansion, 2) build local and regional knowledge base, 3) assist in plan</w:t>
      </w:r>
      <w:r>
        <w:rPr>
          <w:color w:val="000000"/>
        </w:rPr>
        <w:t>ning efforts, 4) analyze feasibility of potential economic developments, 5) fund market and/or environmental studies, planning / construction grants, revolving loan funds, 6) develop and implement business recovery strategies for the global marketplace.</w:t>
      </w:r>
    </w:p>
    <w:p w:rsidR="00AD3209" w:rsidRDefault="00AD3209">
      <w:pPr>
        <w:widowControl w:val="0"/>
        <w:spacing w:before="16" w:after="0" w:line="240" w:lineRule="auto"/>
        <w:ind w:left="720" w:right="772"/>
        <w:rPr>
          <w:color w:val="000000"/>
        </w:rPr>
      </w:pPr>
    </w:p>
    <w:p w:rsidR="00AD3209" w:rsidRDefault="007007E4">
      <w:pPr>
        <w:widowControl w:val="0"/>
        <w:spacing w:before="16" w:after="0" w:line="240" w:lineRule="auto"/>
        <w:ind w:left="720" w:right="772"/>
        <w:rPr>
          <w:b/>
          <w:color w:val="000000"/>
          <w:u w:val="single"/>
        </w:rPr>
      </w:pPr>
      <w:r>
        <w:rPr>
          <w:b/>
          <w:u w:val="single"/>
        </w:rPr>
        <w:t>A</w:t>
      </w:r>
      <w:r>
        <w:rPr>
          <w:b/>
          <w:u w:val="single"/>
        </w:rPr>
        <w:t>pplication Process</w:t>
      </w:r>
    </w:p>
    <w:p w:rsidR="00AD3209" w:rsidRDefault="007007E4">
      <w:pPr>
        <w:widowControl w:val="0"/>
        <w:tabs>
          <w:tab w:val="left" w:pos="11430"/>
        </w:tabs>
        <w:spacing w:before="16" w:after="0" w:line="240" w:lineRule="auto"/>
        <w:ind w:left="720" w:right="630"/>
        <w:jc w:val="both"/>
        <w:rPr>
          <w:color w:val="000000"/>
        </w:rPr>
      </w:pPr>
      <w:r>
        <w:rPr>
          <w:color w:val="000000"/>
        </w:rPr>
        <w:t xml:space="preserve">Filling out the CEDS </w:t>
      </w:r>
      <w:hyperlink r:id="rId71">
        <w:r>
          <w:rPr>
            <w:color w:val="0000FF"/>
            <w:u w:val="single"/>
          </w:rPr>
          <w:t>Project Form</w:t>
        </w:r>
      </w:hyperlink>
      <w:r>
        <w:rPr>
          <w:color w:val="000000"/>
        </w:rPr>
        <w:t xml:space="preserve"> is the first step in making a formal application to the U.S. Economic Development Administration. The District re</w:t>
      </w:r>
      <w:r>
        <w:rPr>
          <w:color w:val="000000"/>
        </w:rPr>
        <w:t>views and approves projects quarterly (February, May, August, and November) for inclusion into the region’s Comprehensive Economic Development Strategy.</w:t>
      </w:r>
    </w:p>
    <w:p w:rsidR="00AD3209" w:rsidRDefault="00AD3209">
      <w:pPr>
        <w:widowControl w:val="0"/>
        <w:spacing w:before="7" w:after="0" w:line="240" w:lineRule="auto"/>
        <w:ind w:right="630"/>
        <w:rPr>
          <w:color w:val="000000"/>
        </w:rPr>
      </w:pPr>
    </w:p>
    <w:p w:rsidR="00AD3209" w:rsidRDefault="007007E4">
      <w:pPr>
        <w:widowControl w:val="0"/>
        <w:spacing w:after="0" w:line="240" w:lineRule="auto"/>
        <w:ind w:left="720" w:right="-20"/>
        <w:rPr>
          <w:color w:val="000000"/>
        </w:rPr>
      </w:pPr>
      <w:r>
        <w:rPr>
          <w:b/>
          <w:color w:val="000000"/>
          <w:u w:val="single"/>
        </w:rPr>
        <w:t>For More Information</w:t>
      </w:r>
    </w:p>
    <w:p w:rsidR="00AD3209" w:rsidRDefault="007007E4">
      <w:pPr>
        <w:widowControl w:val="0"/>
        <w:spacing w:before="41" w:after="0" w:line="240" w:lineRule="auto"/>
        <w:ind w:left="720" w:right="630"/>
        <w:jc w:val="both"/>
        <w:rPr>
          <w:color w:val="000000"/>
        </w:rPr>
      </w:pPr>
      <w:r>
        <w:rPr>
          <w:color w:val="000000"/>
        </w:rPr>
        <w:t>Marcia White | 801-363-4250 x11</w:t>
      </w:r>
      <w:r>
        <w:t>26</w:t>
      </w:r>
      <w:r>
        <w:rPr>
          <w:color w:val="000000"/>
        </w:rPr>
        <w:t xml:space="preserve"> | </w:t>
      </w:r>
      <w:hyperlink r:id="rId72">
        <w:r>
          <w:rPr>
            <w:color w:val="0000FF"/>
            <w:u w:val="single"/>
          </w:rPr>
          <w:t>mwhite@wfrc.org</w:t>
        </w:r>
      </w:hyperlink>
      <w:r>
        <w:rPr>
          <w:color w:val="0000FF"/>
        </w:rPr>
        <w:t xml:space="preserve"> </w:t>
      </w:r>
      <w:r>
        <w:rPr>
          <w:color w:val="000000"/>
        </w:rPr>
        <w:t>|</w:t>
      </w:r>
      <w:r>
        <w:rPr>
          <w:color w:val="0000FF"/>
        </w:rPr>
        <w:t xml:space="preserve"> www.wfrc.org</w:t>
      </w:r>
    </w:p>
    <w:sectPr w:rsidR="00AD3209">
      <w:headerReference w:type="default" r:id="rId73"/>
      <w:pgSz w:w="12240" w:h="15840"/>
      <w:pgMar w:top="540" w:right="0" w:bottom="800" w:left="0" w:header="0" w:footer="61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07E4" w:rsidRDefault="007007E4">
      <w:pPr>
        <w:spacing w:after="0" w:line="240" w:lineRule="auto"/>
      </w:pPr>
      <w:r>
        <w:separator/>
      </w:r>
    </w:p>
  </w:endnote>
  <w:endnote w:type="continuationSeparator" w:id="0">
    <w:p w:rsidR="007007E4" w:rsidRDefault="007007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3209" w:rsidRDefault="007007E4">
    <w:pPr>
      <w:widowControl w:val="0"/>
      <w:spacing w:after="0" w:line="200" w:lineRule="auto"/>
      <w:rPr>
        <w:rFonts w:ascii="Times New Roman" w:eastAsia="Times New Roman" w:hAnsi="Times New Roman" w:cs="Times New Roman"/>
        <w:sz w:val="20"/>
        <w:szCs w:val="20"/>
      </w:rPr>
    </w:pPr>
    <w:r>
      <w:rPr>
        <w:noProof/>
      </w:rPr>
      <mc:AlternateContent>
        <mc:Choice Requires="wpg">
          <w:drawing>
            <wp:anchor distT="0" distB="0" distL="114300" distR="114300" simplePos="0" relativeHeight="251659264" behindDoc="1" locked="0" layoutInCell="1" hidden="0" allowOverlap="1">
              <wp:simplePos x="0" y="0"/>
              <wp:positionH relativeFrom="column">
                <wp:posOffset>114300</wp:posOffset>
              </wp:positionH>
              <wp:positionV relativeFrom="paragraph">
                <wp:posOffset>9537700</wp:posOffset>
              </wp:positionV>
              <wp:extent cx="7772400" cy="501015"/>
              <wp:effectExtent l="0" t="0" r="0" b="0"/>
              <wp:wrapNone/>
              <wp:docPr id="3" name="Group 3"/>
              <wp:cNvGraphicFramePr/>
              <a:graphic xmlns:a="http://schemas.openxmlformats.org/drawingml/2006/main">
                <a:graphicData uri="http://schemas.microsoft.com/office/word/2010/wordprocessingGroup">
                  <wpg:wgp>
                    <wpg:cNvGrpSpPr/>
                    <wpg:grpSpPr>
                      <a:xfrm>
                        <a:off x="0" y="0"/>
                        <a:ext cx="7772400" cy="501015"/>
                        <a:chOff x="1459800" y="3529493"/>
                        <a:chExt cx="7772400" cy="501000"/>
                      </a:xfrm>
                    </wpg:grpSpPr>
                    <wpg:grpSp>
                      <wpg:cNvPr id="1" name="Group 1"/>
                      <wpg:cNvGrpSpPr/>
                      <wpg:grpSpPr>
                        <a:xfrm>
                          <a:off x="1459800" y="3529493"/>
                          <a:ext cx="7772400" cy="501000"/>
                          <a:chOff x="0" y="0"/>
                          <a:chExt cx="7772400" cy="501000"/>
                        </a:xfrm>
                      </wpg:grpSpPr>
                      <wps:wsp>
                        <wps:cNvPr id="2" name="Rectangle 2"/>
                        <wps:cNvSpPr/>
                        <wps:spPr>
                          <a:xfrm>
                            <a:off x="0" y="0"/>
                            <a:ext cx="7772400" cy="501000"/>
                          </a:xfrm>
                          <a:prstGeom prst="rect">
                            <a:avLst/>
                          </a:prstGeom>
                          <a:noFill/>
                          <a:ln>
                            <a:noFill/>
                          </a:ln>
                        </wps:spPr>
                        <wps:txbx>
                          <w:txbxContent>
                            <w:p w:rsidR="00AD3209" w:rsidRDefault="00AD3209">
                              <w:pPr>
                                <w:spacing w:after="0" w:line="240" w:lineRule="auto"/>
                                <w:textDirection w:val="btLr"/>
                              </w:pPr>
                            </w:p>
                          </w:txbxContent>
                        </wps:txbx>
                        <wps:bodyPr spcFirstLastPara="1" wrap="square" lIns="91425" tIns="91425" rIns="91425" bIns="91425" anchor="ctr" anchorCtr="0">
                          <a:noAutofit/>
                        </wps:bodyPr>
                      </wps:wsp>
                      <wps:wsp>
                        <wps:cNvPr id="4" name="Rectangle 4"/>
                        <wps:cNvSpPr/>
                        <wps:spPr>
                          <a:xfrm>
                            <a:off x="635" y="12700"/>
                            <a:ext cx="7762875" cy="474980"/>
                          </a:xfrm>
                          <a:prstGeom prst="rect">
                            <a:avLst/>
                          </a:prstGeom>
                          <a:solidFill>
                            <a:srgbClr val="003A5C"/>
                          </a:solidFill>
                          <a:ln>
                            <a:noFill/>
                          </a:ln>
                        </wps:spPr>
                        <wps:txbx>
                          <w:txbxContent>
                            <w:p w:rsidR="00AD3209" w:rsidRDefault="00AD3209">
                              <w:pPr>
                                <w:spacing w:after="0" w:line="240" w:lineRule="auto"/>
                                <w:textDirection w:val="btLr"/>
                              </w:pPr>
                            </w:p>
                          </w:txbxContent>
                        </wps:txbx>
                        <wps:bodyPr spcFirstLastPara="1" wrap="square" lIns="91425" tIns="91425" rIns="91425" bIns="91425" anchor="ctr" anchorCtr="0">
                          <a:noAutofit/>
                        </wps:bodyPr>
                      </wps:wsp>
                      <wps:wsp>
                        <wps:cNvPr id="5" name="Rectangle 5"/>
                        <wps:cNvSpPr/>
                        <wps:spPr>
                          <a:xfrm>
                            <a:off x="635" y="12700"/>
                            <a:ext cx="7762875" cy="474980"/>
                          </a:xfrm>
                          <a:prstGeom prst="rect">
                            <a:avLst/>
                          </a:prstGeom>
                          <a:noFill/>
                          <a:ln w="25900" cap="flat" cmpd="sng">
                            <a:solidFill>
                              <a:srgbClr val="385D89"/>
                            </a:solidFill>
                            <a:prstDash val="solid"/>
                            <a:round/>
                            <a:headEnd type="none" w="sm" len="sm"/>
                            <a:tailEnd type="none" w="sm" len="sm"/>
                          </a:ln>
                        </wps:spPr>
                        <wps:txbx>
                          <w:txbxContent>
                            <w:p w:rsidR="00AD3209" w:rsidRDefault="00AD3209">
                              <w:pPr>
                                <w:spacing w:after="0"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114300" distR="114300" hidden="0" layoutInCell="1" locked="0" relativeHeight="0" simplePos="0">
              <wp:simplePos x="0" y="0"/>
              <wp:positionH relativeFrom="column">
                <wp:posOffset>114300</wp:posOffset>
              </wp:positionH>
              <wp:positionV relativeFrom="paragraph">
                <wp:posOffset>9537700</wp:posOffset>
              </wp:positionV>
              <wp:extent cx="7772400" cy="501015"/>
              <wp:effectExtent b="0" l="0" r="0" t="0"/>
              <wp:wrapNone/>
              <wp:docPr id="3"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7772400" cy="501015"/>
                      </a:xfrm>
                      <a:prstGeom prst="rect"/>
                      <a:ln/>
                    </pic:spPr>
                  </pic:pic>
                </a:graphicData>
              </a:graphic>
            </wp:anchor>
          </w:drawing>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3209" w:rsidRDefault="00AD320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3209" w:rsidRDefault="00AD3209">
    <w:pPr>
      <w:widowControl w:val="0"/>
      <w:spacing w:after="0" w:line="240" w:lineRule="auto"/>
      <w:rPr>
        <w:rFonts w:ascii="Times New Roman" w:eastAsia="Times New Roman" w:hAnsi="Times New Roman" w:cs="Times New Roman"/>
        <w:sz w:val="10"/>
        <w:szCs w:val="1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3209" w:rsidRDefault="007007E4">
    <w:pPr>
      <w:widowControl w:val="0"/>
      <w:spacing w:after="0" w:line="200" w:lineRule="auto"/>
      <w:rPr>
        <w:rFonts w:ascii="Times New Roman" w:eastAsia="Times New Roman" w:hAnsi="Times New Roman" w:cs="Times New Roman"/>
        <w:sz w:val="20"/>
        <w:szCs w:val="20"/>
      </w:rPr>
    </w:pPr>
    <w:r>
      <w:rPr>
        <w:noProof/>
      </w:rPr>
      <mc:AlternateContent>
        <mc:Choice Requires="wpg">
          <w:drawing>
            <wp:anchor distT="0" distB="0" distL="114300" distR="114300" simplePos="0" relativeHeight="251660288" behindDoc="1" locked="0" layoutInCell="1" hidden="0" allowOverlap="1">
              <wp:simplePos x="0" y="0"/>
              <wp:positionH relativeFrom="column">
                <wp:posOffset>114300</wp:posOffset>
              </wp:positionH>
              <wp:positionV relativeFrom="paragraph">
                <wp:posOffset>9537700</wp:posOffset>
              </wp:positionV>
              <wp:extent cx="7772400" cy="502919"/>
              <wp:effectExtent l="0" t="0" r="0" b="0"/>
              <wp:wrapNone/>
              <wp:docPr id="14" name="Group 14"/>
              <wp:cNvGraphicFramePr/>
              <a:graphic xmlns:a="http://schemas.openxmlformats.org/drawingml/2006/main">
                <a:graphicData uri="http://schemas.microsoft.com/office/word/2010/wordprocessingGroup">
                  <wpg:wgp>
                    <wpg:cNvGrpSpPr/>
                    <wpg:grpSpPr>
                      <a:xfrm>
                        <a:off x="0" y="0"/>
                        <a:ext cx="7772400" cy="502919"/>
                        <a:chOff x="1459800" y="3528541"/>
                        <a:chExt cx="7772400" cy="502900"/>
                      </a:xfrm>
                    </wpg:grpSpPr>
                    <wpg:grpSp>
                      <wpg:cNvPr id="15" name="Group 15"/>
                      <wpg:cNvGrpSpPr/>
                      <wpg:grpSpPr>
                        <a:xfrm>
                          <a:off x="1459800" y="3528541"/>
                          <a:ext cx="7772400" cy="502900"/>
                          <a:chOff x="0" y="0"/>
                          <a:chExt cx="7772400" cy="502900"/>
                        </a:xfrm>
                      </wpg:grpSpPr>
                      <wps:wsp>
                        <wps:cNvPr id="16" name="Rectangle 16"/>
                        <wps:cNvSpPr/>
                        <wps:spPr>
                          <a:xfrm>
                            <a:off x="0" y="0"/>
                            <a:ext cx="7772400" cy="502900"/>
                          </a:xfrm>
                          <a:prstGeom prst="rect">
                            <a:avLst/>
                          </a:prstGeom>
                          <a:noFill/>
                          <a:ln>
                            <a:noFill/>
                          </a:ln>
                        </wps:spPr>
                        <wps:txbx>
                          <w:txbxContent>
                            <w:p w:rsidR="00AD3209" w:rsidRDefault="00AD3209">
                              <w:pPr>
                                <w:spacing w:after="0" w:line="240" w:lineRule="auto"/>
                                <w:textDirection w:val="btLr"/>
                              </w:pPr>
                            </w:p>
                          </w:txbxContent>
                        </wps:txbx>
                        <wps:bodyPr spcFirstLastPara="1" wrap="square" lIns="91425" tIns="91425" rIns="91425" bIns="91425" anchor="ctr" anchorCtr="0">
                          <a:noAutofit/>
                        </wps:bodyPr>
                      </wps:wsp>
                      <wps:wsp>
                        <wps:cNvPr id="17" name="Rectangle 17"/>
                        <wps:cNvSpPr/>
                        <wps:spPr>
                          <a:xfrm>
                            <a:off x="635" y="13334"/>
                            <a:ext cx="7762875" cy="476884"/>
                          </a:xfrm>
                          <a:prstGeom prst="rect">
                            <a:avLst/>
                          </a:prstGeom>
                          <a:solidFill>
                            <a:srgbClr val="003A5C"/>
                          </a:solidFill>
                          <a:ln>
                            <a:noFill/>
                          </a:ln>
                        </wps:spPr>
                        <wps:txbx>
                          <w:txbxContent>
                            <w:p w:rsidR="00AD3209" w:rsidRDefault="00AD3209">
                              <w:pPr>
                                <w:spacing w:after="0" w:line="240" w:lineRule="auto"/>
                                <w:textDirection w:val="btLr"/>
                              </w:pPr>
                            </w:p>
                          </w:txbxContent>
                        </wps:txbx>
                        <wps:bodyPr spcFirstLastPara="1" wrap="square" lIns="91425" tIns="91425" rIns="91425" bIns="91425" anchor="ctr" anchorCtr="0">
                          <a:noAutofit/>
                        </wps:bodyPr>
                      </wps:wsp>
                      <wps:wsp>
                        <wps:cNvPr id="18" name="Rectangle 18"/>
                        <wps:cNvSpPr/>
                        <wps:spPr>
                          <a:xfrm>
                            <a:off x="635" y="13334"/>
                            <a:ext cx="7762875" cy="476884"/>
                          </a:xfrm>
                          <a:prstGeom prst="rect">
                            <a:avLst/>
                          </a:prstGeom>
                          <a:noFill/>
                          <a:ln w="25900" cap="flat" cmpd="sng">
                            <a:solidFill>
                              <a:srgbClr val="385D89"/>
                            </a:solidFill>
                            <a:prstDash val="solid"/>
                            <a:round/>
                            <a:headEnd type="none" w="sm" len="sm"/>
                            <a:tailEnd type="none" w="sm" len="sm"/>
                          </a:ln>
                        </wps:spPr>
                        <wps:txbx>
                          <w:txbxContent>
                            <w:p w:rsidR="00AD3209" w:rsidRDefault="00AD3209">
                              <w:pPr>
                                <w:spacing w:after="0"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114300" distR="114300" hidden="0" layoutInCell="1" locked="0" relativeHeight="0" simplePos="0">
              <wp:simplePos x="0" y="0"/>
              <wp:positionH relativeFrom="column">
                <wp:posOffset>114300</wp:posOffset>
              </wp:positionH>
              <wp:positionV relativeFrom="paragraph">
                <wp:posOffset>9537700</wp:posOffset>
              </wp:positionV>
              <wp:extent cx="7772400" cy="502919"/>
              <wp:effectExtent b="0" l="0" r="0" t="0"/>
              <wp:wrapNone/>
              <wp:docPr id="1"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7772400" cy="502919"/>
                      </a:xfrm>
                      <a:prstGeom prst="rect"/>
                      <a:ln/>
                    </pic:spPr>
                  </pic:pic>
                </a:graphicData>
              </a:graphic>
            </wp:anchor>
          </w:drawing>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07E4" w:rsidRDefault="007007E4">
      <w:pPr>
        <w:spacing w:after="0" w:line="240" w:lineRule="auto"/>
      </w:pPr>
      <w:r>
        <w:separator/>
      </w:r>
    </w:p>
  </w:footnote>
  <w:footnote w:type="continuationSeparator" w:id="0">
    <w:p w:rsidR="007007E4" w:rsidRDefault="007007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3209" w:rsidRDefault="007007E4">
    <w:r>
      <w:rPr>
        <w:noProof/>
      </w:rPr>
      <w:drawing>
        <wp:anchor distT="114300" distB="114300" distL="114300" distR="114300" simplePos="0" relativeHeight="251658240" behindDoc="1" locked="0" layoutInCell="1" hidden="0" allowOverlap="1">
          <wp:simplePos x="0" y="0"/>
          <wp:positionH relativeFrom="column">
            <wp:posOffset>4476750</wp:posOffset>
          </wp:positionH>
          <wp:positionV relativeFrom="paragraph">
            <wp:posOffset>508000</wp:posOffset>
          </wp:positionV>
          <wp:extent cx="2633663" cy="1170517"/>
          <wp:effectExtent l="0" t="0" r="0" b="0"/>
          <wp:wrapNone/>
          <wp:docPr id="10"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2633663" cy="1170517"/>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3209" w:rsidRDefault="00AD320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3209" w:rsidRDefault="00AD3209"/>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3209" w:rsidRDefault="00AD3209"/>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3209" w:rsidRDefault="00AD320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DED6231"/>
    <w:multiLevelType w:val="multilevel"/>
    <w:tmpl w:val="555E710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209"/>
    <w:rsid w:val="004E60DC"/>
    <w:rsid w:val="007007E4"/>
    <w:rsid w:val="00AD32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C0E61B-D15F-4FC4-ACE4-2241AA7FA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s://wfrc.org/programs/transportation-improvement-program/carbon-reduction-program/" TargetMode="External"/><Relationship Id="rId18" Type="http://schemas.openxmlformats.org/officeDocument/2006/relationships/hyperlink" Target="https://wfrc.org/programs/community-development-block-grant/" TargetMode="External"/><Relationship Id="rId26" Type="http://schemas.openxmlformats.org/officeDocument/2006/relationships/footer" Target="footer2.xml"/><Relationship Id="rId39" Type="http://schemas.openxmlformats.org/officeDocument/2006/relationships/header" Target="header3.xml"/><Relationship Id="rId21" Type="http://schemas.openxmlformats.org/officeDocument/2006/relationships/hyperlink" Target="https://wfrc.org/programs/wasatch-front-economic-development-district/" TargetMode="External"/><Relationship Id="rId34" Type="http://schemas.openxmlformats.org/officeDocument/2006/relationships/image" Target="media/image9.png"/><Relationship Id="rId42" Type="http://schemas.openxmlformats.org/officeDocument/2006/relationships/image" Target="media/image4.png"/><Relationship Id="rId47" Type="http://schemas.openxmlformats.org/officeDocument/2006/relationships/image" Target="media/image5.png"/><Relationship Id="rId50" Type="http://schemas.openxmlformats.org/officeDocument/2006/relationships/image" Target="media/image6.jpg"/><Relationship Id="rId55" Type="http://schemas.openxmlformats.org/officeDocument/2006/relationships/hyperlink" Target="https://wfrc.org/programs/transportation-land-use-connection/" TargetMode="External"/><Relationship Id="rId63" Type="http://schemas.openxmlformats.org/officeDocument/2006/relationships/hyperlink" Target="mailto:mtownsend@wfrc.org" TargetMode="External"/><Relationship Id="rId68" Type="http://schemas.openxmlformats.org/officeDocument/2006/relationships/hyperlink" Target="mailto:christy@wfrc.org" TargetMode="External"/><Relationship Id="rId7" Type="http://schemas.openxmlformats.org/officeDocument/2006/relationships/image" Target="media/image1.jpg"/><Relationship Id="rId71" Type="http://schemas.openxmlformats.org/officeDocument/2006/relationships/hyperlink" Target="https://wfrc.org/programs/wasatch-front-economic-development-district/" TargetMode="External"/><Relationship Id="rId2" Type="http://schemas.openxmlformats.org/officeDocument/2006/relationships/styles" Target="styles.xml"/><Relationship Id="rId16" Type="http://schemas.openxmlformats.org/officeDocument/2006/relationships/hyperlink" Target="https://wfrc.org/programs/transportation-land-use-connection/" TargetMode="External"/><Relationship Id="rId29" Type="http://schemas.openxmlformats.org/officeDocument/2006/relationships/hyperlink" Target="mailto:bwuthrich@wfrc.org" TargetMode="External"/><Relationship Id="rId11" Type="http://schemas.openxmlformats.org/officeDocument/2006/relationships/hyperlink" Target="https://wfrc.org/programs/transportation-improvement-program/transportation-alternatives-program/" TargetMode="External"/><Relationship Id="rId24" Type="http://schemas.openxmlformats.org/officeDocument/2006/relationships/footer" Target="footer1.xml"/><Relationship Id="rId32" Type="http://schemas.openxmlformats.org/officeDocument/2006/relationships/hyperlink" Target="mailto:mtownsend@wfrc.org" TargetMode="External"/><Relationship Id="rId37" Type="http://schemas.openxmlformats.org/officeDocument/2006/relationships/hyperlink" Target="https://www.arcgis.com/home/webmap/viewer.html?webmap=494d57208ea4464bb664ac2da38f9c91&amp;extent=-116.9385,35.9224,-106.1719,42.8498" TargetMode="External"/><Relationship Id="rId40" Type="http://schemas.openxmlformats.org/officeDocument/2006/relationships/footer" Target="footer3.xml"/><Relationship Id="rId45" Type="http://schemas.openxmlformats.org/officeDocument/2006/relationships/hyperlink" Target="https://wfrc.org/Programs/CongestionManagement/ProgramEnhancements/CMAQ_Benefit_Cost_Comparison.pdf" TargetMode="External"/><Relationship Id="rId53" Type="http://schemas.openxmlformats.org/officeDocument/2006/relationships/hyperlink" Target="mailto:bwuthrich@wfrc.org" TargetMode="External"/><Relationship Id="rId58" Type="http://schemas.openxmlformats.org/officeDocument/2006/relationships/hyperlink" Target="mailto:mtownsend@wfrc.org" TargetMode="External"/><Relationship Id="rId66" Type="http://schemas.openxmlformats.org/officeDocument/2006/relationships/image" Target="media/image2.jpg"/><Relationship Id="rId7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frc.org/programs/transportation-improvement-program/congestion-mitigation-air-quality-program/" TargetMode="External"/><Relationship Id="rId23" Type="http://schemas.openxmlformats.org/officeDocument/2006/relationships/header" Target="header1.xml"/><Relationship Id="rId28" Type="http://schemas.openxmlformats.org/officeDocument/2006/relationships/hyperlink" Target="mailto:bwuthrich@wfrc.org" TargetMode="External"/><Relationship Id="rId36" Type="http://schemas.openxmlformats.org/officeDocument/2006/relationships/hyperlink" Target="https://www.arcgis.com/home/webmap/viewer.html?webmap=494d57208ea4464bb664ac2da38f9c91&amp;extent=-116.9385,35.9224,-106.1719,42.8498" TargetMode="External"/><Relationship Id="rId49" Type="http://schemas.openxmlformats.org/officeDocument/2006/relationships/hyperlink" Target="mailto:bwuthrich@wfrc.org" TargetMode="External"/><Relationship Id="rId57" Type="http://schemas.openxmlformats.org/officeDocument/2006/relationships/hyperlink" Target="https://wfrc.org/programs/transportation-land-use-connection/" TargetMode="External"/><Relationship Id="rId61" Type="http://schemas.openxmlformats.org/officeDocument/2006/relationships/hyperlink" Target="https://docs.google.com/forms/d/e/1FAIpQLSf1HnQLRDz2js9d9qrbtwt8xri6FozMHPSDlvkE-Xx1taJIow/viewform" TargetMode="External"/><Relationship Id="rId10" Type="http://schemas.openxmlformats.org/officeDocument/2006/relationships/hyperlink" Target="https://wfrc.org/programs/transportation-improvement-program/congestion-mitigation-air-quality-program/" TargetMode="External"/><Relationship Id="rId19" Type="http://schemas.openxmlformats.org/officeDocument/2006/relationships/hyperlink" Target="https://wfrc.org/programs/community-development-block-grant/" TargetMode="External"/><Relationship Id="rId31" Type="http://schemas.openxmlformats.org/officeDocument/2006/relationships/hyperlink" Target="mailto:mtownsend@wfrc.org" TargetMode="External"/><Relationship Id="rId44" Type="http://schemas.openxmlformats.org/officeDocument/2006/relationships/hyperlink" Target="https://docs.google.com/forms/d/e/1FAIpQLSe-0iXVyatgB_ACcKi90_wxzPi2OoRdPWFxlrFDjSYVhHXEIg/viewform?usp=sf_link" TargetMode="External"/><Relationship Id="rId52" Type="http://schemas.openxmlformats.org/officeDocument/2006/relationships/hyperlink" Target="https://docs.google.com/forms/d/e/1FAIpQLSe-0iXVyatgB_ACcKi90_wxzPi2OoRdPWFxlrFDjSYVhHXEIg/viewform?usp=sf_link" TargetMode="External"/><Relationship Id="rId60" Type="http://schemas.openxmlformats.org/officeDocument/2006/relationships/hyperlink" Target="https://docs.google.com/document/d/1GOVsDpJme-y8vjB7yqTWr22ASacw_XqlqlpVkk181Tg/edit" TargetMode="External"/><Relationship Id="rId65" Type="http://schemas.openxmlformats.org/officeDocument/2006/relationships/footer" Target="footer4.xml"/><Relationship Id="rId73"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s://wfrc.org/programs/transportation-improvement-program/congestion-mitigation-air-quality-program/" TargetMode="External"/><Relationship Id="rId14" Type="http://schemas.openxmlformats.org/officeDocument/2006/relationships/hyperlink" Target="https://wfrc.org/programs/transportation-improvement-program/carbon-reduction-program/" TargetMode="External"/><Relationship Id="rId22" Type="http://schemas.openxmlformats.org/officeDocument/2006/relationships/hyperlink" Target="https://wfrc.org/programs/wasatch-front-economic-development-district/" TargetMode="External"/><Relationship Id="rId27" Type="http://schemas.openxmlformats.org/officeDocument/2006/relationships/hyperlink" Target="mailto:bwuthrich@wfrc.org" TargetMode="External"/><Relationship Id="rId30" Type="http://schemas.openxmlformats.org/officeDocument/2006/relationships/hyperlink" Target="mailto:bwuthrich@wfrc.org" TargetMode="External"/><Relationship Id="rId35" Type="http://schemas.openxmlformats.org/officeDocument/2006/relationships/image" Target="media/image3.png"/><Relationship Id="rId43" Type="http://schemas.openxmlformats.org/officeDocument/2006/relationships/hyperlink" Target="https://wfrc.org/Programs/CongestionManagement/ProgramEnhancements/FY20_UPWP_FINAL_pgviiimap.pdf" TargetMode="External"/><Relationship Id="rId48" Type="http://schemas.openxmlformats.org/officeDocument/2006/relationships/hyperlink" Target="https://docs.google.com/forms/d/e/1FAIpQLSe-0iXVyatgB_ACcKi90_wxzPi2OoRdPWFxlrFDjSYVhHXEIg/viewform?usp=sf_link" TargetMode="External"/><Relationship Id="rId56" Type="http://schemas.openxmlformats.org/officeDocument/2006/relationships/hyperlink" Target="https://docs.google.com/forms/d/e/1FAIpQLSe-0iXVyatgB_ACcKi90_wxzPi2OoRdPWFxlrFDjSYVhHXEIg/viewform?usp=sf_link" TargetMode="External"/><Relationship Id="rId64" Type="http://schemas.openxmlformats.org/officeDocument/2006/relationships/header" Target="header4.xml"/><Relationship Id="rId69" Type="http://schemas.openxmlformats.org/officeDocument/2006/relationships/hyperlink" Target="mailto:christy@wfrc.org" TargetMode="External"/><Relationship Id="rId8" Type="http://schemas.openxmlformats.org/officeDocument/2006/relationships/hyperlink" Target="https://wfrc.org/programs/transportation-improvement-program/surface-transportation-program/" TargetMode="External"/><Relationship Id="rId51" Type="http://schemas.openxmlformats.org/officeDocument/2006/relationships/hyperlink" Target="https://wfrc.org/Programs/CongestionManagement/ProgramEnhancements/FY20_UPWP_FINAL_pgviiimap.pdf" TargetMode="External"/><Relationship Id="rId72" Type="http://schemas.openxmlformats.org/officeDocument/2006/relationships/hyperlink" Target="mailto:mwhite@wfrc.org" TargetMode="External"/><Relationship Id="rId3" Type="http://schemas.openxmlformats.org/officeDocument/2006/relationships/settings" Target="settings.xml"/><Relationship Id="rId12" Type="http://schemas.openxmlformats.org/officeDocument/2006/relationships/hyperlink" Target="https://wfrc.org/programs/transportation-improvement-program/transportation-alternatives-program/" TargetMode="External"/><Relationship Id="rId17" Type="http://schemas.openxmlformats.org/officeDocument/2006/relationships/hyperlink" Target="https://wfrc.org/programs/station-area-planning-hb462/" TargetMode="External"/><Relationship Id="rId25" Type="http://schemas.openxmlformats.org/officeDocument/2006/relationships/header" Target="header2.xml"/><Relationship Id="rId33" Type="http://schemas.openxmlformats.org/officeDocument/2006/relationships/hyperlink" Target="mailto:christy@wfrc.org" TargetMode="External"/><Relationship Id="rId38" Type="http://schemas.openxmlformats.org/officeDocument/2006/relationships/hyperlink" Target="https://docs.google.com/forms/d/e/1FAIpQLSe-0iXVyatgB_ACcKi90_wxzPi2OoRdPWFxlrFDjSYVhHXEIg/viewform?usp=sf_link" TargetMode="External"/><Relationship Id="rId46" Type="http://schemas.openxmlformats.org/officeDocument/2006/relationships/hyperlink" Target="mailto:bwuthrich@wfrc.org" TargetMode="External"/><Relationship Id="rId59" Type="http://schemas.openxmlformats.org/officeDocument/2006/relationships/hyperlink" Target="https://wfrc.org/programs/station-area-planning-hb462/" TargetMode="External"/><Relationship Id="rId67" Type="http://schemas.openxmlformats.org/officeDocument/2006/relationships/image" Target="media/image50.png"/><Relationship Id="rId20" Type="http://schemas.openxmlformats.org/officeDocument/2006/relationships/hyperlink" Target="https://wfrc.org/programs/community-development-block-grant/" TargetMode="External"/><Relationship Id="rId41" Type="http://schemas.openxmlformats.org/officeDocument/2006/relationships/hyperlink" Target="mailto:bwuthrich@wfrc.org" TargetMode="External"/><Relationship Id="rId54" Type="http://schemas.openxmlformats.org/officeDocument/2006/relationships/image" Target="media/image7.png"/><Relationship Id="rId62" Type="http://schemas.openxmlformats.org/officeDocument/2006/relationships/hyperlink" Target="https://wfrc.org/programs/station-area-planning-hb462/" TargetMode="External"/><Relationship Id="rId70" Type="http://schemas.openxmlformats.org/officeDocument/2006/relationships/image" Target="media/image8.jpg"/><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footer4.xml.rels><?xml version="1.0" encoding="UTF-8" standalone="yes"?>
<Relationships xmlns="http://schemas.openxmlformats.org/package/2006/relationships"><Relationship Id="rId1" Type="http://schemas.openxmlformats.org/officeDocument/2006/relationships/image" Target="media/image40.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4917</Words>
  <Characters>28032</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Davis County Government</Company>
  <LinksUpToDate>false</LinksUpToDate>
  <CharactersWithSpaces>32884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Lyndsi Maglish</dc:creator>
  <cp:lastModifiedBy>Lyndsi Maglish</cp:lastModifiedBy>
  <cp:revision>2</cp:revision>
  <dcterms:created xsi:type="dcterms:W3CDTF">2022-09-20T22:50:00Z</dcterms:created>
  <dcterms:modified xsi:type="dcterms:W3CDTF">2022-09-20T22:50:00Z</dcterms:modified>
</cp:coreProperties>
</file>