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8590" w14:textId="77777777" w:rsidR="00251A96" w:rsidRDefault="006C49F0">
      <w:pPr>
        <w:widowControl w:val="0"/>
        <w:spacing w:after="0" w:line="276" w:lineRule="auto"/>
        <w:rPr>
          <w:rFonts w:ascii="Arial" w:eastAsia="Arial" w:hAnsi="Arial" w:cs="Arial"/>
        </w:rPr>
      </w:pPr>
      <w:r>
        <w:rPr>
          <w:rFonts w:ascii="Arial" w:eastAsia="Arial" w:hAnsi="Arial" w:cs="Arial"/>
          <w:noProof/>
        </w:rPr>
        <w:drawing>
          <wp:inline distT="114300" distB="114300" distL="114300" distR="114300" wp14:anchorId="6BDCD0D2" wp14:editId="1143E9EC">
            <wp:extent cx="2843213" cy="9614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43213" cy="961433"/>
                    </a:xfrm>
                    <a:prstGeom prst="rect">
                      <a:avLst/>
                    </a:prstGeom>
                    <a:ln/>
                  </pic:spPr>
                </pic:pic>
              </a:graphicData>
            </a:graphic>
          </wp:inline>
        </w:drawing>
      </w:r>
    </w:p>
    <w:p w14:paraId="1A3CA800" w14:textId="77777777" w:rsidR="00251A96" w:rsidRDefault="00251A96">
      <w:pPr>
        <w:widowControl w:val="0"/>
        <w:spacing w:after="0" w:line="276" w:lineRule="auto"/>
        <w:rPr>
          <w:rFonts w:ascii="Arial" w:eastAsia="Arial" w:hAnsi="Arial" w:cs="Arial"/>
        </w:rPr>
      </w:pPr>
    </w:p>
    <w:tbl>
      <w:tblPr>
        <w:tblStyle w:val="a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51A96" w14:paraId="0EC19D49" w14:textId="77777777">
        <w:trPr>
          <w:trHeight w:val="405"/>
        </w:trPr>
        <w:tc>
          <w:tcPr>
            <w:tcW w:w="10790" w:type="dxa"/>
            <w:shd w:val="clear" w:color="auto" w:fill="5B9BD5"/>
          </w:tcPr>
          <w:p w14:paraId="2405D4CE" w14:textId="77777777" w:rsidR="00251A96" w:rsidRDefault="006C49F0">
            <w:pPr>
              <w:jc w:val="center"/>
              <w:rPr>
                <w:b/>
                <w:i/>
                <w:color w:val="4472C4"/>
                <w:sz w:val="32"/>
                <w:szCs w:val="32"/>
                <w:u w:val="single"/>
              </w:rPr>
            </w:pPr>
            <w:r>
              <w:rPr>
                <w:b/>
                <w:i/>
                <w:color w:val="FFFFFF"/>
                <w:sz w:val="32"/>
                <w:szCs w:val="32"/>
              </w:rPr>
              <w:t>EARLY LEARNING PLAN 2022-2023</w:t>
            </w:r>
          </w:p>
        </w:tc>
      </w:tr>
    </w:tbl>
    <w:p w14:paraId="34BBA0B5" w14:textId="77777777" w:rsidR="00251A96" w:rsidRDefault="00251A96">
      <w:pPr>
        <w:rPr>
          <w:b/>
          <w:i/>
          <w:color w:val="4472C4"/>
          <w:sz w:val="2"/>
          <w:szCs w:val="2"/>
        </w:rPr>
      </w:pPr>
    </w:p>
    <w:tbl>
      <w:tblPr>
        <w:tblStyle w:val="a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51A96" w14:paraId="340CCE05" w14:textId="77777777">
        <w:trPr>
          <w:trHeight w:val="216"/>
        </w:trPr>
        <w:tc>
          <w:tcPr>
            <w:tcW w:w="10790" w:type="dxa"/>
          </w:tcPr>
          <w:p w14:paraId="1D111985" w14:textId="4DB22E22" w:rsidR="00251A96" w:rsidRDefault="006C49F0">
            <w:pPr>
              <w:rPr>
                <w:b/>
                <w:sz w:val="28"/>
                <w:szCs w:val="28"/>
              </w:rPr>
            </w:pPr>
            <w:r>
              <w:rPr>
                <w:b/>
                <w:sz w:val="28"/>
                <w:szCs w:val="28"/>
              </w:rPr>
              <w:t xml:space="preserve">LEA Name: </w:t>
            </w:r>
            <w:r w:rsidR="007B3771">
              <w:rPr>
                <w:b/>
                <w:sz w:val="28"/>
                <w:szCs w:val="28"/>
              </w:rPr>
              <w:t xml:space="preserve"> PINNACLE CANYON ACADEMY</w:t>
            </w:r>
          </w:p>
        </w:tc>
      </w:tr>
      <w:tr w:rsidR="00251A96" w14:paraId="787D2B5D" w14:textId="77777777">
        <w:tc>
          <w:tcPr>
            <w:tcW w:w="10790" w:type="dxa"/>
          </w:tcPr>
          <w:p w14:paraId="6A487353" w14:textId="65043CC0" w:rsidR="00251A96" w:rsidRDefault="006C49F0">
            <w:pPr>
              <w:rPr>
                <w:b/>
                <w:sz w:val="28"/>
                <w:szCs w:val="28"/>
              </w:rPr>
            </w:pPr>
            <w:r>
              <w:rPr>
                <w:b/>
                <w:sz w:val="28"/>
                <w:szCs w:val="28"/>
              </w:rPr>
              <w:t xml:space="preserve">Date of Expected Local Board Approval: </w:t>
            </w:r>
            <w:r w:rsidR="007B3771">
              <w:rPr>
                <w:b/>
                <w:sz w:val="28"/>
                <w:szCs w:val="28"/>
              </w:rPr>
              <w:t xml:space="preserve">  August 23, 2022</w:t>
            </w:r>
          </w:p>
        </w:tc>
      </w:tr>
      <w:tr w:rsidR="00251A96" w14:paraId="05D332AA" w14:textId="77777777">
        <w:tc>
          <w:tcPr>
            <w:tcW w:w="10790" w:type="dxa"/>
          </w:tcPr>
          <w:p w14:paraId="74F5846B" w14:textId="77777777" w:rsidR="00251A96" w:rsidRDefault="006C49F0">
            <w:pPr>
              <w:rPr>
                <w:b/>
                <w:sz w:val="28"/>
                <w:szCs w:val="28"/>
              </w:rPr>
            </w:pPr>
            <w:r>
              <w:rPr>
                <w:b/>
                <w:sz w:val="28"/>
                <w:szCs w:val="28"/>
              </w:rPr>
              <w:t>Directions:</w:t>
            </w:r>
          </w:p>
          <w:p w14:paraId="09E603F8" w14:textId="77777777" w:rsidR="00251A96" w:rsidRDefault="006C49F0">
            <w:pPr>
              <w:widowControl w:val="0"/>
              <w:numPr>
                <w:ilvl w:val="0"/>
                <w:numId w:val="6"/>
              </w:numPr>
              <w:spacing w:after="160"/>
              <w:rPr>
                <w:i/>
              </w:rPr>
            </w:pPr>
            <w:r>
              <w:rPr>
                <w:b/>
                <w:i/>
              </w:rPr>
              <w:t xml:space="preserve">To support LEAs in successful completion of this plan, a Look </w:t>
            </w:r>
            <w:proofErr w:type="spellStart"/>
            <w:r>
              <w:rPr>
                <w:b/>
                <w:i/>
              </w:rPr>
              <w:t>Fors</w:t>
            </w:r>
            <w:proofErr w:type="spellEnd"/>
            <w:r>
              <w:rPr>
                <w:b/>
                <w:i/>
              </w:rPr>
              <w:t xml:space="preserve"> Document has been created and can be found here: </w:t>
            </w:r>
            <w:hyperlink r:id="rId9">
              <w:r>
                <w:rPr>
                  <w:b/>
                  <w:i/>
                  <w:color w:val="1155CC"/>
                  <w:u w:val="single"/>
                </w:rPr>
                <w:t>https://docs.google.com/document/d/1GsmMc88Gnk7-aO3K7OKGODi5ad_0Y2Ti/edit?usp=sharing&amp;ouid=111364743146836537372&amp;rtpof=true&amp;sd=true</w:t>
              </w:r>
            </w:hyperlink>
            <w:r>
              <w:rPr>
                <w:b/>
                <w:i/>
              </w:rPr>
              <w:t xml:space="preserve"> </w:t>
            </w:r>
          </w:p>
          <w:p w14:paraId="583307C0" w14:textId="77777777" w:rsidR="00251A96" w:rsidRDefault="006C49F0">
            <w:pPr>
              <w:numPr>
                <w:ilvl w:val="0"/>
                <w:numId w:val="6"/>
              </w:numPr>
              <w:rPr>
                <w:i/>
              </w:rPr>
            </w:pPr>
            <w:r>
              <w:rPr>
                <w:i/>
              </w:rPr>
              <w:t xml:space="preserve">Submission of an Early Learning Plan (sections A, B, and C) is required for each LEA regardless of applying for funding. </w:t>
            </w:r>
          </w:p>
          <w:p w14:paraId="38BD359B" w14:textId="77777777" w:rsidR="00251A96" w:rsidRDefault="00251A96">
            <w:pPr>
              <w:rPr>
                <w:b/>
              </w:rPr>
            </w:pPr>
          </w:p>
          <w:p w14:paraId="4DBE4184" w14:textId="77777777" w:rsidR="00251A96" w:rsidRDefault="006C49F0">
            <w:pPr>
              <w:rPr>
                <w:i/>
                <w:sz w:val="28"/>
                <w:szCs w:val="28"/>
              </w:rPr>
            </w:pPr>
            <w:r>
              <w:rPr>
                <w:b/>
                <w:sz w:val="28"/>
                <w:szCs w:val="28"/>
              </w:rPr>
              <w:t>Funds Being Applied for:</w:t>
            </w:r>
            <w:r>
              <w:rPr>
                <w:sz w:val="28"/>
                <w:szCs w:val="28"/>
              </w:rPr>
              <w:t xml:space="preserve"> </w:t>
            </w:r>
            <w:r>
              <w:rPr>
                <w:i/>
                <w:sz w:val="28"/>
                <w:szCs w:val="28"/>
              </w:rPr>
              <w:t>Check all that apply. (</w:t>
            </w:r>
            <w:hyperlink r:id="rId10">
              <w:r>
                <w:rPr>
                  <w:b/>
                  <w:i/>
                  <w:color w:val="1155CC"/>
                  <w:sz w:val="28"/>
                  <w:szCs w:val="28"/>
                  <w:u w:val="single"/>
                </w:rPr>
                <w:t>Estimated Funding and Matching Amounts</w:t>
              </w:r>
            </w:hyperlink>
            <w:r>
              <w:rPr>
                <w:i/>
                <w:sz w:val="28"/>
                <w:szCs w:val="28"/>
              </w:rPr>
              <w:t>)</w:t>
            </w:r>
          </w:p>
          <w:p w14:paraId="16E4465D" w14:textId="77777777" w:rsidR="00251A96" w:rsidRDefault="00251A96">
            <w:pPr>
              <w:rPr>
                <w:i/>
                <w:sz w:val="28"/>
                <w:szCs w:val="28"/>
                <w:highlight w:val="magenta"/>
              </w:rPr>
            </w:pPr>
          </w:p>
          <w:p w14:paraId="4E6C165B" w14:textId="41E5B270" w:rsidR="00251A96" w:rsidRPr="00422012" w:rsidRDefault="00602B2B" w:rsidP="00602B2B">
            <w:pPr>
              <w:ind w:left="360"/>
              <w:rPr>
                <w:sz w:val="28"/>
                <w:szCs w:val="28"/>
              </w:rPr>
            </w:pPr>
            <w:r>
              <w:rPr>
                <w:b/>
                <w:sz w:val="28"/>
                <w:szCs w:val="28"/>
              </w:rPr>
              <w:t xml:space="preserve">[X] </w:t>
            </w:r>
            <w:r w:rsidR="006C49F0">
              <w:rPr>
                <w:b/>
                <w:sz w:val="28"/>
                <w:szCs w:val="28"/>
              </w:rPr>
              <w:t xml:space="preserve">Early Literacy Program Funds </w:t>
            </w:r>
          </w:p>
          <w:p w14:paraId="1C622DEE" w14:textId="77777777" w:rsidR="00422012" w:rsidRDefault="00422012" w:rsidP="00422012">
            <w:pPr>
              <w:ind w:left="720"/>
              <w:rPr>
                <w:sz w:val="28"/>
                <w:szCs w:val="28"/>
              </w:rPr>
            </w:pPr>
          </w:p>
          <w:p w14:paraId="23A28038" w14:textId="77777777" w:rsidR="00251A96" w:rsidRDefault="006C49F0">
            <w:pPr>
              <w:rPr>
                <w:b/>
                <w:sz w:val="28"/>
                <w:szCs w:val="28"/>
              </w:rPr>
            </w:pPr>
            <w:r>
              <w:rPr>
                <w:b/>
                <w:sz w:val="28"/>
                <w:szCs w:val="28"/>
              </w:rPr>
              <w:t xml:space="preserve">           </w:t>
            </w:r>
            <w:r>
              <w:rPr>
                <w:b/>
                <w:sz w:val="28"/>
                <w:szCs w:val="28"/>
                <w:u w:val="single"/>
              </w:rPr>
              <w:t>DISTRICT ONLY</w:t>
            </w:r>
            <w:r>
              <w:rPr>
                <w:b/>
                <w:sz w:val="28"/>
                <w:szCs w:val="28"/>
              </w:rPr>
              <w:t xml:space="preserve"> - Matching Funds: </w:t>
            </w:r>
          </w:p>
          <w:p w14:paraId="2C1DB20C" w14:textId="77777777" w:rsidR="00251A96" w:rsidRDefault="00251A96">
            <w:pPr>
              <w:rPr>
                <w:b/>
                <w:sz w:val="28"/>
                <w:szCs w:val="28"/>
              </w:rPr>
            </w:pPr>
          </w:p>
          <w:tbl>
            <w:tblPr>
              <w:tblStyle w:val="aff9"/>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0"/>
              <w:gridCol w:w="3530"/>
              <w:gridCol w:w="3530"/>
            </w:tblGrid>
            <w:tr w:rsidR="00251A96" w14:paraId="2FB93271" w14:textId="77777777">
              <w:tc>
                <w:tcPr>
                  <w:tcW w:w="3530" w:type="dxa"/>
                  <w:shd w:val="clear" w:color="auto" w:fill="CCCCCC"/>
                  <w:tcMar>
                    <w:top w:w="100" w:type="dxa"/>
                    <w:left w:w="100" w:type="dxa"/>
                    <w:bottom w:w="100" w:type="dxa"/>
                    <w:right w:w="100" w:type="dxa"/>
                  </w:tcMar>
                </w:tcPr>
                <w:p w14:paraId="0A4437B3" w14:textId="77777777" w:rsidR="00251A96" w:rsidRDefault="006C49F0">
                  <w:pPr>
                    <w:widowControl w:val="0"/>
                    <w:jc w:val="center"/>
                    <w:rPr>
                      <w:b/>
                      <w:sz w:val="28"/>
                      <w:szCs w:val="28"/>
                    </w:rPr>
                  </w:pPr>
                  <w:r>
                    <w:rPr>
                      <w:b/>
                      <w:sz w:val="28"/>
                      <w:szCs w:val="28"/>
                    </w:rPr>
                    <w:t>Program</w:t>
                  </w:r>
                </w:p>
              </w:tc>
              <w:tc>
                <w:tcPr>
                  <w:tcW w:w="3530" w:type="dxa"/>
                  <w:shd w:val="clear" w:color="auto" w:fill="CCCCCC"/>
                  <w:tcMar>
                    <w:top w:w="100" w:type="dxa"/>
                    <w:left w:w="100" w:type="dxa"/>
                    <w:bottom w:w="100" w:type="dxa"/>
                    <w:right w:w="100" w:type="dxa"/>
                  </w:tcMar>
                </w:tcPr>
                <w:p w14:paraId="7619907C" w14:textId="77777777" w:rsidR="00251A96" w:rsidRDefault="006C49F0">
                  <w:pPr>
                    <w:widowControl w:val="0"/>
                    <w:jc w:val="center"/>
                    <w:rPr>
                      <w:b/>
                      <w:sz w:val="28"/>
                      <w:szCs w:val="28"/>
                    </w:rPr>
                  </w:pPr>
                  <w:r>
                    <w:rPr>
                      <w:b/>
                      <w:sz w:val="28"/>
                      <w:szCs w:val="28"/>
                    </w:rPr>
                    <w:t>Amount Matching</w:t>
                  </w:r>
                </w:p>
              </w:tc>
              <w:tc>
                <w:tcPr>
                  <w:tcW w:w="3530" w:type="dxa"/>
                  <w:shd w:val="clear" w:color="auto" w:fill="CCCCCC"/>
                  <w:tcMar>
                    <w:top w:w="100" w:type="dxa"/>
                    <w:left w:w="100" w:type="dxa"/>
                    <w:bottom w:w="100" w:type="dxa"/>
                    <w:right w:w="100" w:type="dxa"/>
                  </w:tcMar>
                </w:tcPr>
                <w:p w14:paraId="4DC8E9AB" w14:textId="77777777" w:rsidR="00251A96" w:rsidRDefault="006C49F0">
                  <w:pPr>
                    <w:widowControl w:val="0"/>
                    <w:jc w:val="center"/>
                    <w:rPr>
                      <w:b/>
                      <w:sz w:val="28"/>
                      <w:szCs w:val="28"/>
                    </w:rPr>
                  </w:pPr>
                  <w:r>
                    <w:rPr>
                      <w:b/>
                      <w:sz w:val="28"/>
                      <w:szCs w:val="28"/>
                    </w:rPr>
                    <w:t>Levy</w:t>
                  </w:r>
                </w:p>
              </w:tc>
            </w:tr>
            <w:tr w:rsidR="00251A96" w14:paraId="37092B58" w14:textId="77777777">
              <w:tc>
                <w:tcPr>
                  <w:tcW w:w="3530" w:type="dxa"/>
                  <w:shd w:val="clear" w:color="auto" w:fill="auto"/>
                  <w:tcMar>
                    <w:top w:w="100" w:type="dxa"/>
                    <w:left w:w="100" w:type="dxa"/>
                    <w:bottom w:w="100" w:type="dxa"/>
                    <w:right w:w="100" w:type="dxa"/>
                  </w:tcMar>
                </w:tcPr>
                <w:p w14:paraId="6ED0F369" w14:textId="77777777" w:rsidR="00251A96" w:rsidRDefault="006C49F0">
                  <w:pPr>
                    <w:rPr>
                      <w:sz w:val="28"/>
                      <w:szCs w:val="28"/>
                    </w:rPr>
                  </w:pPr>
                  <w:r>
                    <w:rPr>
                      <w:sz w:val="28"/>
                      <w:szCs w:val="28"/>
                    </w:rPr>
                    <w:t xml:space="preserve">   ☐ </w:t>
                  </w:r>
                  <w:r>
                    <w:rPr>
                      <w:b/>
                      <w:sz w:val="28"/>
                      <w:szCs w:val="28"/>
                    </w:rPr>
                    <w:t>Low Income Program</w:t>
                  </w:r>
                </w:p>
              </w:tc>
              <w:tc>
                <w:tcPr>
                  <w:tcW w:w="3530" w:type="dxa"/>
                  <w:shd w:val="clear" w:color="auto" w:fill="auto"/>
                  <w:tcMar>
                    <w:top w:w="100" w:type="dxa"/>
                    <w:left w:w="100" w:type="dxa"/>
                    <w:bottom w:w="100" w:type="dxa"/>
                    <w:right w:w="100" w:type="dxa"/>
                  </w:tcMar>
                </w:tcPr>
                <w:p w14:paraId="61170598" w14:textId="77777777" w:rsidR="00251A96" w:rsidRDefault="006C49F0">
                  <w:pPr>
                    <w:widowControl w:val="0"/>
                    <w:rPr>
                      <w:sz w:val="28"/>
                      <w:szCs w:val="28"/>
                    </w:rPr>
                  </w:pPr>
                  <w:r>
                    <w:rPr>
                      <w:sz w:val="28"/>
                      <w:szCs w:val="28"/>
                    </w:rPr>
                    <w:t>$</w:t>
                  </w:r>
                </w:p>
              </w:tc>
              <w:tc>
                <w:tcPr>
                  <w:tcW w:w="3530" w:type="dxa"/>
                  <w:shd w:val="clear" w:color="auto" w:fill="auto"/>
                  <w:tcMar>
                    <w:top w:w="100" w:type="dxa"/>
                    <w:left w:w="100" w:type="dxa"/>
                    <w:bottom w:w="100" w:type="dxa"/>
                    <w:right w:w="100" w:type="dxa"/>
                  </w:tcMar>
                </w:tcPr>
                <w:p w14:paraId="4B3E7B33" w14:textId="77777777" w:rsidR="00251A96" w:rsidRDefault="00251A96">
                  <w:pPr>
                    <w:widowControl w:val="0"/>
                    <w:rPr>
                      <w:sz w:val="28"/>
                      <w:szCs w:val="28"/>
                    </w:rPr>
                  </w:pPr>
                </w:p>
              </w:tc>
            </w:tr>
            <w:tr w:rsidR="00251A96" w14:paraId="37E23338" w14:textId="77777777">
              <w:tc>
                <w:tcPr>
                  <w:tcW w:w="3530" w:type="dxa"/>
                  <w:shd w:val="clear" w:color="auto" w:fill="auto"/>
                  <w:tcMar>
                    <w:top w:w="100" w:type="dxa"/>
                    <w:left w:w="100" w:type="dxa"/>
                    <w:bottom w:w="100" w:type="dxa"/>
                    <w:right w:w="100" w:type="dxa"/>
                  </w:tcMar>
                </w:tcPr>
                <w:p w14:paraId="75D0A44F" w14:textId="77777777" w:rsidR="00251A96" w:rsidRDefault="006C49F0">
                  <w:pPr>
                    <w:rPr>
                      <w:sz w:val="28"/>
                      <w:szCs w:val="28"/>
                    </w:rPr>
                  </w:pPr>
                  <w:r>
                    <w:rPr>
                      <w:sz w:val="28"/>
                      <w:szCs w:val="28"/>
                    </w:rPr>
                    <w:t xml:space="preserve">   ☐ </w:t>
                  </w:r>
                  <w:r>
                    <w:rPr>
                      <w:b/>
                      <w:sz w:val="28"/>
                      <w:szCs w:val="28"/>
                    </w:rPr>
                    <w:t xml:space="preserve">Guarantee Program </w:t>
                  </w:r>
                </w:p>
              </w:tc>
              <w:tc>
                <w:tcPr>
                  <w:tcW w:w="3530" w:type="dxa"/>
                  <w:shd w:val="clear" w:color="auto" w:fill="auto"/>
                  <w:tcMar>
                    <w:top w:w="100" w:type="dxa"/>
                    <w:left w:w="100" w:type="dxa"/>
                    <w:bottom w:w="100" w:type="dxa"/>
                    <w:right w:w="100" w:type="dxa"/>
                  </w:tcMar>
                </w:tcPr>
                <w:p w14:paraId="603C66A1" w14:textId="77777777" w:rsidR="00251A96" w:rsidRDefault="006C49F0">
                  <w:pPr>
                    <w:widowControl w:val="0"/>
                    <w:rPr>
                      <w:sz w:val="28"/>
                      <w:szCs w:val="28"/>
                    </w:rPr>
                  </w:pPr>
                  <w:r>
                    <w:rPr>
                      <w:sz w:val="28"/>
                      <w:szCs w:val="28"/>
                    </w:rPr>
                    <w:t>$</w:t>
                  </w:r>
                </w:p>
              </w:tc>
              <w:tc>
                <w:tcPr>
                  <w:tcW w:w="3530" w:type="dxa"/>
                  <w:shd w:val="clear" w:color="auto" w:fill="auto"/>
                  <w:tcMar>
                    <w:top w:w="100" w:type="dxa"/>
                    <w:left w:w="100" w:type="dxa"/>
                    <w:bottom w:w="100" w:type="dxa"/>
                    <w:right w:w="100" w:type="dxa"/>
                  </w:tcMar>
                </w:tcPr>
                <w:p w14:paraId="083A191D" w14:textId="77777777" w:rsidR="00251A96" w:rsidRDefault="00251A96">
                  <w:pPr>
                    <w:widowControl w:val="0"/>
                    <w:rPr>
                      <w:sz w:val="28"/>
                      <w:szCs w:val="28"/>
                    </w:rPr>
                  </w:pPr>
                </w:p>
              </w:tc>
            </w:tr>
          </w:tbl>
          <w:p w14:paraId="7BD3C255" w14:textId="77777777" w:rsidR="00251A96" w:rsidRDefault="00251A96">
            <w:pPr>
              <w:rPr>
                <w:b/>
                <w:sz w:val="28"/>
                <w:szCs w:val="28"/>
              </w:rPr>
            </w:pPr>
          </w:p>
        </w:tc>
      </w:tr>
      <w:tr w:rsidR="00251A96" w14:paraId="6A915E71" w14:textId="77777777">
        <w:tc>
          <w:tcPr>
            <w:tcW w:w="10790" w:type="dxa"/>
          </w:tcPr>
          <w:p w14:paraId="124B59EF" w14:textId="77777777" w:rsidR="00251A96" w:rsidRDefault="006C49F0">
            <w:pPr>
              <w:rPr>
                <w:b/>
                <w:sz w:val="28"/>
                <w:szCs w:val="28"/>
              </w:rPr>
            </w:pPr>
            <w:r>
              <w:rPr>
                <w:b/>
                <w:sz w:val="28"/>
                <w:szCs w:val="28"/>
              </w:rPr>
              <w:t xml:space="preserve">Submission of Early Learning Plan: </w:t>
            </w:r>
            <w:hyperlink r:id="rId11">
              <w:r>
                <w:rPr>
                  <w:b/>
                  <w:color w:val="1155CC"/>
                  <w:sz w:val="28"/>
                  <w:szCs w:val="28"/>
                  <w:u w:val="single"/>
                </w:rPr>
                <w:t>Pathways to Early Learning Program (ELP) Plan Submission and Approval</w:t>
              </w:r>
            </w:hyperlink>
          </w:p>
          <w:p w14:paraId="6FC5E5CF" w14:textId="77777777" w:rsidR="00251A96" w:rsidRDefault="006C49F0">
            <w:pPr>
              <w:numPr>
                <w:ilvl w:val="0"/>
                <w:numId w:val="1"/>
              </w:numPr>
            </w:pPr>
            <w:r>
              <w:t xml:space="preserve">Submission on or before August 1st: For ELP </w:t>
            </w:r>
            <w:r>
              <w:rPr>
                <w:b/>
              </w:rPr>
              <w:t>preapproval</w:t>
            </w:r>
            <w:r>
              <w:t xml:space="preserve">, submit the following to </w:t>
            </w:r>
            <w:hyperlink r:id="rId12">
              <w:r>
                <w:rPr>
                  <w:color w:val="1155CC"/>
                  <w:u w:val="single"/>
                </w:rPr>
                <w:t>earlylearning@schools.utah.gov</w:t>
              </w:r>
            </w:hyperlink>
            <w:r>
              <w:rPr>
                <w:b/>
                <w:i/>
              </w:rPr>
              <w:t xml:space="preserve"> </w:t>
            </w:r>
            <w:r>
              <w:rPr>
                <w:b/>
              </w:rPr>
              <w:t>by August 1st</w:t>
            </w:r>
            <w:r>
              <w:rPr>
                <w:b/>
                <w:i/>
              </w:rPr>
              <w:t xml:space="preserve">. </w:t>
            </w:r>
          </w:p>
          <w:p w14:paraId="160E3B0D" w14:textId="77777777" w:rsidR="00251A96" w:rsidRDefault="006C49F0">
            <w:pPr>
              <w:numPr>
                <w:ilvl w:val="1"/>
                <w:numId w:val="1"/>
              </w:numPr>
            </w:pPr>
            <w:r>
              <w:t xml:space="preserve">ELP Plan as a </w:t>
            </w:r>
            <w:r>
              <w:rPr>
                <w:u w:val="single"/>
              </w:rPr>
              <w:t>WORD</w:t>
            </w:r>
            <w:r>
              <w:t xml:space="preserve"> document </w:t>
            </w:r>
          </w:p>
          <w:p w14:paraId="3AFC1726" w14:textId="77777777" w:rsidR="00251A96" w:rsidRDefault="006C49F0">
            <w:pPr>
              <w:numPr>
                <w:ilvl w:val="0"/>
                <w:numId w:val="1"/>
              </w:numPr>
            </w:pPr>
            <w:r>
              <w:t xml:space="preserve">Submission after August 1st: For ELP </w:t>
            </w:r>
            <w:r>
              <w:rPr>
                <w:b/>
              </w:rPr>
              <w:t>final approval</w:t>
            </w:r>
            <w:r>
              <w:t xml:space="preserve">, submit the following in </w:t>
            </w:r>
            <w:hyperlink r:id="rId13">
              <w:r>
                <w:rPr>
                  <w:color w:val="1155CC"/>
                  <w:u w:val="single"/>
                </w:rPr>
                <w:t>Utah Grants</w:t>
              </w:r>
            </w:hyperlink>
            <w:r>
              <w:t xml:space="preserve"> </w:t>
            </w:r>
            <w:r>
              <w:rPr>
                <w:b/>
              </w:rPr>
              <w:t>no later than September 1st by 5 p.m.</w:t>
            </w:r>
            <w:r>
              <w:rPr>
                <w:b/>
                <w:u w:val="single"/>
              </w:rPr>
              <w:t xml:space="preserve"> </w:t>
            </w:r>
          </w:p>
          <w:p w14:paraId="7410D3D5" w14:textId="77777777" w:rsidR="00251A96" w:rsidRDefault="006C49F0">
            <w:pPr>
              <w:numPr>
                <w:ilvl w:val="1"/>
                <w:numId w:val="1"/>
              </w:numPr>
            </w:pPr>
            <w:r>
              <w:t xml:space="preserve">Early Literacy budget, </w:t>
            </w:r>
          </w:p>
          <w:p w14:paraId="449B9A13" w14:textId="77777777" w:rsidR="00251A96" w:rsidRDefault="006C49F0">
            <w:pPr>
              <w:numPr>
                <w:ilvl w:val="1"/>
                <w:numId w:val="1"/>
              </w:numPr>
            </w:pPr>
            <w:r>
              <w:t xml:space="preserve">Final ELP plan (as an attachment),  </w:t>
            </w:r>
          </w:p>
          <w:p w14:paraId="2072A2F2" w14:textId="77777777" w:rsidR="00251A96" w:rsidRDefault="006C49F0">
            <w:pPr>
              <w:numPr>
                <w:ilvl w:val="1"/>
                <w:numId w:val="1"/>
              </w:numPr>
            </w:pPr>
            <w:r>
              <w:t xml:space="preserve">Local board minutes (as an attachment) </w:t>
            </w:r>
          </w:p>
          <w:p w14:paraId="68E1E1CC" w14:textId="77777777" w:rsidR="00251A96" w:rsidRDefault="006C49F0">
            <w:pPr>
              <w:numPr>
                <w:ilvl w:val="0"/>
                <w:numId w:val="1"/>
              </w:numPr>
            </w:pPr>
            <w:r>
              <w:t xml:space="preserve">Goals must be submitted into the </w:t>
            </w:r>
            <w:hyperlink r:id="rId14">
              <w:r>
                <w:rPr>
                  <w:color w:val="1155CC"/>
                  <w:u w:val="single"/>
                </w:rPr>
                <w:t>Data Gateway - Early Literacy Page</w:t>
              </w:r>
            </w:hyperlink>
            <w:r>
              <w:t xml:space="preserve"> </w:t>
            </w:r>
            <w:r>
              <w:rPr>
                <w:b/>
              </w:rPr>
              <w:t xml:space="preserve">no later than September 1st by 5 p.m. </w:t>
            </w:r>
          </w:p>
          <w:p w14:paraId="3CA03EAE" w14:textId="77777777" w:rsidR="00251A96" w:rsidRDefault="00251A96">
            <w:pPr>
              <w:rPr>
                <w:b/>
                <w:highlight w:val="yellow"/>
                <w:u w:val="single"/>
              </w:rPr>
            </w:pPr>
          </w:p>
        </w:tc>
      </w:tr>
    </w:tbl>
    <w:p w14:paraId="65E10EF5" w14:textId="77777777" w:rsidR="00251A96" w:rsidRDefault="00251A96">
      <w:pPr>
        <w:rPr>
          <w:b/>
          <w:i/>
          <w:sz w:val="2"/>
          <w:szCs w:val="2"/>
        </w:rPr>
      </w:pPr>
    </w:p>
    <w:tbl>
      <w:tblPr>
        <w:tblStyle w:val="a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51A96" w14:paraId="71A37B17" w14:textId="77777777">
        <w:tc>
          <w:tcPr>
            <w:tcW w:w="10790" w:type="dxa"/>
            <w:shd w:val="clear" w:color="auto" w:fill="5B9BD5"/>
          </w:tcPr>
          <w:p w14:paraId="0607BB27" w14:textId="77777777" w:rsidR="00251A96" w:rsidRDefault="006C49F0">
            <w:pPr>
              <w:jc w:val="center"/>
              <w:rPr>
                <w:b/>
                <w:i/>
                <w:color w:val="4472C4"/>
                <w:sz w:val="32"/>
                <w:szCs w:val="32"/>
                <w:u w:val="single"/>
              </w:rPr>
            </w:pPr>
            <w:r>
              <w:rPr>
                <w:b/>
                <w:i/>
                <w:color w:val="FFFFFF"/>
                <w:sz w:val="32"/>
                <w:szCs w:val="32"/>
              </w:rPr>
              <w:t>SECTION A: EARLY LITERACY</w:t>
            </w:r>
          </w:p>
        </w:tc>
      </w:tr>
    </w:tbl>
    <w:p w14:paraId="27B61CD7" w14:textId="77777777" w:rsidR="00251A96" w:rsidRDefault="00251A96">
      <w:pPr>
        <w:pBdr>
          <w:top w:val="nil"/>
          <w:left w:val="nil"/>
          <w:bottom w:val="nil"/>
          <w:right w:val="nil"/>
          <w:between w:val="nil"/>
        </w:pBdr>
        <w:rPr>
          <w:b/>
          <w:sz w:val="2"/>
          <w:szCs w:val="2"/>
        </w:rPr>
      </w:pPr>
    </w:p>
    <w:p w14:paraId="107D24C6" w14:textId="77777777" w:rsidR="00251A96" w:rsidRDefault="006C49F0">
      <w:pPr>
        <w:numPr>
          <w:ilvl w:val="0"/>
          <w:numId w:val="2"/>
        </w:numPr>
        <w:rPr>
          <w:b/>
        </w:rPr>
      </w:pPr>
      <w:r>
        <w:rPr>
          <w:b/>
        </w:rPr>
        <w:t xml:space="preserve">List your evidence-informed core curriculum program(s) for grades K-3 literacy in the following areas: </w:t>
      </w:r>
    </w:p>
    <w:p w14:paraId="2BF86A0A" w14:textId="77777777" w:rsidR="00251A96" w:rsidRDefault="006C49F0">
      <w:pPr>
        <w:ind w:left="720"/>
        <w:rPr>
          <w:i/>
        </w:rPr>
      </w:pPr>
      <w:r>
        <w:lastRenderedPageBreak/>
        <w:t xml:space="preserve">*SB 127: </w:t>
      </w:r>
      <w:r>
        <w:rPr>
          <w:i/>
          <w:highlight w:val="white"/>
        </w:rPr>
        <w:t>Districts and charters are required to provide instructional materials that are evidence-informed for core instruction and evidence-based for intervention and supplemental instruction.</w:t>
      </w:r>
    </w:p>
    <w:tbl>
      <w:tblPr>
        <w:tblStyle w:val="affb"/>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8775"/>
      </w:tblGrid>
      <w:tr w:rsidR="00251A96" w14:paraId="2EA59349" w14:textId="77777777">
        <w:tc>
          <w:tcPr>
            <w:tcW w:w="1830" w:type="dxa"/>
            <w:shd w:val="clear" w:color="auto" w:fill="D9E2F3"/>
            <w:vAlign w:val="center"/>
          </w:tcPr>
          <w:p w14:paraId="7408DE9E" w14:textId="77777777" w:rsidR="00251A96" w:rsidRDefault="006C49F0">
            <w:pPr>
              <w:jc w:val="center"/>
              <w:rPr>
                <w:b/>
              </w:rPr>
            </w:pPr>
            <w:r>
              <w:rPr>
                <w:b/>
              </w:rPr>
              <w:t>Core Area</w:t>
            </w:r>
          </w:p>
        </w:tc>
        <w:tc>
          <w:tcPr>
            <w:tcW w:w="8775" w:type="dxa"/>
            <w:shd w:val="clear" w:color="auto" w:fill="D9E2F3"/>
            <w:vAlign w:val="center"/>
          </w:tcPr>
          <w:p w14:paraId="13513D33" w14:textId="77777777" w:rsidR="00251A96" w:rsidRDefault="006C49F0">
            <w:pPr>
              <w:jc w:val="center"/>
              <w:rPr>
                <w:b/>
              </w:rPr>
            </w:pPr>
            <w:r>
              <w:rPr>
                <w:b/>
              </w:rPr>
              <w:t xml:space="preserve">*Evidence-Informed Curriculum(s) </w:t>
            </w:r>
            <w:r>
              <w:t>(defined in SB 127 as: (</w:t>
            </w:r>
            <w:proofErr w:type="spellStart"/>
            <w:r>
              <w:t>i</w:t>
            </w:r>
            <w:proofErr w:type="spellEnd"/>
            <w:r>
              <w:t>) is developed using high-quality research outside of a controlled setting in the given field, and (ii) includes strategies and activities with a strong scientific basis for use)</w:t>
            </w:r>
          </w:p>
        </w:tc>
      </w:tr>
      <w:tr w:rsidR="00251A96" w14:paraId="56474D8C" w14:textId="77777777">
        <w:tc>
          <w:tcPr>
            <w:tcW w:w="1830" w:type="dxa"/>
          </w:tcPr>
          <w:p w14:paraId="2110357B" w14:textId="77777777" w:rsidR="00251A96" w:rsidRDefault="006C49F0">
            <w:pPr>
              <w:rPr>
                <w:b/>
              </w:rPr>
            </w:pPr>
            <w:r>
              <w:rPr>
                <w:b/>
              </w:rPr>
              <w:t>Phonological Awareness</w:t>
            </w:r>
          </w:p>
        </w:tc>
        <w:tc>
          <w:tcPr>
            <w:tcW w:w="8775" w:type="dxa"/>
          </w:tcPr>
          <w:p w14:paraId="10C0FA19" w14:textId="44B7E291" w:rsidR="00251A96" w:rsidRPr="00E037FE" w:rsidRDefault="00402F97">
            <w:pPr>
              <w:rPr>
                <w:bCs/>
              </w:rPr>
            </w:pPr>
            <w:r w:rsidRPr="00E037FE">
              <w:rPr>
                <w:bCs/>
              </w:rPr>
              <w:t>Wonders, Imagine Learning K-3, Heggerty Phonemic Awareness</w:t>
            </w:r>
          </w:p>
        </w:tc>
      </w:tr>
      <w:tr w:rsidR="00251A96" w14:paraId="19DDC4BA" w14:textId="77777777">
        <w:tc>
          <w:tcPr>
            <w:tcW w:w="1830" w:type="dxa"/>
          </w:tcPr>
          <w:p w14:paraId="0876E41B" w14:textId="77777777" w:rsidR="00251A96" w:rsidRDefault="006C49F0">
            <w:pPr>
              <w:rPr>
                <w:b/>
              </w:rPr>
            </w:pPr>
            <w:r>
              <w:rPr>
                <w:b/>
              </w:rPr>
              <w:t>Phonics</w:t>
            </w:r>
          </w:p>
        </w:tc>
        <w:tc>
          <w:tcPr>
            <w:tcW w:w="8775" w:type="dxa"/>
          </w:tcPr>
          <w:p w14:paraId="74C3E2B9" w14:textId="3007B952" w:rsidR="00251A96" w:rsidRPr="00E037FE" w:rsidRDefault="00402F97">
            <w:pPr>
              <w:rPr>
                <w:bCs/>
              </w:rPr>
            </w:pPr>
            <w:r w:rsidRPr="00E037FE">
              <w:rPr>
                <w:bCs/>
              </w:rPr>
              <w:t>Wonders, Imagine Learning K-3</w:t>
            </w:r>
          </w:p>
        </w:tc>
      </w:tr>
      <w:tr w:rsidR="00251A96" w14:paraId="684A520A" w14:textId="77777777">
        <w:tc>
          <w:tcPr>
            <w:tcW w:w="1830" w:type="dxa"/>
          </w:tcPr>
          <w:p w14:paraId="6BD0CE3D" w14:textId="77777777" w:rsidR="00251A96" w:rsidRDefault="006C49F0">
            <w:pPr>
              <w:rPr>
                <w:b/>
              </w:rPr>
            </w:pPr>
            <w:r>
              <w:rPr>
                <w:b/>
              </w:rPr>
              <w:t>Fluency</w:t>
            </w:r>
          </w:p>
        </w:tc>
        <w:tc>
          <w:tcPr>
            <w:tcW w:w="8775" w:type="dxa"/>
          </w:tcPr>
          <w:p w14:paraId="381066F3" w14:textId="29FED395" w:rsidR="00251A96" w:rsidRPr="00E037FE" w:rsidRDefault="00402F97">
            <w:pPr>
              <w:rPr>
                <w:bCs/>
              </w:rPr>
            </w:pPr>
            <w:r w:rsidRPr="00E037FE">
              <w:rPr>
                <w:bCs/>
              </w:rPr>
              <w:t>Wonders, Imagine Learning K-3</w:t>
            </w:r>
          </w:p>
        </w:tc>
      </w:tr>
      <w:tr w:rsidR="00251A96" w14:paraId="482A93D3" w14:textId="77777777">
        <w:tc>
          <w:tcPr>
            <w:tcW w:w="1830" w:type="dxa"/>
          </w:tcPr>
          <w:p w14:paraId="063A3AB4" w14:textId="77777777" w:rsidR="00251A96" w:rsidRDefault="006C49F0">
            <w:pPr>
              <w:rPr>
                <w:b/>
              </w:rPr>
            </w:pPr>
            <w:r>
              <w:rPr>
                <w:b/>
              </w:rPr>
              <w:t>Vocabulary</w:t>
            </w:r>
          </w:p>
        </w:tc>
        <w:tc>
          <w:tcPr>
            <w:tcW w:w="8775" w:type="dxa"/>
          </w:tcPr>
          <w:p w14:paraId="0335F5FD" w14:textId="335D4F7D" w:rsidR="00251A96" w:rsidRPr="00E037FE" w:rsidRDefault="00402F97">
            <w:pPr>
              <w:rPr>
                <w:bCs/>
              </w:rPr>
            </w:pPr>
            <w:r w:rsidRPr="00E037FE">
              <w:rPr>
                <w:bCs/>
              </w:rPr>
              <w:t>Wonders, Imagine Learning K-3</w:t>
            </w:r>
          </w:p>
        </w:tc>
      </w:tr>
      <w:tr w:rsidR="00251A96" w14:paraId="47C508E0" w14:textId="77777777">
        <w:tc>
          <w:tcPr>
            <w:tcW w:w="1830" w:type="dxa"/>
          </w:tcPr>
          <w:p w14:paraId="2475D6DF" w14:textId="77777777" w:rsidR="00251A96" w:rsidRDefault="006C49F0">
            <w:pPr>
              <w:rPr>
                <w:b/>
              </w:rPr>
            </w:pPr>
            <w:r>
              <w:rPr>
                <w:b/>
              </w:rPr>
              <w:t>Comprehension</w:t>
            </w:r>
          </w:p>
        </w:tc>
        <w:tc>
          <w:tcPr>
            <w:tcW w:w="8775" w:type="dxa"/>
          </w:tcPr>
          <w:p w14:paraId="20DC8AC9" w14:textId="1DBF39F1" w:rsidR="00251A96" w:rsidRPr="00E037FE" w:rsidRDefault="00402F97">
            <w:pPr>
              <w:rPr>
                <w:bCs/>
              </w:rPr>
            </w:pPr>
            <w:r w:rsidRPr="00E037FE">
              <w:rPr>
                <w:bCs/>
              </w:rPr>
              <w:t>Wonders, Imagine Learning K-3</w:t>
            </w:r>
          </w:p>
        </w:tc>
      </w:tr>
      <w:tr w:rsidR="00251A96" w14:paraId="38C6B79F" w14:textId="77777777">
        <w:tc>
          <w:tcPr>
            <w:tcW w:w="1830" w:type="dxa"/>
          </w:tcPr>
          <w:p w14:paraId="6CF25AA1" w14:textId="77777777" w:rsidR="00251A96" w:rsidRDefault="006C49F0">
            <w:pPr>
              <w:rPr>
                <w:b/>
              </w:rPr>
            </w:pPr>
            <w:r>
              <w:rPr>
                <w:b/>
              </w:rPr>
              <w:t>Oral Language</w:t>
            </w:r>
          </w:p>
        </w:tc>
        <w:tc>
          <w:tcPr>
            <w:tcW w:w="8775" w:type="dxa"/>
          </w:tcPr>
          <w:p w14:paraId="15CB7150" w14:textId="4C1E899F" w:rsidR="00251A96" w:rsidRPr="00E037FE" w:rsidRDefault="00402F97">
            <w:pPr>
              <w:rPr>
                <w:bCs/>
              </w:rPr>
            </w:pPr>
            <w:r w:rsidRPr="00E037FE">
              <w:rPr>
                <w:bCs/>
              </w:rPr>
              <w:t>Wonders, Imagine Learning K-3</w:t>
            </w:r>
          </w:p>
        </w:tc>
      </w:tr>
      <w:tr w:rsidR="00251A96" w14:paraId="4B751C36" w14:textId="77777777">
        <w:tc>
          <w:tcPr>
            <w:tcW w:w="1830" w:type="dxa"/>
          </w:tcPr>
          <w:p w14:paraId="3A7F1306" w14:textId="77777777" w:rsidR="00251A96" w:rsidRDefault="006C49F0">
            <w:pPr>
              <w:rPr>
                <w:b/>
              </w:rPr>
            </w:pPr>
            <w:r>
              <w:rPr>
                <w:b/>
              </w:rPr>
              <w:t xml:space="preserve">Writing </w:t>
            </w:r>
          </w:p>
        </w:tc>
        <w:tc>
          <w:tcPr>
            <w:tcW w:w="8775" w:type="dxa"/>
          </w:tcPr>
          <w:p w14:paraId="6253FF46" w14:textId="4A928602" w:rsidR="00251A96" w:rsidRPr="00E037FE" w:rsidRDefault="00402F97">
            <w:pPr>
              <w:rPr>
                <w:bCs/>
              </w:rPr>
            </w:pPr>
            <w:r w:rsidRPr="00E037FE">
              <w:rPr>
                <w:bCs/>
              </w:rPr>
              <w:t>Wonders, Imagine Learning K-3</w:t>
            </w:r>
          </w:p>
        </w:tc>
      </w:tr>
    </w:tbl>
    <w:p w14:paraId="66C82027" w14:textId="77777777" w:rsidR="00251A96" w:rsidRDefault="00251A96">
      <w:pPr>
        <w:rPr>
          <w:b/>
          <w:sz w:val="2"/>
          <w:szCs w:val="2"/>
        </w:rPr>
      </w:pPr>
    </w:p>
    <w:p w14:paraId="26865E86" w14:textId="77777777" w:rsidR="00251A96" w:rsidRDefault="006C49F0">
      <w:pPr>
        <w:numPr>
          <w:ilvl w:val="0"/>
          <w:numId w:val="3"/>
        </w:numPr>
        <w:rPr>
          <w:b/>
        </w:rPr>
      </w:pPr>
      <w:r>
        <w:rPr>
          <w:b/>
        </w:rPr>
        <w:t>List the assessments used in K-3 literacy for each section below.</w:t>
      </w:r>
    </w:p>
    <w:p w14:paraId="0BE4F2CE" w14:textId="77777777" w:rsidR="00251A96" w:rsidRDefault="006C49F0">
      <w:pPr>
        <w:rPr>
          <w:b/>
        </w:rPr>
      </w:pPr>
      <w:r>
        <w:rPr>
          <w:i/>
          <w:highlight w:val="white"/>
        </w:rPr>
        <w:t xml:space="preserve">*SB 127: If Acadience Reading or a supplemental reading assessment indicates a student lacks competency in a reading </w:t>
      </w:r>
      <w:proofErr w:type="gramStart"/>
      <w:r>
        <w:rPr>
          <w:i/>
          <w:highlight w:val="white"/>
        </w:rPr>
        <w:t>skill, or</w:t>
      </w:r>
      <w:proofErr w:type="gramEnd"/>
      <w:r>
        <w:rPr>
          <w:i/>
          <w:highlight w:val="white"/>
        </w:rPr>
        <w:t xml:space="preserve"> is behind other students in the student's grade in acquiring a reading skill, the school district or charter school is required to administer diagnostic assessments to the student to target interventions to meet students’ individual needs.</w:t>
      </w:r>
    </w:p>
    <w:tbl>
      <w:tblPr>
        <w:tblStyle w:val="affc"/>
        <w:tblW w:w="10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5"/>
      </w:tblGrid>
      <w:tr w:rsidR="00251A96" w14:paraId="2600FE3C" w14:textId="77777777">
        <w:tc>
          <w:tcPr>
            <w:tcW w:w="10755" w:type="dxa"/>
          </w:tcPr>
          <w:p w14:paraId="26F7BC17" w14:textId="77777777" w:rsidR="00E037FE" w:rsidRDefault="006C49F0">
            <w:pPr>
              <w:rPr>
                <w:b/>
              </w:rPr>
            </w:pPr>
            <w:r>
              <w:rPr>
                <w:b/>
              </w:rPr>
              <w:t>Screener(s):</w:t>
            </w:r>
            <w:r w:rsidR="00402F97">
              <w:rPr>
                <w:b/>
              </w:rPr>
              <w:t xml:space="preserve">  </w:t>
            </w:r>
          </w:p>
          <w:p w14:paraId="69437E2F" w14:textId="7D0E419A" w:rsidR="00251A96" w:rsidRPr="00E037FE" w:rsidRDefault="00402F97">
            <w:pPr>
              <w:rPr>
                <w:bCs/>
              </w:rPr>
            </w:pPr>
            <w:r w:rsidRPr="00E037FE">
              <w:rPr>
                <w:bCs/>
              </w:rPr>
              <w:t>Acadience Reading</w:t>
            </w:r>
          </w:p>
          <w:p w14:paraId="63288EF3" w14:textId="77777777" w:rsidR="00251A96" w:rsidRDefault="00251A96"/>
        </w:tc>
      </w:tr>
      <w:tr w:rsidR="00251A96" w14:paraId="5B41E3AE" w14:textId="77777777">
        <w:tc>
          <w:tcPr>
            <w:tcW w:w="10755" w:type="dxa"/>
          </w:tcPr>
          <w:p w14:paraId="47F7809F" w14:textId="77777777" w:rsidR="00E037FE" w:rsidRDefault="006C49F0">
            <w:pPr>
              <w:rPr>
                <w:bCs/>
              </w:rPr>
            </w:pPr>
            <w:r>
              <w:rPr>
                <w:b/>
              </w:rPr>
              <w:t>Diagnostic(s</w:t>
            </w:r>
            <w:r w:rsidRPr="00E037FE">
              <w:rPr>
                <w:bCs/>
              </w:rPr>
              <w:t>):</w:t>
            </w:r>
            <w:r w:rsidR="00402F97" w:rsidRPr="00E037FE">
              <w:rPr>
                <w:bCs/>
              </w:rPr>
              <w:t xml:space="preserve">  </w:t>
            </w:r>
          </w:p>
          <w:p w14:paraId="06453A51" w14:textId="11143113" w:rsidR="00402F97" w:rsidRPr="00E037FE" w:rsidRDefault="00402F97">
            <w:pPr>
              <w:rPr>
                <w:bCs/>
              </w:rPr>
            </w:pPr>
            <w:r w:rsidRPr="00E037FE">
              <w:rPr>
                <w:bCs/>
              </w:rPr>
              <w:t>University of Utah Reading Clinic Steps Program Reading Level Assessment, ESGI</w:t>
            </w:r>
            <w:r w:rsidR="00072F4D">
              <w:rPr>
                <w:bCs/>
              </w:rPr>
              <w:t xml:space="preserve"> using Wonders assessments, PAST diagnostic</w:t>
            </w:r>
          </w:p>
          <w:p w14:paraId="1C5DF30C" w14:textId="77777777" w:rsidR="00251A96" w:rsidRDefault="00251A96" w:rsidP="00072F4D"/>
        </w:tc>
      </w:tr>
      <w:tr w:rsidR="00251A96" w14:paraId="0487AFFA" w14:textId="77777777">
        <w:tc>
          <w:tcPr>
            <w:tcW w:w="10755" w:type="dxa"/>
          </w:tcPr>
          <w:p w14:paraId="199CF59F" w14:textId="77777777" w:rsidR="00E037FE" w:rsidRDefault="006C49F0">
            <w:pPr>
              <w:rPr>
                <w:b/>
              </w:rPr>
            </w:pPr>
            <w:r>
              <w:rPr>
                <w:b/>
              </w:rPr>
              <w:t>Progress Monitoring:</w:t>
            </w:r>
            <w:r w:rsidR="00402F97">
              <w:rPr>
                <w:b/>
              </w:rPr>
              <w:t xml:space="preserve">   </w:t>
            </w:r>
          </w:p>
          <w:p w14:paraId="09C87FA1" w14:textId="23579045" w:rsidR="00251A96" w:rsidRPr="00E037FE" w:rsidRDefault="00402F97">
            <w:pPr>
              <w:rPr>
                <w:bCs/>
              </w:rPr>
            </w:pPr>
            <w:r w:rsidRPr="00E037FE">
              <w:rPr>
                <w:bCs/>
              </w:rPr>
              <w:t>Acadience Reading Progress Monitoring</w:t>
            </w:r>
            <w:r w:rsidR="00E037FE">
              <w:rPr>
                <w:bCs/>
              </w:rPr>
              <w:t xml:space="preserve"> per recommended schedule</w:t>
            </w:r>
          </w:p>
          <w:p w14:paraId="65ABA28C" w14:textId="77777777" w:rsidR="00251A96" w:rsidRDefault="00251A96" w:rsidP="00072F4D"/>
        </w:tc>
      </w:tr>
    </w:tbl>
    <w:p w14:paraId="6476B880" w14:textId="77777777" w:rsidR="00251A96" w:rsidRDefault="00251A96">
      <w:pPr>
        <w:rPr>
          <w:b/>
          <w:sz w:val="2"/>
          <w:szCs w:val="2"/>
        </w:rPr>
      </w:pPr>
    </w:p>
    <w:p w14:paraId="3990E68F" w14:textId="77777777" w:rsidR="00251A96" w:rsidRDefault="006C49F0">
      <w:pPr>
        <w:numPr>
          <w:ilvl w:val="0"/>
          <w:numId w:val="3"/>
        </w:numPr>
        <w:rPr>
          <w:b/>
        </w:rPr>
      </w:pPr>
      <w:r>
        <w:rPr>
          <w:b/>
        </w:rPr>
        <w:t xml:space="preserve">List your K-3 tier 2 and tier 3 evidence-based literacy curriculum programs and/or strategies and answer the question below. </w:t>
      </w:r>
    </w:p>
    <w:p w14:paraId="06E9D08C" w14:textId="77777777" w:rsidR="00251A96" w:rsidRDefault="006C49F0">
      <w:pPr>
        <w:ind w:left="720"/>
        <w:rPr>
          <w:b/>
        </w:rPr>
      </w:pPr>
      <w:r>
        <w:t xml:space="preserve">*SB 127: </w:t>
      </w:r>
      <w:r>
        <w:rPr>
          <w:i/>
          <w:highlight w:val="white"/>
        </w:rPr>
        <w:t>Districts and charters are required to provide instructional materials that are evidence-informed for core instruction and evidence-based for intervention and supplemental instruction.</w:t>
      </w:r>
    </w:p>
    <w:p w14:paraId="52F2411B" w14:textId="77777777" w:rsidR="00251A96" w:rsidRDefault="006C49F0">
      <w:pPr>
        <w:ind w:left="720"/>
        <w:rPr>
          <w:i/>
        </w:rPr>
      </w:pPr>
      <w:r>
        <w:rPr>
          <w:i/>
        </w:rPr>
        <w:t>*Evidence-based is defined in SB 127 as: means that a strategy demonstrates a statistically significant effect, of at least a 0.40 effect size, on improving student outcomes based on: (</w:t>
      </w:r>
      <w:proofErr w:type="spellStart"/>
      <w:r>
        <w:rPr>
          <w:i/>
        </w:rPr>
        <w:t>i</w:t>
      </w:r>
      <w:proofErr w:type="spellEnd"/>
      <w:r>
        <w:rPr>
          <w:i/>
        </w:rPr>
        <w:t>) strong evidence from at least one well-designed and well-implemented experimental study or (ii) moderate evidence from at least one well-designed and well-implemented quasi-experimental study.</w:t>
      </w:r>
    </w:p>
    <w:p w14:paraId="32B89621" w14:textId="77777777" w:rsidR="00251A96" w:rsidRDefault="00251A96">
      <w:pPr>
        <w:ind w:left="720"/>
        <w:rPr>
          <w:i/>
          <w:sz w:val="2"/>
          <w:szCs w:val="2"/>
        </w:rPr>
      </w:pPr>
    </w:p>
    <w:tbl>
      <w:tblPr>
        <w:tblStyle w:val="affd"/>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0"/>
      </w:tblGrid>
      <w:tr w:rsidR="00251A96" w14:paraId="4A2CEDA3" w14:textId="77777777">
        <w:tc>
          <w:tcPr>
            <w:tcW w:w="10740" w:type="dxa"/>
          </w:tcPr>
          <w:p w14:paraId="6E644A59" w14:textId="3208EC14" w:rsidR="00251A96" w:rsidRDefault="006C49F0">
            <w:pPr>
              <w:rPr>
                <w:b/>
              </w:rPr>
            </w:pPr>
            <w:r>
              <w:rPr>
                <w:b/>
              </w:rPr>
              <w:t>Tier 2 Evidence-based Curriculum Program(s) and/or strategies:</w:t>
            </w:r>
            <w:r w:rsidR="00402F97">
              <w:rPr>
                <w:b/>
              </w:rPr>
              <w:t xml:space="preserve">  </w:t>
            </w:r>
          </w:p>
          <w:p w14:paraId="0807BF59" w14:textId="4EAB5B2D" w:rsidR="00402F97" w:rsidRPr="00072F4D" w:rsidRDefault="00402F97">
            <w:pPr>
              <w:rPr>
                <w:bCs/>
              </w:rPr>
            </w:pPr>
            <w:r>
              <w:rPr>
                <w:bCs/>
              </w:rPr>
              <w:t xml:space="preserve">University of Utah Reading Clinic’s Early Steps, Next Steps and Higher Steps program taught in small groups of no more than five students during a </w:t>
            </w:r>
            <w:r w:rsidR="00E037FE">
              <w:rPr>
                <w:bCs/>
              </w:rPr>
              <w:t>45-minute</w:t>
            </w:r>
            <w:r>
              <w:rPr>
                <w:bCs/>
              </w:rPr>
              <w:t xml:space="preserve"> intervention block.  </w:t>
            </w:r>
            <w:r w:rsidR="00B4463A">
              <w:rPr>
                <w:bCs/>
              </w:rPr>
              <w:t>Teacher directed s</w:t>
            </w:r>
            <w:r w:rsidR="00E037FE">
              <w:rPr>
                <w:bCs/>
              </w:rPr>
              <w:t xml:space="preserve">mall group ELA centers in the classroom using </w:t>
            </w:r>
            <w:proofErr w:type="spellStart"/>
            <w:r w:rsidR="00E037FE">
              <w:rPr>
                <w:bCs/>
              </w:rPr>
              <w:t>Fundations</w:t>
            </w:r>
            <w:proofErr w:type="spellEnd"/>
            <w:r w:rsidR="00E037FE">
              <w:rPr>
                <w:bCs/>
              </w:rPr>
              <w:t xml:space="preserve">, University of Florida and </w:t>
            </w:r>
            <w:r w:rsidR="00B4463A">
              <w:rPr>
                <w:bCs/>
              </w:rPr>
              <w:t xml:space="preserve">other evidenced-based </w:t>
            </w:r>
            <w:r w:rsidR="00E037FE">
              <w:rPr>
                <w:bCs/>
              </w:rPr>
              <w:t xml:space="preserve">activities.  </w:t>
            </w:r>
          </w:p>
          <w:p w14:paraId="18853AC9" w14:textId="77777777" w:rsidR="00251A96" w:rsidRDefault="00251A96">
            <w:pPr>
              <w:rPr>
                <w:b/>
              </w:rPr>
            </w:pPr>
          </w:p>
        </w:tc>
      </w:tr>
      <w:tr w:rsidR="00251A96" w14:paraId="369C22D2" w14:textId="77777777">
        <w:tc>
          <w:tcPr>
            <w:tcW w:w="10740" w:type="dxa"/>
          </w:tcPr>
          <w:p w14:paraId="38A55E08" w14:textId="2F2099B5" w:rsidR="00251A96" w:rsidRDefault="006C49F0">
            <w:pPr>
              <w:rPr>
                <w:b/>
              </w:rPr>
            </w:pPr>
            <w:r>
              <w:rPr>
                <w:b/>
              </w:rPr>
              <w:t>Tier 3 Evidence-based Curriculum Program(s) and/or strategies:</w:t>
            </w:r>
          </w:p>
          <w:p w14:paraId="567F84D9" w14:textId="6EC01464" w:rsidR="00402F97" w:rsidRPr="00B4463A" w:rsidRDefault="00B4463A">
            <w:pPr>
              <w:rPr>
                <w:bCs/>
              </w:rPr>
            </w:pPr>
            <w:r w:rsidRPr="00C7648A">
              <w:rPr>
                <w:rFonts w:asciiTheme="minorHAnsi" w:hAnsiTheme="minorHAnsi" w:cstheme="minorHAnsi"/>
                <w:color w:val="000000"/>
              </w:rPr>
              <w:t xml:space="preserve">Classroom aides work with students one-on-one under the direction of the classroom teachers for increased Tier 3 support. Students who are not making adequate growth, according to the above-mentioned data in Tier 2 reading interventions, are provided additional support in Tier 3 groupings during the last hour of the school day using </w:t>
            </w:r>
            <w:r w:rsidRPr="00C7648A">
              <w:rPr>
                <w:rFonts w:asciiTheme="minorHAnsi" w:hAnsiTheme="minorHAnsi" w:cstheme="minorHAnsi"/>
                <w:color w:val="000000"/>
              </w:rPr>
              <w:lastRenderedPageBreak/>
              <w:t xml:space="preserve">additional programs such as Anita Archer Phonics and University of Florida, Adams Phonemic Awareness, Read Naturally, </w:t>
            </w:r>
            <w:r w:rsidR="00602B2B">
              <w:rPr>
                <w:rFonts w:asciiTheme="minorHAnsi" w:hAnsiTheme="minorHAnsi" w:cstheme="minorHAnsi"/>
                <w:color w:val="000000"/>
              </w:rPr>
              <w:t>and/or</w:t>
            </w:r>
            <w:r w:rsidRPr="00C7648A">
              <w:rPr>
                <w:rFonts w:asciiTheme="minorHAnsi" w:hAnsiTheme="minorHAnsi" w:cstheme="minorHAnsi"/>
                <w:color w:val="000000"/>
              </w:rPr>
              <w:t xml:space="preserve"> </w:t>
            </w:r>
            <w:r>
              <w:rPr>
                <w:rFonts w:asciiTheme="minorHAnsi" w:hAnsiTheme="minorHAnsi" w:cstheme="minorHAnsi"/>
                <w:color w:val="000000"/>
              </w:rPr>
              <w:t xml:space="preserve">95% </w:t>
            </w:r>
            <w:r w:rsidR="00602B2B">
              <w:rPr>
                <w:rFonts w:asciiTheme="minorHAnsi" w:hAnsiTheme="minorHAnsi" w:cstheme="minorHAnsi"/>
                <w:color w:val="000000"/>
              </w:rPr>
              <w:t>G</w:t>
            </w:r>
            <w:r>
              <w:rPr>
                <w:rFonts w:asciiTheme="minorHAnsi" w:hAnsiTheme="minorHAnsi" w:cstheme="minorHAnsi"/>
                <w:color w:val="000000"/>
              </w:rPr>
              <w:t>roup</w:t>
            </w:r>
            <w:r w:rsidRPr="00C7648A">
              <w:rPr>
                <w:rFonts w:asciiTheme="minorHAnsi" w:hAnsiTheme="minorHAnsi" w:cstheme="minorHAnsi"/>
                <w:color w:val="000000"/>
              </w:rPr>
              <w:t>.</w:t>
            </w:r>
            <w:r>
              <w:rPr>
                <w:rFonts w:asciiTheme="minorHAnsi" w:hAnsiTheme="minorHAnsi" w:cstheme="minorHAnsi"/>
                <w:color w:val="000000"/>
              </w:rPr>
              <w:t xml:space="preserve"> </w:t>
            </w:r>
            <w:r w:rsidRPr="00C7648A">
              <w:rPr>
                <w:rFonts w:asciiTheme="minorHAnsi" w:hAnsiTheme="minorHAnsi" w:cstheme="minorHAnsi"/>
                <w:color w:val="000000"/>
              </w:rPr>
              <w:t xml:space="preserve"> </w:t>
            </w:r>
          </w:p>
          <w:p w14:paraId="3B152E40" w14:textId="77777777" w:rsidR="00251A96" w:rsidRDefault="00251A96">
            <w:pPr>
              <w:rPr>
                <w:b/>
              </w:rPr>
            </w:pPr>
          </w:p>
        </w:tc>
      </w:tr>
      <w:tr w:rsidR="00251A96" w14:paraId="627E23C7" w14:textId="77777777">
        <w:tc>
          <w:tcPr>
            <w:tcW w:w="10740" w:type="dxa"/>
          </w:tcPr>
          <w:p w14:paraId="1EF09667" w14:textId="77777777" w:rsidR="00251A96" w:rsidRDefault="006C49F0">
            <w:pPr>
              <w:rPr>
                <w:b/>
              </w:rPr>
            </w:pPr>
            <w:r>
              <w:rPr>
                <w:b/>
              </w:rPr>
              <w:lastRenderedPageBreak/>
              <w:t>Briefly describe how you ensure intervention is aligned to students’ needs?</w:t>
            </w:r>
          </w:p>
          <w:p w14:paraId="75BB1B7D" w14:textId="5B95A6E8" w:rsidR="00251A96" w:rsidRPr="00E037FE" w:rsidRDefault="00E037FE">
            <w:pPr>
              <w:rPr>
                <w:bCs/>
              </w:rPr>
            </w:pPr>
            <w:r>
              <w:rPr>
                <w:bCs/>
              </w:rPr>
              <w:t>Students are group</w:t>
            </w:r>
            <w:r w:rsidR="00072F4D">
              <w:rPr>
                <w:bCs/>
              </w:rPr>
              <w:t>ed</w:t>
            </w:r>
            <w:r>
              <w:rPr>
                <w:bCs/>
              </w:rPr>
              <w:t xml:space="preserve"> by ability level</w:t>
            </w:r>
            <w:r w:rsidR="00334DBD">
              <w:rPr>
                <w:bCs/>
              </w:rPr>
              <w:t>s</w:t>
            </w:r>
            <w:r>
              <w:rPr>
                <w:bCs/>
              </w:rPr>
              <w:t xml:space="preserve"> as determined by data </w:t>
            </w:r>
            <w:r w:rsidR="00334DBD">
              <w:rPr>
                <w:bCs/>
              </w:rPr>
              <w:t>to</w:t>
            </w:r>
            <w:r>
              <w:rPr>
                <w:bCs/>
              </w:rPr>
              <w:t xml:space="preserve"> maximize their learning.  The reading specialist and reading intervention team collaborate with classroom teachers to determine Tier 2 intervention groups as dictated by student data.</w:t>
            </w:r>
            <w:r w:rsidR="00072F4D">
              <w:rPr>
                <w:bCs/>
              </w:rPr>
              <w:t xml:space="preserve">  </w:t>
            </w:r>
          </w:p>
          <w:p w14:paraId="261A8572" w14:textId="77777777" w:rsidR="00251A96" w:rsidRDefault="00251A96">
            <w:pPr>
              <w:rPr>
                <w:b/>
              </w:rPr>
            </w:pPr>
          </w:p>
        </w:tc>
      </w:tr>
    </w:tbl>
    <w:p w14:paraId="1C2F806E" w14:textId="77777777" w:rsidR="00251A96" w:rsidRDefault="00251A96">
      <w:pPr>
        <w:rPr>
          <w:b/>
          <w:sz w:val="2"/>
          <w:szCs w:val="2"/>
        </w:rPr>
      </w:pPr>
    </w:p>
    <w:tbl>
      <w:tblPr>
        <w:tblStyle w:val="a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51A96" w14:paraId="012337D3" w14:textId="77777777">
        <w:tc>
          <w:tcPr>
            <w:tcW w:w="10790" w:type="dxa"/>
            <w:shd w:val="clear" w:color="auto" w:fill="5B9BD5"/>
          </w:tcPr>
          <w:p w14:paraId="655ECE74" w14:textId="77777777" w:rsidR="00251A96" w:rsidRDefault="006C49F0">
            <w:pPr>
              <w:jc w:val="center"/>
              <w:rPr>
                <w:b/>
                <w:i/>
                <w:color w:val="FFFFFF"/>
                <w:sz w:val="32"/>
                <w:szCs w:val="32"/>
              </w:rPr>
            </w:pPr>
            <w:r>
              <w:rPr>
                <w:b/>
                <w:i/>
                <w:color w:val="FFFFFF"/>
                <w:sz w:val="32"/>
                <w:szCs w:val="32"/>
              </w:rPr>
              <w:t>SECTION B: EARLY MATHEMATICS</w:t>
            </w:r>
          </w:p>
        </w:tc>
      </w:tr>
    </w:tbl>
    <w:p w14:paraId="3F213A8C" w14:textId="77777777" w:rsidR="00251A96" w:rsidRDefault="00251A96">
      <w:pPr>
        <w:rPr>
          <w:sz w:val="2"/>
          <w:szCs w:val="2"/>
        </w:rPr>
      </w:pPr>
    </w:p>
    <w:p w14:paraId="78CFDCBB" w14:textId="77777777" w:rsidR="00251A96" w:rsidRDefault="006C49F0">
      <w:pPr>
        <w:numPr>
          <w:ilvl w:val="0"/>
          <w:numId w:val="5"/>
        </w:numPr>
        <w:pBdr>
          <w:top w:val="nil"/>
          <w:left w:val="nil"/>
          <w:bottom w:val="nil"/>
          <w:right w:val="nil"/>
          <w:between w:val="nil"/>
        </w:pBdr>
        <w:rPr>
          <w:b/>
          <w:color w:val="000000"/>
        </w:rPr>
      </w:pPr>
      <w:r>
        <w:rPr>
          <w:b/>
          <w:color w:val="000000"/>
        </w:rPr>
        <w:t>What evidence-based curriculum is being used in tier 1 core instruction for K-3 mathematics?</w:t>
      </w:r>
    </w:p>
    <w:tbl>
      <w:tblPr>
        <w:tblStyle w:val="a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51A96" w14:paraId="5976F324" w14:textId="77777777">
        <w:tc>
          <w:tcPr>
            <w:tcW w:w="10790" w:type="dxa"/>
          </w:tcPr>
          <w:p w14:paraId="5953EF5D" w14:textId="2FE5E115" w:rsidR="00251A96" w:rsidRDefault="00E037FE">
            <w:r>
              <w:t>envision Math (</w:t>
            </w:r>
            <w:proofErr w:type="spellStart"/>
            <w:r>
              <w:t>Savvas</w:t>
            </w:r>
            <w:proofErr w:type="spellEnd"/>
            <w:r>
              <w:t>) and Dream Box (EISP math grant)</w:t>
            </w:r>
          </w:p>
          <w:p w14:paraId="04129F53" w14:textId="77777777" w:rsidR="00251A96" w:rsidRDefault="00251A96"/>
        </w:tc>
      </w:tr>
    </w:tbl>
    <w:p w14:paraId="435A8A90" w14:textId="77777777" w:rsidR="00251A96" w:rsidRDefault="00251A96">
      <w:pPr>
        <w:pBdr>
          <w:top w:val="nil"/>
          <w:left w:val="nil"/>
          <w:bottom w:val="nil"/>
          <w:right w:val="nil"/>
          <w:between w:val="nil"/>
        </w:pBdr>
        <w:spacing w:after="0"/>
        <w:ind w:left="720" w:hanging="720"/>
        <w:rPr>
          <w:b/>
          <w:color w:val="000000"/>
        </w:rPr>
      </w:pPr>
    </w:p>
    <w:p w14:paraId="03829207" w14:textId="77777777" w:rsidR="00251A96" w:rsidRDefault="006C49F0">
      <w:pPr>
        <w:numPr>
          <w:ilvl w:val="0"/>
          <w:numId w:val="5"/>
        </w:numPr>
        <w:pBdr>
          <w:top w:val="nil"/>
          <w:left w:val="nil"/>
          <w:bottom w:val="nil"/>
          <w:right w:val="nil"/>
          <w:between w:val="nil"/>
        </w:pBdr>
        <w:rPr>
          <w:b/>
          <w:color w:val="000000"/>
        </w:rPr>
      </w:pPr>
      <w:r>
        <w:rPr>
          <w:b/>
          <w:color w:val="000000"/>
        </w:rPr>
        <w:t>Describe how the following mathematical components are incorporated in tier 1 in</w:t>
      </w:r>
      <w:r>
        <w:rPr>
          <w:b/>
        </w:rPr>
        <w:t>struction in</w:t>
      </w:r>
      <w:r>
        <w:rPr>
          <w:b/>
          <w:color w:val="000000"/>
        </w:rPr>
        <w:t xml:space="preserve"> grades K-3.</w:t>
      </w:r>
    </w:p>
    <w:tbl>
      <w:tblPr>
        <w:tblStyle w:val="a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7105"/>
      </w:tblGrid>
      <w:tr w:rsidR="00251A96" w14:paraId="5EF1596E" w14:textId="77777777">
        <w:tc>
          <w:tcPr>
            <w:tcW w:w="3685" w:type="dxa"/>
            <w:shd w:val="clear" w:color="auto" w:fill="B4C6E7"/>
          </w:tcPr>
          <w:p w14:paraId="4328D69B" w14:textId="77777777" w:rsidR="00251A96" w:rsidRDefault="006C49F0">
            <w:pPr>
              <w:jc w:val="center"/>
              <w:rPr>
                <w:b/>
              </w:rPr>
            </w:pPr>
            <w:r>
              <w:rPr>
                <w:b/>
              </w:rPr>
              <w:t>Mathematical Components</w:t>
            </w:r>
          </w:p>
        </w:tc>
        <w:tc>
          <w:tcPr>
            <w:tcW w:w="7105" w:type="dxa"/>
            <w:shd w:val="clear" w:color="auto" w:fill="B4C6E7"/>
          </w:tcPr>
          <w:p w14:paraId="10BDDDC4" w14:textId="77777777" w:rsidR="00251A96" w:rsidRDefault="006C49F0">
            <w:pPr>
              <w:jc w:val="center"/>
            </w:pPr>
            <w:r>
              <w:rPr>
                <w:b/>
              </w:rPr>
              <w:t>Evidence-based Strategies</w:t>
            </w:r>
          </w:p>
        </w:tc>
      </w:tr>
      <w:tr w:rsidR="00251A96" w14:paraId="72B30FA8" w14:textId="77777777">
        <w:tc>
          <w:tcPr>
            <w:tcW w:w="3685" w:type="dxa"/>
          </w:tcPr>
          <w:p w14:paraId="6C00B7C3" w14:textId="77777777" w:rsidR="00251A96" w:rsidRDefault="006C49F0">
            <w:r>
              <w:rPr>
                <w:b/>
              </w:rPr>
              <w:t xml:space="preserve">Conceptual Understanding: </w:t>
            </w:r>
            <w:r>
              <w:t>the comprehension and connection of</w:t>
            </w:r>
          </w:p>
          <w:p w14:paraId="729695C5" w14:textId="77777777" w:rsidR="00251A96" w:rsidRDefault="006C49F0">
            <w:r>
              <w:t xml:space="preserve">concepts, operations, and relations. </w:t>
            </w:r>
          </w:p>
        </w:tc>
        <w:tc>
          <w:tcPr>
            <w:tcW w:w="7105" w:type="dxa"/>
          </w:tcPr>
          <w:p w14:paraId="152CCCA2" w14:textId="61C03068" w:rsidR="00251A96" w:rsidRDefault="00B4463A">
            <w:r w:rsidRPr="00C7648A">
              <w:rPr>
                <w:rFonts w:asciiTheme="minorHAnsi" w:hAnsiTheme="minorHAnsi" w:cstheme="minorHAnsi"/>
              </w:rPr>
              <w:t xml:space="preserve">To support conceptual understanding, </w:t>
            </w:r>
            <w:proofErr w:type="spellStart"/>
            <w:r w:rsidRPr="00C7648A">
              <w:rPr>
                <w:rFonts w:asciiTheme="minorHAnsi" w:hAnsiTheme="minorHAnsi" w:cstheme="minorHAnsi"/>
              </w:rPr>
              <w:t>Savvas</w:t>
            </w:r>
            <w:proofErr w:type="spellEnd"/>
            <w:r w:rsidRPr="00C7648A">
              <w:rPr>
                <w:rFonts w:asciiTheme="minorHAnsi" w:hAnsiTheme="minorHAnsi" w:cstheme="minorHAnsi"/>
              </w:rPr>
              <w:t xml:space="preserve"> </w:t>
            </w:r>
            <w:proofErr w:type="spellStart"/>
            <w:r w:rsidRPr="00C7648A">
              <w:rPr>
                <w:rFonts w:asciiTheme="minorHAnsi" w:hAnsiTheme="minorHAnsi" w:cstheme="minorHAnsi"/>
              </w:rPr>
              <w:t>enVision</w:t>
            </w:r>
            <w:proofErr w:type="spellEnd"/>
            <w:r w:rsidRPr="00C7648A">
              <w:rPr>
                <w:rFonts w:asciiTheme="minorHAnsi" w:hAnsiTheme="minorHAnsi" w:cstheme="minorHAnsi"/>
              </w:rPr>
              <w:t xml:space="preserve"> Math infuses instruction with problem-based learning, direct instruction, visual learning, high level, question-driven classroom conversations.</w:t>
            </w:r>
          </w:p>
        </w:tc>
      </w:tr>
      <w:tr w:rsidR="00251A96" w14:paraId="6A645E4C" w14:textId="77777777">
        <w:tc>
          <w:tcPr>
            <w:tcW w:w="3685" w:type="dxa"/>
          </w:tcPr>
          <w:p w14:paraId="5A6C91B2" w14:textId="77777777" w:rsidR="00251A96" w:rsidRDefault="006C49F0">
            <w:r>
              <w:rPr>
                <w:b/>
              </w:rPr>
              <w:t xml:space="preserve">Procedural Fluency: </w:t>
            </w:r>
            <w:r>
              <w:t>the meaningful, flexible, accurate, and efficient use</w:t>
            </w:r>
          </w:p>
          <w:p w14:paraId="121E48A3" w14:textId="77777777" w:rsidR="00251A96" w:rsidRDefault="006C49F0">
            <w:r>
              <w:t>of procedures to solve problems.</w:t>
            </w:r>
          </w:p>
        </w:tc>
        <w:tc>
          <w:tcPr>
            <w:tcW w:w="7105" w:type="dxa"/>
          </w:tcPr>
          <w:p w14:paraId="4760DF53" w14:textId="1F20CC20" w:rsidR="00251A96" w:rsidRDefault="00B4463A">
            <w:r w:rsidRPr="00C7648A">
              <w:rPr>
                <w:rFonts w:asciiTheme="minorHAnsi" w:hAnsiTheme="minorHAnsi" w:cstheme="minorHAnsi"/>
              </w:rPr>
              <w:t xml:space="preserve">In daily lesson planning, </w:t>
            </w:r>
            <w:proofErr w:type="spellStart"/>
            <w:r w:rsidRPr="00C7648A">
              <w:rPr>
                <w:rFonts w:asciiTheme="minorHAnsi" w:hAnsiTheme="minorHAnsi" w:cstheme="minorHAnsi"/>
              </w:rPr>
              <w:t>Savvas</w:t>
            </w:r>
            <w:proofErr w:type="spellEnd"/>
            <w:r w:rsidRPr="00C7648A">
              <w:rPr>
                <w:rFonts w:asciiTheme="minorHAnsi" w:hAnsiTheme="minorHAnsi" w:cstheme="minorHAnsi"/>
              </w:rPr>
              <w:t xml:space="preserve"> </w:t>
            </w:r>
            <w:proofErr w:type="spellStart"/>
            <w:r w:rsidRPr="00C7648A">
              <w:rPr>
                <w:rFonts w:asciiTheme="minorHAnsi" w:hAnsiTheme="minorHAnsi" w:cstheme="minorHAnsi"/>
              </w:rPr>
              <w:t>enVision</w:t>
            </w:r>
            <w:proofErr w:type="spellEnd"/>
            <w:r w:rsidRPr="00C7648A">
              <w:rPr>
                <w:rFonts w:asciiTheme="minorHAnsi" w:hAnsiTheme="minorHAnsi" w:cstheme="minorHAnsi"/>
              </w:rPr>
              <w:t xml:space="preserve"> Math includes concrete and pictorial representations, place-value </w:t>
            </w:r>
            <w:proofErr w:type="gramStart"/>
            <w:r w:rsidRPr="00C7648A">
              <w:rPr>
                <w:rFonts w:asciiTheme="minorHAnsi" w:hAnsiTheme="minorHAnsi" w:cstheme="minorHAnsi"/>
              </w:rPr>
              <w:t>concepts</w:t>
            </w:r>
            <w:proofErr w:type="gramEnd"/>
            <w:r w:rsidRPr="00C7648A">
              <w:rPr>
                <w:rFonts w:asciiTheme="minorHAnsi" w:hAnsiTheme="minorHAnsi" w:cstheme="minorHAnsi"/>
              </w:rPr>
              <w:t xml:space="preserve"> and properties to increase fluency, guided </w:t>
            </w:r>
            <w:r>
              <w:rPr>
                <w:rFonts w:asciiTheme="minorHAnsi" w:hAnsiTheme="minorHAnsi" w:cstheme="minorHAnsi"/>
              </w:rPr>
              <w:t>practice,</w:t>
            </w:r>
            <w:r w:rsidRPr="00C7648A">
              <w:rPr>
                <w:rFonts w:asciiTheme="minorHAnsi" w:hAnsiTheme="minorHAnsi" w:cstheme="minorHAnsi"/>
              </w:rPr>
              <w:t xml:space="preserve"> and independent practice.  </w:t>
            </w:r>
          </w:p>
        </w:tc>
      </w:tr>
      <w:tr w:rsidR="00B4463A" w14:paraId="1D7F8B67" w14:textId="77777777">
        <w:tc>
          <w:tcPr>
            <w:tcW w:w="3685" w:type="dxa"/>
          </w:tcPr>
          <w:p w14:paraId="27828013" w14:textId="77777777" w:rsidR="00B4463A" w:rsidRDefault="00B4463A" w:rsidP="00B4463A">
            <w:r>
              <w:rPr>
                <w:b/>
              </w:rPr>
              <w:t xml:space="preserve">Strategic and Adaptive Mathematical Thinking: </w:t>
            </w:r>
            <w:r>
              <w:t xml:space="preserve">the ability to formulate, represent, and solve mathematical problems with the capacity to justify the logic used to arrive at the solution. </w:t>
            </w:r>
          </w:p>
        </w:tc>
        <w:tc>
          <w:tcPr>
            <w:tcW w:w="7105" w:type="dxa"/>
          </w:tcPr>
          <w:p w14:paraId="5478130C" w14:textId="0F8C2033" w:rsidR="00B4463A" w:rsidRDefault="00B4463A" w:rsidP="00B4463A">
            <w:proofErr w:type="spellStart"/>
            <w:r w:rsidRPr="00C7648A">
              <w:rPr>
                <w:rFonts w:asciiTheme="minorHAnsi" w:hAnsiTheme="minorHAnsi" w:cstheme="minorHAnsi"/>
              </w:rPr>
              <w:t>Savvas</w:t>
            </w:r>
            <w:proofErr w:type="spellEnd"/>
            <w:r w:rsidRPr="00C7648A">
              <w:rPr>
                <w:rFonts w:asciiTheme="minorHAnsi" w:hAnsiTheme="minorHAnsi" w:cstheme="minorHAnsi"/>
              </w:rPr>
              <w:t xml:space="preserve"> </w:t>
            </w:r>
            <w:proofErr w:type="spellStart"/>
            <w:r w:rsidRPr="00C7648A">
              <w:rPr>
                <w:rFonts w:asciiTheme="minorHAnsi" w:hAnsiTheme="minorHAnsi" w:cstheme="minorHAnsi"/>
              </w:rPr>
              <w:t>enVision</w:t>
            </w:r>
            <w:proofErr w:type="spellEnd"/>
            <w:r w:rsidRPr="00C7648A">
              <w:rPr>
                <w:rFonts w:asciiTheme="minorHAnsi" w:hAnsiTheme="minorHAnsi" w:cstheme="minorHAnsi"/>
              </w:rPr>
              <w:t xml:space="preserve"> Math identifies “Thinking Habits questions” for each math practice</w:t>
            </w:r>
            <w:r>
              <w:rPr>
                <w:rFonts w:asciiTheme="minorHAnsi" w:hAnsiTheme="minorHAnsi" w:cstheme="minorHAnsi"/>
              </w:rPr>
              <w:t xml:space="preserve"> as well as </w:t>
            </w:r>
            <w:r w:rsidRPr="00C7648A">
              <w:rPr>
                <w:rFonts w:asciiTheme="minorHAnsi" w:hAnsiTheme="minorHAnsi" w:cstheme="minorHAnsi"/>
              </w:rPr>
              <w:t>a Visual learning bridge example to model the needed thinking</w:t>
            </w:r>
            <w:r>
              <w:rPr>
                <w:rFonts w:asciiTheme="minorHAnsi" w:hAnsiTheme="minorHAnsi" w:cstheme="minorHAnsi"/>
              </w:rPr>
              <w:t>.  Teachers will incorporate questioning strategies to promote critical thinking and to increase student capacity to solve mathematical problems.</w:t>
            </w:r>
          </w:p>
        </w:tc>
      </w:tr>
      <w:tr w:rsidR="00B4463A" w14:paraId="7011E97A" w14:textId="77777777">
        <w:tc>
          <w:tcPr>
            <w:tcW w:w="3685" w:type="dxa"/>
          </w:tcPr>
          <w:p w14:paraId="4113B24E" w14:textId="77777777" w:rsidR="00B4463A" w:rsidRDefault="00B4463A" w:rsidP="00B4463A">
            <w:r>
              <w:rPr>
                <w:b/>
              </w:rPr>
              <w:t xml:space="preserve">Productive Disposition: </w:t>
            </w:r>
            <w:r>
              <w:t>the ability to see mathematics as useful and worthwhile while exercising a steady effort to learn mathematics.</w:t>
            </w:r>
          </w:p>
        </w:tc>
        <w:tc>
          <w:tcPr>
            <w:tcW w:w="7105" w:type="dxa"/>
          </w:tcPr>
          <w:p w14:paraId="05DC50BC" w14:textId="7F41CA92" w:rsidR="00B4463A" w:rsidRDefault="00602B2B" w:rsidP="00B4463A">
            <w:pPr>
              <w:tabs>
                <w:tab w:val="left" w:pos="2660"/>
              </w:tabs>
            </w:pPr>
            <w:r>
              <w:rPr>
                <w:rFonts w:asciiTheme="minorHAnsi" w:hAnsiTheme="minorHAnsi" w:cstheme="minorHAnsi"/>
              </w:rPr>
              <w:t>Teachers attended the</w:t>
            </w:r>
            <w:r w:rsidR="00B4463A" w:rsidRPr="00C7648A">
              <w:rPr>
                <w:rFonts w:asciiTheme="minorHAnsi" w:hAnsiTheme="minorHAnsi" w:cstheme="minorHAnsi"/>
              </w:rPr>
              <w:t xml:space="preserve"> </w:t>
            </w:r>
            <w:proofErr w:type="spellStart"/>
            <w:r w:rsidR="00B4463A">
              <w:rPr>
                <w:rFonts w:asciiTheme="minorHAnsi" w:hAnsiTheme="minorHAnsi" w:cstheme="minorHAnsi"/>
              </w:rPr>
              <w:t>Savvas</w:t>
            </w:r>
            <w:proofErr w:type="spellEnd"/>
            <w:r w:rsidR="00B4463A">
              <w:rPr>
                <w:rFonts w:asciiTheme="minorHAnsi" w:hAnsiTheme="minorHAnsi" w:cstheme="minorHAnsi"/>
              </w:rPr>
              <w:t xml:space="preserve"> </w:t>
            </w:r>
            <w:proofErr w:type="spellStart"/>
            <w:r w:rsidR="00B4463A">
              <w:rPr>
                <w:rFonts w:asciiTheme="minorHAnsi" w:hAnsiTheme="minorHAnsi" w:cstheme="minorHAnsi"/>
              </w:rPr>
              <w:t>enVision</w:t>
            </w:r>
            <w:proofErr w:type="spellEnd"/>
            <w:r w:rsidR="00B4463A">
              <w:rPr>
                <w:rFonts w:asciiTheme="minorHAnsi" w:hAnsiTheme="minorHAnsi" w:cstheme="minorHAnsi"/>
              </w:rPr>
              <w:t xml:space="preserve"> Math training to prepare them to use the curriculum effectively.  Teachers and aides will address mindset and positive attitude to encourage engagement in math learning and increased math relevance.  </w:t>
            </w:r>
          </w:p>
        </w:tc>
      </w:tr>
    </w:tbl>
    <w:p w14:paraId="7A36DB76" w14:textId="77777777" w:rsidR="00251A96" w:rsidRDefault="00251A96">
      <w:pPr>
        <w:ind w:left="720"/>
        <w:rPr>
          <w:b/>
          <w:sz w:val="2"/>
          <w:szCs w:val="2"/>
        </w:rPr>
      </w:pPr>
    </w:p>
    <w:p w14:paraId="258E3EAC" w14:textId="77777777" w:rsidR="00251A96" w:rsidRDefault="006C49F0">
      <w:pPr>
        <w:numPr>
          <w:ilvl w:val="0"/>
          <w:numId w:val="5"/>
        </w:numPr>
        <w:rPr>
          <w:b/>
        </w:rPr>
      </w:pPr>
      <w:r>
        <w:rPr>
          <w:b/>
        </w:rPr>
        <w:t xml:space="preserve">Briefly discuss how mathematics assessments (screeners, diagnostics, and progress monitoring) are used to make instructional decisions and how they are used to ensure that instruction and interventions are aligned to students’ learning needs.  </w:t>
      </w:r>
    </w:p>
    <w:tbl>
      <w:tblPr>
        <w:tblStyle w:val="afff1"/>
        <w:tblW w:w="10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5"/>
      </w:tblGrid>
      <w:tr w:rsidR="00251A96" w14:paraId="23B27229" w14:textId="77777777">
        <w:tc>
          <w:tcPr>
            <w:tcW w:w="10755" w:type="dxa"/>
          </w:tcPr>
          <w:p w14:paraId="3BF16D77" w14:textId="5A6D3D31" w:rsidR="00251A96" w:rsidRPr="00602B2B" w:rsidRDefault="00B4463A">
            <w:pPr>
              <w:rPr>
                <w:rFonts w:asciiTheme="minorHAnsi" w:hAnsiTheme="minorHAnsi" w:cstheme="minorHAnsi"/>
              </w:rPr>
            </w:pPr>
            <w:r w:rsidRPr="00C7648A">
              <w:rPr>
                <w:rFonts w:asciiTheme="minorHAnsi" w:hAnsiTheme="minorHAnsi" w:cstheme="minorHAnsi"/>
              </w:rPr>
              <w:t xml:space="preserve">Teachers will utilize Acadience Math benchmarks and progress monitoring to determine gaps in student learning as well as assessments in the </w:t>
            </w:r>
            <w:proofErr w:type="spellStart"/>
            <w:r w:rsidRPr="00C7648A">
              <w:rPr>
                <w:rFonts w:asciiTheme="minorHAnsi" w:hAnsiTheme="minorHAnsi" w:cstheme="minorHAnsi"/>
              </w:rPr>
              <w:t>EnVision</w:t>
            </w:r>
            <w:proofErr w:type="spellEnd"/>
            <w:r w:rsidRPr="00C7648A">
              <w:rPr>
                <w:rFonts w:asciiTheme="minorHAnsi" w:hAnsiTheme="minorHAnsi" w:cstheme="minorHAnsi"/>
              </w:rPr>
              <w:t xml:space="preserve"> Math curriculum.  These data will be analyzed and discussed in weekly elementary data meetings led by the PLC leader.  Teachers will analyze student assessment data to determine where student learning deficits are and determine a plan of action to support those students</w:t>
            </w:r>
            <w:r w:rsidR="007A7208">
              <w:rPr>
                <w:rFonts w:asciiTheme="minorHAnsi" w:hAnsiTheme="minorHAnsi" w:cstheme="minorHAnsi"/>
              </w:rPr>
              <w:t xml:space="preserve"> in Tier 2 and Tier 3 interventions as determined by student data</w:t>
            </w:r>
            <w:r w:rsidRPr="00C7648A">
              <w:rPr>
                <w:rFonts w:asciiTheme="minorHAnsi" w:hAnsiTheme="minorHAnsi" w:cstheme="minorHAnsi"/>
              </w:rPr>
              <w:t xml:space="preserve">.  Students in third grade will use </w:t>
            </w:r>
            <w:proofErr w:type="spellStart"/>
            <w:r w:rsidR="007A7208">
              <w:rPr>
                <w:rFonts w:asciiTheme="minorHAnsi" w:hAnsiTheme="minorHAnsi" w:cstheme="minorHAnsi"/>
              </w:rPr>
              <w:t>DreamBox</w:t>
            </w:r>
            <w:proofErr w:type="spellEnd"/>
            <w:r w:rsidRPr="00C7648A">
              <w:rPr>
                <w:rFonts w:asciiTheme="minorHAnsi" w:hAnsiTheme="minorHAnsi" w:cstheme="minorHAnsi"/>
              </w:rPr>
              <w:t xml:space="preserve"> with fidelity to increase their math skills.</w:t>
            </w:r>
          </w:p>
          <w:p w14:paraId="380144A0" w14:textId="77777777" w:rsidR="00251A96" w:rsidRDefault="00251A96"/>
        </w:tc>
      </w:tr>
    </w:tbl>
    <w:p w14:paraId="0FD2660A" w14:textId="77777777" w:rsidR="00251A96" w:rsidRDefault="00251A96">
      <w:pPr>
        <w:rPr>
          <w:b/>
          <w:sz w:val="2"/>
          <w:szCs w:val="2"/>
        </w:rPr>
      </w:pPr>
    </w:p>
    <w:p w14:paraId="15A14AA1" w14:textId="77777777" w:rsidR="00251A96" w:rsidRDefault="006C49F0">
      <w:pPr>
        <w:numPr>
          <w:ilvl w:val="0"/>
          <w:numId w:val="5"/>
        </w:numPr>
        <w:rPr>
          <w:b/>
        </w:rPr>
      </w:pPr>
      <w:r>
        <w:rPr>
          <w:b/>
        </w:rPr>
        <w:t>List your K-3 tier 2 and tier 3 mathematics intervention programs/strategies and answer the question below.</w:t>
      </w:r>
    </w:p>
    <w:tbl>
      <w:tblPr>
        <w:tblStyle w:val="afff2"/>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5"/>
      </w:tblGrid>
      <w:tr w:rsidR="00251A96" w14:paraId="5A212AE6" w14:textId="77777777">
        <w:tc>
          <w:tcPr>
            <w:tcW w:w="10695" w:type="dxa"/>
          </w:tcPr>
          <w:p w14:paraId="67B8B06B" w14:textId="77777777" w:rsidR="00251A96" w:rsidRDefault="006C49F0">
            <w:pPr>
              <w:rPr>
                <w:b/>
              </w:rPr>
            </w:pPr>
            <w:r>
              <w:rPr>
                <w:b/>
              </w:rPr>
              <w:t>Tier 2 Intervention Program(s)/strategies:</w:t>
            </w:r>
          </w:p>
          <w:p w14:paraId="3695DD2B" w14:textId="57EE67E3" w:rsidR="00251A96" w:rsidRPr="00602B2B" w:rsidRDefault="00B4463A">
            <w:pPr>
              <w:rPr>
                <w:rFonts w:asciiTheme="minorHAnsi" w:hAnsiTheme="minorHAnsi" w:cstheme="minorHAnsi"/>
                <w:b/>
              </w:rPr>
            </w:pPr>
            <w:r w:rsidRPr="00C7648A">
              <w:rPr>
                <w:rFonts w:asciiTheme="minorHAnsi" w:hAnsiTheme="minorHAnsi" w:cstheme="minorHAnsi"/>
              </w:rPr>
              <w:t xml:space="preserve">Students who don’t make sufficient progress with Tier 1 instruction in </w:t>
            </w:r>
            <w:proofErr w:type="spellStart"/>
            <w:r w:rsidRPr="00C7648A">
              <w:rPr>
                <w:rFonts w:asciiTheme="minorHAnsi" w:hAnsiTheme="minorHAnsi" w:cstheme="minorHAnsi"/>
              </w:rPr>
              <w:t>enVision</w:t>
            </w:r>
            <w:proofErr w:type="spellEnd"/>
            <w:r w:rsidRPr="00C7648A">
              <w:rPr>
                <w:rFonts w:asciiTheme="minorHAnsi" w:hAnsiTheme="minorHAnsi" w:cstheme="minorHAnsi"/>
              </w:rPr>
              <w:t xml:space="preserve"> Mathematics will receive 20 minutes of Tier 2 intervention daily in small groups taught by the classroom teacher and/or trained paraprofessional</w:t>
            </w:r>
            <w:r>
              <w:rPr>
                <w:rFonts w:asciiTheme="minorHAnsi" w:hAnsiTheme="minorHAnsi" w:cstheme="minorHAnsi"/>
              </w:rPr>
              <w:t xml:space="preserve"> that </w:t>
            </w:r>
            <w:r>
              <w:rPr>
                <w:rFonts w:asciiTheme="minorHAnsi" w:hAnsiTheme="minorHAnsi" w:cstheme="minorHAnsi"/>
              </w:rPr>
              <w:lastRenderedPageBreak/>
              <w:t xml:space="preserve">includes explicit teaching, reteaching, modeling, questioning along with guided practice.  </w:t>
            </w:r>
            <w:r w:rsidRPr="00C7648A">
              <w:rPr>
                <w:rFonts w:asciiTheme="minorHAnsi" w:hAnsiTheme="minorHAnsi" w:cstheme="minorHAnsi"/>
              </w:rPr>
              <w:t xml:space="preserve">Teachers will access </w:t>
            </w:r>
            <w:proofErr w:type="spellStart"/>
            <w:r w:rsidRPr="00C7648A">
              <w:rPr>
                <w:rFonts w:asciiTheme="minorHAnsi" w:hAnsiTheme="minorHAnsi" w:cstheme="minorHAnsi"/>
              </w:rPr>
              <w:t>enVision</w:t>
            </w:r>
            <w:proofErr w:type="spellEnd"/>
            <w:r w:rsidRPr="00C7648A">
              <w:rPr>
                <w:rFonts w:asciiTheme="minorHAnsi" w:hAnsiTheme="minorHAnsi" w:cstheme="minorHAnsi"/>
              </w:rPr>
              <w:t xml:space="preserve"> Mathematics data as well as progress monitoring in Acadience Math to determine if the child has made sufficient progress.  </w:t>
            </w:r>
            <w:r>
              <w:rPr>
                <w:rFonts w:asciiTheme="minorHAnsi" w:hAnsiTheme="minorHAnsi" w:cstheme="minorHAnsi"/>
              </w:rPr>
              <w:t xml:space="preserve">Once a student maintains 80% accuracy in Tier 2 based on progress monitoring in Acadience Math and achievement in </w:t>
            </w:r>
            <w:proofErr w:type="spellStart"/>
            <w:r>
              <w:rPr>
                <w:rFonts w:asciiTheme="minorHAnsi" w:hAnsiTheme="minorHAnsi" w:cstheme="minorHAnsi"/>
              </w:rPr>
              <w:t>enVision</w:t>
            </w:r>
            <w:proofErr w:type="spellEnd"/>
            <w:r>
              <w:rPr>
                <w:rFonts w:asciiTheme="minorHAnsi" w:hAnsiTheme="minorHAnsi" w:cstheme="minorHAnsi"/>
              </w:rPr>
              <w:t xml:space="preserve"> Math, they will be released from those interventions to return to Tier 1 instruction.</w:t>
            </w:r>
          </w:p>
          <w:p w14:paraId="3354DFF9" w14:textId="4AA4FD4A" w:rsidR="00B4463A" w:rsidRDefault="00B4463A">
            <w:pPr>
              <w:rPr>
                <w:b/>
              </w:rPr>
            </w:pPr>
          </w:p>
        </w:tc>
      </w:tr>
      <w:tr w:rsidR="00251A96" w14:paraId="0050779A" w14:textId="77777777">
        <w:tc>
          <w:tcPr>
            <w:tcW w:w="10695" w:type="dxa"/>
          </w:tcPr>
          <w:p w14:paraId="41C40D63" w14:textId="7EBA780F" w:rsidR="00B4463A" w:rsidRDefault="006C49F0">
            <w:pPr>
              <w:rPr>
                <w:b/>
              </w:rPr>
            </w:pPr>
            <w:r>
              <w:rPr>
                <w:b/>
              </w:rPr>
              <w:lastRenderedPageBreak/>
              <w:t>Tier 3 Intervention Program(s)/strategies:</w:t>
            </w:r>
          </w:p>
          <w:p w14:paraId="24149480" w14:textId="4491BF3A" w:rsidR="00B4463A" w:rsidRDefault="00B4463A">
            <w:pPr>
              <w:rPr>
                <w:b/>
              </w:rPr>
            </w:pPr>
            <w:r w:rsidRPr="00C7648A">
              <w:rPr>
                <w:rFonts w:asciiTheme="minorHAnsi" w:hAnsiTheme="minorHAnsi" w:cstheme="minorHAnsi"/>
                <w:bCs/>
              </w:rPr>
              <w:t xml:space="preserve">Pinnacle has hired a teacher to direct Tier 3 math interventions.  This teacher will coordinate all Tier 3 math interventions using best instructional practices to help students achieve including math manipulatives, hands-on math activities to build skills in the four mathematical components.  </w:t>
            </w:r>
            <w:r>
              <w:rPr>
                <w:rFonts w:asciiTheme="minorHAnsi" w:hAnsiTheme="minorHAnsi" w:cstheme="minorHAnsi"/>
                <w:bCs/>
              </w:rPr>
              <w:t xml:space="preserve">Tier 3 interventions will use both </w:t>
            </w:r>
            <w:proofErr w:type="spellStart"/>
            <w:r>
              <w:rPr>
                <w:rFonts w:asciiTheme="minorHAnsi" w:hAnsiTheme="minorHAnsi" w:cstheme="minorHAnsi"/>
                <w:bCs/>
              </w:rPr>
              <w:t>enVision</w:t>
            </w:r>
            <w:proofErr w:type="spellEnd"/>
            <w:r>
              <w:rPr>
                <w:rFonts w:asciiTheme="minorHAnsi" w:hAnsiTheme="minorHAnsi" w:cstheme="minorHAnsi"/>
                <w:bCs/>
              </w:rPr>
              <w:t xml:space="preserve"> Math and Acadience Math data and curriculum to drive interventions.  </w:t>
            </w:r>
            <w:r w:rsidRPr="00C7648A">
              <w:rPr>
                <w:rFonts w:asciiTheme="minorHAnsi" w:hAnsiTheme="minorHAnsi" w:cstheme="minorHAnsi"/>
                <w:bCs/>
              </w:rPr>
              <w:t xml:space="preserve">Other math resources as provided by the State will also be included as needed in Tier 3 interventions. Students will participate in Tier 3 math interventions based on student data collected and analyzed by the teacher.  Tier 3 instruction will include explicit teaching, guided practice, independent practice, modeling, questioning, small groups and 1:1 instruction, auditory, </w:t>
            </w:r>
            <w:proofErr w:type="gramStart"/>
            <w:r w:rsidRPr="00C7648A">
              <w:rPr>
                <w:rFonts w:asciiTheme="minorHAnsi" w:hAnsiTheme="minorHAnsi" w:cstheme="minorHAnsi"/>
                <w:bCs/>
              </w:rPr>
              <w:t>kinesthetic</w:t>
            </w:r>
            <w:proofErr w:type="gramEnd"/>
            <w:r w:rsidRPr="00C7648A">
              <w:rPr>
                <w:rFonts w:asciiTheme="minorHAnsi" w:hAnsiTheme="minorHAnsi" w:cstheme="minorHAnsi"/>
                <w:bCs/>
              </w:rPr>
              <w:t xml:space="preserve"> and visual learning, advanced organizers, scaffolding, think aloud, vocabulary, examples and manipulatives. </w:t>
            </w:r>
            <w:r>
              <w:rPr>
                <w:rFonts w:asciiTheme="minorHAnsi" w:hAnsiTheme="minorHAnsi" w:cstheme="minorHAnsi"/>
                <w:bCs/>
              </w:rPr>
              <w:t xml:space="preserve"> Once a student maintains 80% accuracy and achievement in Tier 3 as determined by progress monitoring in Acadience Math and achievement in </w:t>
            </w:r>
            <w:proofErr w:type="spellStart"/>
            <w:r>
              <w:rPr>
                <w:rFonts w:asciiTheme="minorHAnsi" w:hAnsiTheme="minorHAnsi" w:cstheme="minorHAnsi"/>
                <w:bCs/>
              </w:rPr>
              <w:t>enVision</w:t>
            </w:r>
            <w:proofErr w:type="spellEnd"/>
            <w:r>
              <w:rPr>
                <w:rFonts w:asciiTheme="minorHAnsi" w:hAnsiTheme="minorHAnsi" w:cstheme="minorHAnsi"/>
                <w:bCs/>
              </w:rPr>
              <w:t xml:space="preserve"> Math, they will be assessed and determined if they need to move to Tier 2 interventions or back to Tier 1 instruction.  </w:t>
            </w:r>
          </w:p>
          <w:p w14:paraId="1738FD0C" w14:textId="77777777" w:rsidR="00251A96" w:rsidRDefault="00251A96">
            <w:pPr>
              <w:rPr>
                <w:b/>
              </w:rPr>
            </w:pPr>
          </w:p>
        </w:tc>
      </w:tr>
      <w:tr w:rsidR="00251A96" w14:paraId="6DD5A245" w14:textId="77777777">
        <w:tc>
          <w:tcPr>
            <w:tcW w:w="10695" w:type="dxa"/>
          </w:tcPr>
          <w:p w14:paraId="2A08F1F0" w14:textId="77777777" w:rsidR="00251A96" w:rsidRDefault="006C49F0">
            <w:pPr>
              <w:rPr>
                <w:b/>
              </w:rPr>
            </w:pPr>
            <w:r>
              <w:rPr>
                <w:b/>
              </w:rPr>
              <w:t>Briefly describe how you ensure intervention is aligned to students’ needs?</w:t>
            </w:r>
          </w:p>
          <w:p w14:paraId="3436575C" w14:textId="752FD2FA" w:rsidR="00251A96" w:rsidRPr="007A7208" w:rsidRDefault="007A7208">
            <w:pPr>
              <w:rPr>
                <w:bCs/>
              </w:rPr>
            </w:pPr>
            <w:r>
              <w:rPr>
                <w:bCs/>
              </w:rPr>
              <w:t>Based on classroom data and Acadience screener data, teachers in collaboration with the math specialist will determine students who need Tier 2 and Tier 3 interventions.</w:t>
            </w:r>
          </w:p>
          <w:p w14:paraId="23C23E1D" w14:textId="77777777" w:rsidR="00251A96" w:rsidRDefault="00251A96">
            <w:pPr>
              <w:rPr>
                <w:b/>
              </w:rPr>
            </w:pPr>
          </w:p>
        </w:tc>
      </w:tr>
    </w:tbl>
    <w:p w14:paraId="37BF12B3" w14:textId="77777777" w:rsidR="00251A96" w:rsidRDefault="00251A96">
      <w:pPr>
        <w:spacing w:after="0"/>
        <w:ind w:left="720"/>
        <w:rPr>
          <w:sz w:val="2"/>
          <w:szCs w:val="2"/>
        </w:rPr>
      </w:pPr>
    </w:p>
    <w:tbl>
      <w:tblPr>
        <w:tblStyle w:val="aff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51A96" w14:paraId="1D974988" w14:textId="77777777">
        <w:tc>
          <w:tcPr>
            <w:tcW w:w="10790" w:type="dxa"/>
            <w:shd w:val="clear" w:color="auto" w:fill="5B9BD5"/>
          </w:tcPr>
          <w:p w14:paraId="383D2A94" w14:textId="77777777" w:rsidR="00251A96" w:rsidRDefault="006C49F0">
            <w:pPr>
              <w:jc w:val="center"/>
              <w:rPr>
                <w:b/>
                <w:i/>
                <w:color w:val="4472C4"/>
                <w:sz w:val="32"/>
                <w:szCs w:val="32"/>
              </w:rPr>
            </w:pPr>
            <w:r>
              <w:rPr>
                <w:b/>
                <w:i/>
                <w:color w:val="FFFFFF"/>
                <w:sz w:val="32"/>
                <w:szCs w:val="32"/>
              </w:rPr>
              <w:t>SECTION C: LOCAL GOALS</w:t>
            </w:r>
          </w:p>
        </w:tc>
      </w:tr>
    </w:tbl>
    <w:p w14:paraId="4FECB11C" w14:textId="77777777" w:rsidR="00251A96" w:rsidRDefault="00251A96">
      <w:pPr>
        <w:rPr>
          <w:b/>
          <w:sz w:val="2"/>
          <w:szCs w:val="2"/>
        </w:rPr>
      </w:pPr>
    </w:p>
    <w:p w14:paraId="46535CAF" w14:textId="77777777" w:rsidR="00251A96" w:rsidRDefault="006C49F0">
      <w:pPr>
        <w:rPr>
          <w:i/>
        </w:rPr>
      </w:pPr>
      <w:r>
        <w:rPr>
          <w:b/>
        </w:rPr>
        <w:t>Goals must be measurable, address current performance gaps in student literacy and math data, and include specific strategies for improving outcomes.</w:t>
      </w:r>
      <w:r>
        <w:rPr>
          <w:i/>
        </w:rPr>
        <w:t xml:space="preserve"> </w:t>
      </w:r>
    </w:p>
    <w:p w14:paraId="0717736E" w14:textId="77777777" w:rsidR="00251A96" w:rsidRDefault="006C49F0">
      <w:r>
        <w:rPr>
          <w:b/>
        </w:rPr>
        <w:t xml:space="preserve">Videos to support goal writing: </w:t>
      </w:r>
      <w:hyperlink r:id="rId15">
        <w:r>
          <w:rPr>
            <w:b/>
            <w:color w:val="1155CC"/>
            <w:u w:val="single"/>
          </w:rPr>
          <w:t>Analyzing Data and Identifying Areas of Need</w:t>
        </w:r>
      </w:hyperlink>
      <w:r>
        <w:rPr>
          <w:b/>
        </w:rPr>
        <w:t xml:space="preserve"> and </w:t>
      </w:r>
      <w:hyperlink r:id="rId16">
        <w:r>
          <w:rPr>
            <w:b/>
            <w:color w:val="1155CC"/>
            <w:u w:val="single"/>
          </w:rPr>
          <w:t>Writing Goals</w:t>
        </w:r>
      </w:hyperlink>
    </w:p>
    <w:p w14:paraId="29B3EBE0" w14:textId="77777777" w:rsidR="00251A96" w:rsidRDefault="006C49F0">
      <w:pPr>
        <w:rPr>
          <w:b/>
        </w:rPr>
      </w:pPr>
      <w:r>
        <w:rPr>
          <w:b/>
        </w:rPr>
        <w:t xml:space="preserve">Goal Sentence Frame: </w:t>
      </w:r>
    </w:p>
    <w:p w14:paraId="41D9683A" w14:textId="4AF30850" w:rsidR="00251A96" w:rsidRPr="007A7208" w:rsidRDefault="006C49F0">
      <w:pPr>
        <w:rPr>
          <w:b/>
          <w:color w:val="BF8F00"/>
        </w:rPr>
      </w:pPr>
      <w:r>
        <w:rPr>
          <w:b/>
        </w:rPr>
        <w:t xml:space="preserve">By </w:t>
      </w:r>
      <w:r>
        <w:rPr>
          <w:b/>
          <w:color w:val="FF0000"/>
        </w:rPr>
        <w:t>[date]</w:t>
      </w:r>
      <w:r>
        <w:rPr>
          <w:b/>
        </w:rPr>
        <w:t xml:space="preserve">, </w:t>
      </w:r>
      <w:r>
        <w:rPr>
          <w:b/>
          <w:color w:val="2F5496"/>
        </w:rPr>
        <w:t xml:space="preserve">[who is responsible] </w:t>
      </w:r>
      <w:r>
        <w:rPr>
          <w:b/>
        </w:rPr>
        <w:t xml:space="preserve">will </w:t>
      </w:r>
      <w:r>
        <w:rPr>
          <w:b/>
          <w:color w:val="7030A0"/>
        </w:rPr>
        <w:t xml:space="preserve">[what will change and by how much--measurable] </w:t>
      </w:r>
      <w:r>
        <w:rPr>
          <w:b/>
        </w:rPr>
        <w:t xml:space="preserve">by </w:t>
      </w:r>
      <w:r>
        <w:rPr>
          <w:b/>
          <w:color w:val="538135"/>
        </w:rPr>
        <w:t>[how--which evidence-based strategy(</w:t>
      </w:r>
      <w:proofErr w:type="spellStart"/>
      <w:r>
        <w:rPr>
          <w:b/>
          <w:color w:val="538135"/>
        </w:rPr>
        <w:t>ies</w:t>
      </w:r>
      <w:proofErr w:type="spellEnd"/>
      <w:r>
        <w:rPr>
          <w:b/>
          <w:color w:val="538135"/>
        </w:rPr>
        <w:t>) will be used]</w:t>
      </w:r>
      <w:r>
        <w:rPr>
          <w:b/>
        </w:rPr>
        <w:t xml:space="preserve"> to </w:t>
      </w:r>
      <w:r>
        <w:rPr>
          <w:b/>
          <w:color w:val="BF8F00"/>
        </w:rPr>
        <w:t>[why—for what purpose].</w:t>
      </w:r>
    </w:p>
    <w:p w14:paraId="4C805F32" w14:textId="77777777" w:rsidR="00251A96" w:rsidRDefault="006C49F0">
      <w:pPr>
        <w:numPr>
          <w:ilvl w:val="0"/>
          <w:numId w:val="7"/>
        </w:numPr>
        <w:pBdr>
          <w:top w:val="nil"/>
          <w:left w:val="nil"/>
          <w:bottom w:val="nil"/>
          <w:right w:val="nil"/>
          <w:between w:val="nil"/>
        </w:pBdr>
        <w:rPr>
          <w:b/>
          <w:color w:val="000000"/>
        </w:rPr>
      </w:pPr>
      <w:r>
        <w:rPr>
          <w:b/>
          <w:color w:val="000000"/>
        </w:rPr>
        <w:t xml:space="preserve">Early Literacy Goal </w:t>
      </w:r>
      <w:r>
        <w:rPr>
          <w:b/>
          <w:i/>
          <w:color w:val="000000"/>
        </w:rPr>
        <w:t>(required)</w:t>
      </w:r>
    </w:p>
    <w:tbl>
      <w:tblPr>
        <w:tblStyle w:val="afff4"/>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251A96" w14:paraId="40331942" w14:textId="77777777">
        <w:tc>
          <w:tcPr>
            <w:tcW w:w="10705" w:type="dxa"/>
          </w:tcPr>
          <w:p w14:paraId="1F20964F" w14:textId="4F7E111F" w:rsidR="00827D99" w:rsidRPr="00827D99" w:rsidRDefault="00422012">
            <w:pPr>
              <w:rPr>
                <w:b/>
              </w:rPr>
            </w:pPr>
            <w:r>
              <w:rPr>
                <w:b/>
              </w:rPr>
              <w:t xml:space="preserve">By </w:t>
            </w:r>
            <w:r w:rsidR="001C7192">
              <w:rPr>
                <w:b/>
                <w:color w:val="FF0000"/>
              </w:rPr>
              <w:t>May 31, 2023</w:t>
            </w:r>
            <w:r>
              <w:rPr>
                <w:b/>
              </w:rPr>
              <w:t xml:space="preserve">, </w:t>
            </w:r>
            <w:r w:rsidR="00CB25B2">
              <w:rPr>
                <w:b/>
                <w:color w:val="2F5496"/>
              </w:rPr>
              <w:t>Pinnacle Canyon Academy</w:t>
            </w:r>
            <w:r>
              <w:rPr>
                <w:b/>
                <w:color w:val="2F5496"/>
              </w:rPr>
              <w:t xml:space="preserve"> </w:t>
            </w:r>
            <w:r>
              <w:rPr>
                <w:b/>
              </w:rPr>
              <w:t xml:space="preserve">will </w:t>
            </w:r>
            <w:r w:rsidR="00842B65">
              <w:rPr>
                <w:b/>
                <w:color w:val="7030A0"/>
              </w:rPr>
              <w:t xml:space="preserve">increase the percentage of at or above benchmark for first grade students on Nonsense Word Fluency (NWF-CLS) by </w:t>
            </w:r>
            <w:r w:rsidR="00E24844">
              <w:rPr>
                <w:b/>
                <w:color w:val="7030A0"/>
              </w:rPr>
              <w:t>5%</w:t>
            </w:r>
            <w:r w:rsidR="00E24844" w:rsidRPr="00E24844">
              <w:rPr>
                <w:rStyle w:val="CommentReference"/>
                <w:sz w:val="21"/>
                <w:szCs w:val="21"/>
              </w:rPr>
              <w:t xml:space="preserve"> by </w:t>
            </w:r>
            <w:r w:rsidR="00842B65">
              <w:rPr>
                <w:b/>
                <w:color w:val="538135"/>
              </w:rPr>
              <w:t xml:space="preserve">using Wonders curriculum with fidelity in the classroom, Imagine Learning as part of the EISP grant, small group targeted instruction </w:t>
            </w:r>
            <w:r w:rsidR="00710C4A">
              <w:rPr>
                <w:b/>
                <w:color w:val="538135"/>
              </w:rPr>
              <w:t xml:space="preserve">in </w:t>
            </w:r>
            <w:proofErr w:type="spellStart"/>
            <w:r w:rsidR="00710C4A">
              <w:rPr>
                <w:b/>
                <w:color w:val="538135"/>
              </w:rPr>
              <w:t>Fundations</w:t>
            </w:r>
            <w:proofErr w:type="spellEnd"/>
            <w:r w:rsidR="00710C4A">
              <w:rPr>
                <w:b/>
                <w:color w:val="538135"/>
              </w:rPr>
              <w:t xml:space="preserve"> </w:t>
            </w:r>
            <w:r w:rsidR="00842B65">
              <w:rPr>
                <w:b/>
                <w:color w:val="538135"/>
              </w:rPr>
              <w:t xml:space="preserve">during </w:t>
            </w:r>
            <w:r w:rsidR="00710C4A">
              <w:rPr>
                <w:b/>
                <w:color w:val="538135"/>
              </w:rPr>
              <w:t xml:space="preserve">ELA </w:t>
            </w:r>
            <w:r w:rsidR="00842B65">
              <w:rPr>
                <w:b/>
                <w:color w:val="538135"/>
              </w:rPr>
              <w:t>centers</w:t>
            </w:r>
            <w:r w:rsidR="006960A4">
              <w:rPr>
                <w:b/>
                <w:color w:val="538135"/>
              </w:rPr>
              <w:t>,</w:t>
            </w:r>
            <w:r w:rsidR="00842B65">
              <w:rPr>
                <w:b/>
                <w:color w:val="538135"/>
              </w:rPr>
              <w:t xml:space="preserve"> and the University of Utah Reading Clinic’s Steps Program in a 45</w:t>
            </w:r>
            <w:r w:rsidR="001C7192">
              <w:rPr>
                <w:b/>
                <w:color w:val="538135"/>
              </w:rPr>
              <w:t>-minute</w:t>
            </w:r>
            <w:r w:rsidR="00842B65">
              <w:rPr>
                <w:b/>
                <w:color w:val="538135"/>
              </w:rPr>
              <w:t xml:space="preserve"> intervention</w:t>
            </w:r>
            <w:r w:rsidR="001C7192">
              <w:rPr>
                <w:b/>
                <w:color w:val="538135"/>
              </w:rPr>
              <w:t xml:space="preserve"> block</w:t>
            </w:r>
            <w:r w:rsidR="00842B65">
              <w:rPr>
                <w:b/>
                <w:color w:val="538135"/>
              </w:rPr>
              <w:t xml:space="preserve"> </w:t>
            </w:r>
            <w:r>
              <w:rPr>
                <w:b/>
              </w:rPr>
              <w:t xml:space="preserve">to </w:t>
            </w:r>
            <w:r w:rsidR="00842B65">
              <w:rPr>
                <w:b/>
                <w:color w:val="BF8F00"/>
              </w:rPr>
              <w:t xml:space="preserve">increase </w:t>
            </w:r>
            <w:r w:rsidR="001C7192">
              <w:rPr>
                <w:b/>
                <w:color w:val="BF8F00"/>
              </w:rPr>
              <w:t xml:space="preserve">literacy skills and </w:t>
            </w:r>
            <w:r w:rsidR="00842B65">
              <w:rPr>
                <w:b/>
                <w:color w:val="BF8F00"/>
              </w:rPr>
              <w:t>proficiency in nonsense word fluency (NWF-CLS) for first grade students.</w:t>
            </w:r>
          </w:p>
        </w:tc>
      </w:tr>
    </w:tbl>
    <w:p w14:paraId="035CDA8A" w14:textId="77777777" w:rsidR="00251A96" w:rsidRDefault="00251A96">
      <w:pPr>
        <w:rPr>
          <w:b/>
          <w:sz w:val="2"/>
          <w:szCs w:val="2"/>
        </w:rPr>
      </w:pPr>
    </w:p>
    <w:p w14:paraId="1C388048" w14:textId="77777777" w:rsidR="00251A96" w:rsidRDefault="006C49F0">
      <w:pPr>
        <w:numPr>
          <w:ilvl w:val="0"/>
          <w:numId w:val="7"/>
        </w:numPr>
        <w:rPr>
          <w:b/>
        </w:rPr>
      </w:pPr>
      <w:r>
        <w:rPr>
          <w:b/>
        </w:rPr>
        <w:t xml:space="preserve">Early Mathematics Goal </w:t>
      </w:r>
      <w:r>
        <w:rPr>
          <w:b/>
          <w:i/>
        </w:rPr>
        <w:t>(required)</w:t>
      </w:r>
    </w:p>
    <w:tbl>
      <w:tblPr>
        <w:tblStyle w:val="afff5"/>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251A96" w14:paraId="031BBE92" w14:textId="77777777">
        <w:tc>
          <w:tcPr>
            <w:tcW w:w="10705" w:type="dxa"/>
          </w:tcPr>
          <w:p w14:paraId="214F87DC" w14:textId="6E8E261B" w:rsidR="00251A96" w:rsidRPr="00E24844" w:rsidRDefault="00422012" w:rsidP="00E24844">
            <w:pPr>
              <w:rPr>
                <w:b/>
                <w:color w:val="BF8F00"/>
              </w:rPr>
            </w:pPr>
            <w:r>
              <w:rPr>
                <w:b/>
              </w:rPr>
              <w:t xml:space="preserve">By </w:t>
            </w:r>
            <w:r w:rsidR="001C7192">
              <w:rPr>
                <w:b/>
                <w:color w:val="FF0000"/>
              </w:rPr>
              <w:t>May 31, 2023</w:t>
            </w:r>
            <w:r>
              <w:rPr>
                <w:b/>
              </w:rPr>
              <w:t xml:space="preserve">, </w:t>
            </w:r>
            <w:r>
              <w:rPr>
                <w:b/>
                <w:color w:val="2F5496"/>
              </w:rPr>
              <w:t>Pinnacle Canyon Academy</w:t>
            </w:r>
            <w:r w:rsidR="00E24844">
              <w:rPr>
                <w:b/>
                <w:color w:val="2F5496"/>
              </w:rPr>
              <w:t xml:space="preserve"> will </w:t>
            </w:r>
            <w:r w:rsidR="00E24844" w:rsidRPr="00E24844">
              <w:rPr>
                <w:rFonts w:asciiTheme="minorHAnsi" w:hAnsiTheme="minorHAnsi" w:cstheme="minorHAnsi"/>
                <w:b/>
                <w:bCs/>
                <w:color w:val="7030A0"/>
              </w:rPr>
              <w:t xml:space="preserve">increase the percentage of kindergarten students scoring at or above benchmark in Number Identification Fluency from BOY to EOY by </w:t>
            </w:r>
            <w:r w:rsidR="00E24844">
              <w:rPr>
                <w:rFonts w:asciiTheme="minorHAnsi" w:hAnsiTheme="minorHAnsi" w:cstheme="minorHAnsi"/>
                <w:b/>
                <w:bCs/>
                <w:color w:val="7030A0"/>
              </w:rPr>
              <w:t>4%</w:t>
            </w:r>
            <w:r w:rsidR="00E24844">
              <w:rPr>
                <w:rFonts w:ascii="Helvetica Neue" w:hAnsi="Helvetica Neue" w:cs="Helvetica Neue"/>
                <w:b/>
                <w:bCs/>
                <w:color w:val="000000"/>
                <w:sz w:val="26"/>
                <w:szCs w:val="26"/>
              </w:rPr>
              <w:t xml:space="preserve"> </w:t>
            </w:r>
            <w:r>
              <w:rPr>
                <w:b/>
              </w:rPr>
              <w:t xml:space="preserve">by </w:t>
            </w:r>
            <w:r>
              <w:rPr>
                <w:b/>
                <w:color w:val="538135"/>
              </w:rPr>
              <w:t xml:space="preserve">using </w:t>
            </w:r>
            <w:proofErr w:type="spellStart"/>
            <w:r>
              <w:rPr>
                <w:b/>
                <w:color w:val="538135"/>
              </w:rPr>
              <w:t>en</w:t>
            </w:r>
            <w:r w:rsidR="00CB25B2">
              <w:rPr>
                <w:b/>
                <w:color w:val="538135"/>
              </w:rPr>
              <w:t>V</w:t>
            </w:r>
            <w:r>
              <w:rPr>
                <w:b/>
                <w:color w:val="538135"/>
              </w:rPr>
              <w:t>ision</w:t>
            </w:r>
            <w:proofErr w:type="spellEnd"/>
            <w:r>
              <w:rPr>
                <w:b/>
                <w:color w:val="538135"/>
              </w:rPr>
              <w:t xml:space="preserve"> math curriculum with fidelity, small group targeted instruction during centers and </w:t>
            </w:r>
            <w:proofErr w:type="spellStart"/>
            <w:r>
              <w:rPr>
                <w:b/>
                <w:color w:val="538135"/>
              </w:rPr>
              <w:t>en</w:t>
            </w:r>
            <w:r w:rsidR="00CB25B2">
              <w:rPr>
                <w:b/>
                <w:color w:val="538135"/>
              </w:rPr>
              <w:t>V</w:t>
            </w:r>
            <w:r>
              <w:rPr>
                <w:b/>
                <w:color w:val="538135"/>
              </w:rPr>
              <w:t>ision</w:t>
            </w:r>
            <w:proofErr w:type="spellEnd"/>
            <w:r>
              <w:rPr>
                <w:b/>
                <w:color w:val="538135"/>
              </w:rPr>
              <w:t xml:space="preserve"> math intervention strategies</w:t>
            </w:r>
            <w:r w:rsidR="00CB25B2">
              <w:rPr>
                <w:b/>
                <w:color w:val="538135"/>
              </w:rPr>
              <w:t xml:space="preserve"> during a </w:t>
            </w:r>
            <w:proofErr w:type="gramStart"/>
            <w:r w:rsidR="00CB25B2">
              <w:rPr>
                <w:b/>
                <w:color w:val="538135"/>
              </w:rPr>
              <w:t>30 minute</w:t>
            </w:r>
            <w:proofErr w:type="gramEnd"/>
            <w:r w:rsidR="00CB25B2">
              <w:rPr>
                <w:b/>
                <w:color w:val="538135"/>
              </w:rPr>
              <w:t xml:space="preserve"> math intervention block</w:t>
            </w:r>
            <w:r>
              <w:rPr>
                <w:b/>
                <w:color w:val="538135"/>
              </w:rPr>
              <w:t xml:space="preserve"> </w:t>
            </w:r>
            <w:r>
              <w:rPr>
                <w:b/>
              </w:rPr>
              <w:t xml:space="preserve">to </w:t>
            </w:r>
            <w:r>
              <w:rPr>
                <w:b/>
                <w:color w:val="BF8F00"/>
              </w:rPr>
              <w:t xml:space="preserve">increase </w:t>
            </w:r>
            <w:r w:rsidR="00842B65">
              <w:rPr>
                <w:b/>
                <w:color w:val="BF8F00"/>
              </w:rPr>
              <w:t xml:space="preserve">proficiency in </w:t>
            </w:r>
            <w:r>
              <w:rPr>
                <w:b/>
                <w:color w:val="BF8F00"/>
              </w:rPr>
              <w:t>the number identification fluency</w:t>
            </w:r>
            <w:r w:rsidR="00CB25B2">
              <w:rPr>
                <w:b/>
                <w:color w:val="BF8F00"/>
              </w:rPr>
              <w:t xml:space="preserve"> </w:t>
            </w:r>
            <w:r>
              <w:rPr>
                <w:b/>
                <w:color w:val="BF8F00"/>
              </w:rPr>
              <w:t xml:space="preserve">of those students who </w:t>
            </w:r>
            <w:r w:rsidR="00842B65">
              <w:rPr>
                <w:b/>
                <w:color w:val="BF8F00"/>
              </w:rPr>
              <w:t>scored</w:t>
            </w:r>
            <w:r>
              <w:rPr>
                <w:b/>
                <w:color w:val="BF8F00"/>
              </w:rPr>
              <w:t xml:space="preserve"> below benchmark</w:t>
            </w:r>
            <w:r w:rsidR="00842B65">
              <w:rPr>
                <w:b/>
                <w:color w:val="BF8F00"/>
              </w:rPr>
              <w:t xml:space="preserve"> at BOY</w:t>
            </w:r>
            <w:r>
              <w:rPr>
                <w:b/>
                <w:color w:val="BF8F00"/>
              </w:rPr>
              <w:t>.</w:t>
            </w:r>
          </w:p>
        </w:tc>
      </w:tr>
    </w:tbl>
    <w:p w14:paraId="5A6A8AA1" w14:textId="77777777" w:rsidR="00251A96" w:rsidRDefault="00251A96">
      <w:pPr>
        <w:rPr>
          <w:sz w:val="2"/>
          <w:szCs w:val="2"/>
        </w:rPr>
      </w:pPr>
    </w:p>
    <w:p w14:paraId="4455270B" w14:textId="77777777" w:rsidR="00251A96" w:rsidRDefault="006C49F0">
      <w:pPr>
        <w:numPr>
          <w:ilvl w:val="0"/>
          <w:numId w:val="7"/>
        </w:numPr>
        <w:rPr>
          <w:b/>
        </w:rPr>
      </w:pPr>
      <w:r>
        <w:rPr>
          <w:b/>
        </w:rPr>
        <w:t xml:space="preserve">Early Literacy or Mathematics Goal </w:t>
      </w:r>
      <w:r>
        <w:rPr>
          <w:b/>
          <w:i/>
        </w:rPr>
        <w:t>(required)</w:t>
      </w:r>
    </w:p>
    <w:p w14:paraId="11C7B8B3" w14:textId="649F0921" w:rsidR="00251A96" w:rsidRDefault="007B3771">
      <w:pPr>
        <w:ind w:left="720"/>
        <w:rPr>
          <w:i/>
          <w:sz w:val="16"/>
          <w:szCs w:val="16"/>
        </w:rPr>
      </w:pPr>
      <w:r>
        <w:lastRenderedPageBreak/>
        <w:t>[X]</w:t>
      </w:r>
      <w:r w:rsidR="006C49F0">
        <w:t xml:space="preserve"> Literacy Goal</w:t>
      </w:r>
      <w:r w:rsidR="006C49F0">
        <w:tab/>
      </w:r>
      <w:r w:rsidR="006C49F0">
        <w:tab/>
        <w:t xml:space="preserve">   ☐ Mathematics Goal</w:t>
      </w:r>
    </w:p>
    <w:tbl>
      <w:tblPr>
        <w:tblStyle w:val="afff6"/>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251A96" w14:paraId="3A049ED0" w14:textId="77777777">
        <w:tc>
          <w:tcPr>
            <w:tcW w:w="10705" w:type="dxa"/>
          </w:tcPr>
          <w:p w14:paraId="1A0E84AD" w14:textId="793B3083" w:rsidR="007B3771" w:rsidRDefault="00422012" w:rsidP="00E24844">
            <w:pPr>
              <w:rPr>
                <w:b/>
              </w:rPr>
            </w:pPr>
            <w:r>
              <w:rPr>
                <w:b/>
              </w:rPr>
              <w:t xml:space="preserve">By </w:t>
            </w:r>
            <w:r w:rsidR="001E0364">
              <w:rPr>
                <w:b/>
                <w:color w:val="FF0000"/>
              </w:rPr>
              <w:t>May 31, 2023,</w:t>
            </w:r>
            <w:r>
              <w:rPr>
                <w:b/>
              </w:rPr>
              <w:t xml:space="preserve"> </w:t>
            </w:r>
            <w:r w:rsidR="001E0364">
              <w:rPr>
                <w:b/>
                <w:color w:val="2F5496"/>
              </w:rPr>
              <w:t xml:space="preserve">Pinnacle Canyon Academy </w:t>
            </w:r>
            <w:r>
              <w:rPr>
                <w:b/>
              </w:rPr>
              <w:t xml:space="preserve">will </w:t>
            </w:r>
            <w:r w:rsidR="007B3771">
              <w:rPr>
                <w:b/>
                <w:color w:val="7030A0"/>
              </w:rPr>
              <w:t xml:space="preserve">increase the percentage of third grade students in Oral Reading Fluency (Accuracy) at or above benchmark by </w:t>
            </w:r>
            <w:r w:rsidR="00E24844">
              <w:rPr>
                <w:b/>
                <w:color w:val="7030A0"/>
              </w:rPr>
              <w:t xml:space="preserve">12% </w:t>
            </w:r>
            <w:r>
              <w:rPr>
                <w:b/>
              </w:rPr>
              <w:t xml:space="preserve">by </w:t>
            </w:r>
            <w:r w:rsidR="007B3771">
              <w:rPr>
                <w:b/>
                <w:color w:val="538135"/>
              </w:rPr>
              <w:t xml:space="preserve">using Wonders curriculum with fidelity in the classroom, Imagine Learning as part of the EISP grant, small group targeted instruction during ELA centers, and the University of Utah Reading Clinic’s Steps Program in a 45-minute intervention block </w:t>
            </w:r>
            <w:r w:rsidR="007B3771">
              <w:rPr>
                <w:b/>
              </w:rPr>
              <w:t xml:space="preserve">to </w:t>
            </w:r>
            <w:r w:rsidR="007B3771">
              <w:rPr>
                <w:b/>
                <w:color w:val="BF8F00"/>
              </w:rPr>
              <w:t>increase literacy skills and proficiency in Oral Reading Fluency (Accuracy) for third grade students.</w:t>
            </w:r>
          </w:p>
        </w:tc>
      </w:tr>
    </w:tbl>
    <w:p w14:paraId="5E4D73B8" w14:textId="77777777" w:rsidR="00251A96" w:rsidRDefault="00251A96">
      <w:pPr>
        <w:rPr>
          <w:sz w:val="2"/>
          <w:szCs w:val="2"/>
        </w:rPr>
      </w:pPr>
    </w:p>
    <w:p w14:paraId="5C5D31BC" w14:textId="77777777" w:rsidR="00251A96" w:rsidRDefault="006C49F0">
      <w:r>
        <w:rPr>
          <w:b/>
        </w:rPr>
        <w:t xml:space="preserve">General Assurances: </w:t>
      </w:r>
      <w:r>
        <w:rPr>
          <w:b/>
          <w:i/>
        </w:rPr>
        <w:t>Check the box below</w:t>
      </w:r>
      <w:r>
        <w:rPr>
          <w:b/>
        </w:rPr>
        <w:t>.</w:t>
      </w:r>
      <w:r>
        <w:rPr>
          <w:b/>
          <w:highlight w:val="yellow"/>
        </w:rPr>
        <w:t xml:space="preserve"> </w:t>
      </w:r>
    </w:p>
    <w:p w14:paraId="7E49D59B" w14:textId="2AA7DFB4" w:rsidR="00251A96" w:rsidRDefault="007B3771">
      <w:pPr>
        <w:ind w:left="360"/>
      </w:pPr>
      <w:r>
        <w:t>[X]</w:t>
      </w:r>
      <w:r w:rsidR="006C49F0">
        <w:t xml:space="preserve"> The LEA assures that it is in compliance with State Code </w:t>
      </w:r>
      <w:hyperlink r:id="rId17" w:anchor=":~:text=Early%20Literacy%20Program%20%2D%2D%20Literacy%20proficiency%20plan.,-(1)&amp;text=For%20a%20school%20district%20or,plan%20from%20the%20state%20board.">
        <w:r w:rsidR="006C49F0">
          <w:rPr>
            <w:color w:val="1155CC"/>
            <w:u w:val="single"/>
          </w:rPr>
          <w:t>53F-2-503</w:t>
        </w:r>
      </w:hyperlink>
      <w:r w:rsidR="006C49F0">
        <w:t xml:space="preserve">, </w:t>
      </w:r>
      <w:hyperlink r:id="rId18">
        <w:r w:rsidR="006C49F0">
          <w:rPr>
            <w:color w:val="1155CC"/>
            <w:u w:val="single"/>
          </w:rPr>
          <w:t>53E-4-307.5</w:t>
        </w:r>
      </w:hyperlink>
      <w:r w:rsidR="006C49F0">
        <w:t xml:space="preserve">, </w:t>
      </w:r>
      <w:hyperlink r:id="rId19">
        <w:r w:rsidR="006C49F0">
          <w:rPr>
            <w:color w:val="1155CC"/>
            <w:u w:val="single"/>
          </w:rPr>
          <w:t>53G-7-218</w:t>
        </w:r>
      </w:hyperlink>
      <w:r w:rsidR="006C49F0">
        <w:t xml:space="preserve">, </w:t>
      </w:r>
      <w:hyperlink r:id="rId20" w:anchor=":~:text=Requirements%20for%20early%20mathematics%20plan.,-The%20state%20board&amp;text=establish%20a%20state%2Dwide%20target,%2D7%2D218%20regarding%20mathematics.">
        <w:r w:rsidR="006C49F0">
          <w:rPr>
            <w:color w:val="1155CC"/>
            <w:u w:val="single"/>
          </w:rPr>
          <w:t>53E-3-521</w:t>
        </w:r>
      </w:hyperlink>
      <w:r w:rsidR="006C49F0">
        <w:t xml:space="preserve"> and Utah Board Rule </w:t>
      </w:r>
      <w:hyperlink r:id="rId21">
        <w:r w:rsidR="006C49F0">
          <w:rPr>
            <w:color w:val="1155CC"/>
            <w:u w:val="single"/>
          </w:rPr>
          <w:t>R277-406</w:t>
        </w:r>
      </w:hyperlink>
      <w:r w:rsidR="006C49F0">
        <w:t xml:space="preserve"> applicable to this program.</w:t>
      </w:r>
    </w:p>
    <w:p w14:paraId="7194931E" w14:textId="77777777" w:rsidR="00251A96" w:rsidRDefault="006C49F0">
      <w:pPr>
        <w:rPr>
          <w:b/>
          <w:highlight w:val="yellow"/>
        </w:rPr>
      </w:pPr>
      <w:r>
        <w:t xml:space="preserve">By submitting this form, I certify the information I provided on and in connection to this application is true, accurate and complete. I also understand that any false statements on this application I file with the Utah State Board of Education may be grounds for disqualification for Early Literacy Program funds. </w:t>
      </w:r>
    </w:p>
    <w:sectPr w:rsidR="00251A96">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A231" w14:textId="77777777" w:rsidR="008E3771" w:rsidRDefault="008E3771">
      <w:pPr>
        <w:spacing w:after="0" w:line="240" w:lineRule="auto"/>
      </w:pPr>
      <w:r>
        <w:separator/>
      </w:r>
    </w:p>
  </w:endnote>
  <w:endnote w:type="continuationSeparator" w:id="0">
    <w:p w14:paraId="56254A71" w14:textId="77777777" w:rsidR="008E3771" w:rsidRDefault="008E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678B" w14:textId="77777777" w:rsidR="00251A96" w:rsidRDefault="00251A9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A1A3" w14:textId="77777777" w:rsidR="00251A96" w:rsidRDefault="00251A9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6D6" w14:textId="77777777" w:rsidR="00251A96" w:rsidRDefault="00251A9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F157" w14:textId="77777777" w:rsidR="008E3771" w:rsidRDefault="008E3771">
      <w:pPr>
        <w:spacing w:after="0" w:line="240" w:lineRule="auto"/>
      </w:pPr>
      <w:r>
        <w:separator/>
      </w:r>
    </w:p>
  </w:footnote>
  <w:footnote w:type="continuationSeparator" w:id="0">
    <w:p w14:paraId="2B376753" w14:textId="77777777" w:rsidR="008E3771" w:rsidRDefault="008E3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CE57" w14:textId="77777777" w:rsidR="00251A96" w:rsidRDefault="00251A9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F297" w14:textId="77777777" w:rsidR="00251A96" w:rsidRDefault="00251A9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1EF9" w14:textId="77777777" w:rsidR="00251A96" w:rsidRDefault="00251A9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5261"/>
    <w:multiLevelType w:val="multilevel"/>
    <w:tmpl w:val="2F80C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2B664F"/>
    <w:multiLevelType w:val="multilevel"/>
    <w:tmpl w:val="5D981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4B5645"/>
    <w:multiLevelType w:val="multilevel"/>
    <w:tmpl w:val="E034AF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2963B4"/>
    <w:multiLevelType w:val="multilevel"/>
    <w:tmpl w:val="98E27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9B707F"/>
    <w:multiLevelType w:val="multilevel"/>
    <w:tmpl w:val="1DCA3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174917"/>
    <w:multiLevelType w:val="multilevel"/>
    <w:tmpl w:val="68C6F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292E61"/>
    <w:multiLevelType w:val="multilevel"/>
    <w:tmpl w:val="E41EF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2407752">
    <w:abstractNumId w:val="5"/>
  </w:num>
  <w:num w:numId="2" w16cid:durableId="905603640">
    <w:abstractNumId w:val="1"/>
  </w:num>
  <w:num w:numId="3" w16cid:durableId="74519701">
    <w:abstractNumId w:val="2"/>
  </w:num>
  <w:num w:numId="4" w16cid:durableId="239022808">
    <w:abstractNumId w:val="3"/>
  </w:num>
  <w:num w:numId="5" w16cid:durableId="717557666">
    <w:abstractNumId w:val="0"/>
  </w:num>
  <w:num w:numId="6" w16cid:durableId="1076628769">
    <w:abstractNumId w:val="6"/>
  </w:num>
  <w:num w:numId="7" w16cid:durableId="1908683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96"/>
    <w:rsid w:val="00072F4D"/>
    <w:rsid w:val="00141676"/>
    <w:rsid w:val="001C7192"/>
    <w:rsid w:val="001D40DE"/>
    <w:rsid w:val="001E0364"/>
    <w:rsid w:val="001E6B01"/>
    <w:rsid w:val="00251A96"/>
    <w:rsid w:val="002E5A90"/>
    <w:rsid w:val="00334DBD"/>
    <w:rsid w:val="00402F97"/>
    <w:rsid w:val="00422012"/>
    <w:rsid w:val="00602B2B"/>
    <w:rsid w:val="006960A4"/>
    <w:rsid w:val="006C49F0"/>
    <w:rsid w:val="00710C4A"/>
    <w:rsid w:val="007A7208"/>
    <w:rsid w:val="007B3771"/>
    <w:rsid w:val="00827D99"/>
    <w:rsid w:val="00842B65"/>
    <w:rsid w:val="00862F4D"/>
    <w:rsid w:val="00870166"/>
    <w:rsid w:val="008E3771"/>
    <w:rsid w:val="00A270D9"/>
    <w:rsid w:val="00A4673D"/>
    <w:rsid w:val="00B128FD"/>
    <w:rsid w:val="00B4463A"/>
    <w:rsid w:val="00BA1FD1"/>
    <w:rsid w:val="00BD6817"/>
    <w:rsid w:val="00CB25B2"/>
    <w:rsid w:val="00CD49E8"/>
    <w:rsid w:val="00E037FE"/>
    <w:rsid w:val="00E24844"/>
    <w:rsid w:val="00E97384"/>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58E5"/>
  <w15:docId w15:val="{F4ADB219-FA08-E241-B80C-7B89A722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8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C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8A1"/>
    <w:pPr>
      <w:ind w:left="720"/>
      <w:contextualSpacing/>
    </w:pPr>
  </w:style>
  <w:style w:type="character" w:styleId="Hyperlink">
    <w:name w:val="Hyperlink"/>
    <w:basedOn w:val="DefaultParagraphFont"/>
    <w:uiPriority w:val="99"/>
    <w:unhideWhenUsed/>
    <w:rsid w:val="00DC78A1"/>
    <w:rPr>
      <w:color w:val="0563C1" w:themeColor="hyperlink"/>
      <w:u w:val="single"/>
    </w:rPr>
  </w:style>
  <w:style w:type="paragraph" w:styleId="Header">
    <w:name w:val="header"/>
    <w:basedOn w:val="Normal"/>
    <w:link w:val="HeaderChar"/>
    <w:uiPriority w:val="99"/>
    <w:unhideWhenUsed/>
    <w:rsid w:val="00DC7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8A1"/>
  </w:style>
  <w:style w:type="paragraph" w:styleId="Footer">
    <w:name w:val="footer"/>
    <w:basedOn w:val="Normal"/>
    <w:link w:val="FooterChar"/>
    <w:uiPriority w:val="99"/>
    <w:unhideWhenUsed/>
    <w:rsid w:val="00DC7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8A1"/>
  </w:style>
  <w:style w:type="character" w:styleId="UnresolvedMention">
    <w:name w:val="Unresolved Mention"/>
    <w:basedOn w:val="DefaultParagraphFont"/>
    <w:uiPriority w:val="99"/>
    <w:semiHidden/>
    <w:unhideWhenUsed/>
    <w:rsid w:val="00DC78A1"/>
    <w:rPr>
      <w:color w:val="605E5C"/>
      <w:shd w:val="clear" w:color="auto" w:fill="E1DFDD"/>
    </w:rPr>
  </w:style>
  <w:style w:type="character" w:styleId="CommentReference">
    <w:name w:val="annotation reference"/>
    <w:basedOn w:val="DefaultParagraphFont"/>
    <w:uiPriority w:val="99"/>
    <w:semiHidden/>
    <w:unhideWhenUsed/>
    <w:rsid w:val="00986D2B"/>
    <w:rPr>
      <w:sz w:val="16"/>
      <w:szCs w:val="16"/>
    </w:rPr>
  </w:style>
  <w:style w:type="paragraph" w:styleId="CommentText">
    <w:name w:val="annotation text"/>
    <w:basedOn w:val="Normal"/>
    <w:link w:val="CommentTextChar"/>
    <w:uiPriority w:val="99"/>
    <w:semiHidden/>
    <w:unhideWhenUsed/>
    <w:rsid w:val="00986D2B"/>
    <w:pPr>
      <w:spacing w:line="240" w:lineRule="auto"/>
    </w:pPr>
    <w:rPr>
      <w:sz w:val="20"/>
      <w:szCs w:val="20"/>
    </w:rPr>
  </w:style>
  <w:style w:type="character" w:customStyle="1" w:styleId="CommentTextChar">
    <w:name w:val="Comment Text Char"/>
    <w:basedOn w:val="DefaultParagraphFont"/>
    <w:link w:val="CommentText"/>
    <w:uiPriority w:val="99"/>
    <w:semiHidden/>
    <w:rsid w:val="00986D2B"/>
    <w:rPr>
      <w:sz w:val="20"/>
      <w:szCs w:val="20"/>
    </w:rPr>
  </w:style>
  <w:style w:type="paragraph" w:styleId="CommentSubject">
    <w:name w:val="annotation subject"/>
    <w:basedOn w:val="CommentText"/>
    <w:next w:val="CommentText"/>
    <w:link w:val="CommentSubjectChar"/>
    <w:uiPriority w:val="99"/>
    <w:semiHidden/>
    <w:unhideWhenUsed/>
    <w:rsid w:val="00986D2B"/>
    <w:rPr>
      <w:b/>
      <w:bCs/>
    </w:rPr>
  </w:style>
  <w:style w:type="character" w:customStyle="1" w:styleId="CommentSubjectChar">
    <w:name w:val="Comment Subject Char"/>
    <w:basedOn w:val="CommentTextChar"/>
    <w:link w:val="CommentSubject"/>
    <w:uiPriority w:val="99"/>
    <w:semiHidden/>
    <w:rsid w:val="00986D2B"/>
    <w:rPr>
      <w:b/>
      <w:bCs/>
      <w:sz w:val="20"/>
      <w:szCs w:val="20"/>
    </w:rPr>
  </w:style>
  <w:style w:type="paragraph" w:styleId="BalloonText">
    <w:name w:val="Balloon Text"/>
    <w:basedOn w:val="Normal"/>
    <w:link w:val="BalloonTextChar"/>
    <w:uiPriority w:val="99"/>
    <w:semiHidden/>
    <w:unhideWhenUsed/>
    <w:rsid w:val="00986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2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tahgrants.utah.gov/ApplicantLogin4?username=null" TargetMode="External"/><Relationship Id="rId18" Type="http://schemas.openxmlformats.org/officeDocument/2006/relationships/hyperlink" Target="https://le.utah.gov/xcode/Title53E/Chapter4/53E-4-S307.5.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chools.utah.gov/file/955be222-447e-49d8-b72a-022925479181" TargetMode="External"/><Relationship Id="rId7" Type="http://schemas.openxmlformats.org/officeDocument/2006/relationships/endnotes" Target="endnotes.xml"/><Relationship Id="rId12" Type="http://schemas.openxmlformats.org/officeDocument/2006/relationships/hyperlink" Target="mailto:earlylearning@schools.utah.gov" TargetMode="External"/><Relationship Id="rId17" Type="http://schemas.openxmlformats.org/officeDocument/2006/relationships/hyperlink" Target="https://le.utah.gov/xcode/Title53f/Chapter2/53f-2-S503.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youtu.be/jbZfznf3O5k" TargetMode="External"/><Relationship Id="rId20" Type="http://schemas.openxmlformats.org/officeDocument/2006/relationships/hyperlink" Target="https://le.utah.gov/xcode/Title53E/Chapter3/53E-3-S52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joC-o__XGKmrT_6nRHzMiiR-ymu4noFUa4ZXJr2PEA/edit?usp=shar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NdTbXml-6i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rive.google.com/file/d/1kkaN46xB40jJzMzfZ2f2hWbhlcJ-Q9UF/view?usp=sharing" TargetMode="External"/><Relationship Id="rId19" Type="http://schemas.openxmlformats.org/officeDocument/2006/relationships/hyperlink" Target="https://le.utah.gov/xcode/Title53G/Chapter7/53G-7-S218.html" TargetMode="External"/><Relationship Id="rId4" Type="http://schemas.openxmlformats.org/officeDocument/2006/relationships/settings" Target="settings.xml"/><Relationship Id="rId9" Type="http://schemas.openxmlformats.org/officeDocument/2006/relationships/hyperlink" Target="https://docs.google.com/document/d/1GsmMc88Gnk7-aO3K7OKGODi5ad_0Y2Ti/edit?usp=sharing&amp;ouid=111364743146836537372&amp;rtpof=true&amp;sd=true" TargetMode="External"/><Relationship Id="rId14" Type="http://schemas.openxmlformats.org/officeDocument/2006/relationships/hyperlink" Target="https://datagateway.schools.utah.gov/early-literacy/hom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oAh6rJbTuENhwZvuwvG8E5Oy+g==">AMUW2mUMYk+tG3jk8bPw3APQb9pBZaFP/XgWpCripsB8OjBODBrIbT6eQ9b4qdUQoPyWTM851KZExsn13RUlO+/PiKplqpVdF3/hOGiDImZOt+Gb/2ZLfso=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2078</Words>
  <Characters>11850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Sara</dc:creator>
  <cp:lastModifiedBy>Clark, Julie</cp:lastModifiedBy>
  <cp:revision>2</cp:revision>
  <dcterms:created xsi:type="dcterms:W3CDTF">2022-06-17T19:03:00Z</dcterms:created>
  <dcterms:modified xsi:type="dcterms:W3CDTF">2022-06-17T19:03:00Z</dcterms:modified>
</cp:coreProperties>
</file>