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Limit on simultaneous applications per parcel.</w:t>
      </w:r>
    </w:p>
    <w:p w:rsidR="00000000" w:rsidDel="00000000" w:rsidP="00000000" w:rsidRDefault="00000000" w:rsidRPr="00000000" w14:paraId="00000002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(1) No more than one pending land use application will be accepted at any one time per parcel or address. A subsequent application will not be accepted for review for differing land use applications until the pending application has been approved, denied or formally withdrawn by the applicant.</w:t>
      </w:r>
    </w:p>
    <w:p w:rsidR="00000000" w:rsidDel="00000000" w:rsidP="00000000" w:rsidRDefault="00000000" w:rsidRPr="00000000" w14:paraId="00000003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(2) Subsection (1) does not apply to subdivision developments with multiple phases originating from the parent parcel, or to land use applications for the same development or projects that require multi-stage approvals, which may be in review simultaneously.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DM6zTmexBXai20vAMxTyfwegGQ==">AMUW2mW8oAEy9uEdW0adgJywkiENW5/x5j3cS0hBl6CS/llZ4/uF8/F3CfbuhEzd8+0ijK+xyVOavDWKiNtzBICgLf7P15Iyhgeo+UVIzlkkaNjAemQqAHU=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2022-03-10T16:39:00Z</dcterms:created>
  <dc:creator>Cory Warnick</dc:creator>
</cp:coreProperties>
</file>