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A8273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8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</w:rPr>
        <w:t>O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FFICE OF THE </w:t>
      </w:r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792BDD48" wp14:editId="22D5116A">
            <wp:simplePos x="0" y="0"/>
            <wp:positionH relativeFrom="column">
              <wp:posOffset>19050</wp:posOffset>
            </wp:positionH>
            <wp:positionV relativeFrom="paragraph">
              <wp:posOffset>-200280</wp:posOffset>
            </wp:positionV>
            <wp:extent cx="1123950" cy="1123950"/>
            <wp:effectExtent l="0" t="0" r="0" b="0"/>
            <wp:wrapSquare wrapText="right" distT="19050" distB="19050" distL="19050" distR="19050"/>
            <wp:docPr id="9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BB5EE8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40" w:lineRule="auto"/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color w:val="000000"/>
          <w:sz w:val="31"/>
          <w:szCs w:val="31"/>
        </w:rPr>
        <w:t>S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 xml:space="preserve">TATE </w:t>
      </w:r>
      <w:r>
        <w:rPr>
          <w:rFonts w:ascii="Times New Roman" w:eastAsia="Times New Roman" w:hAnsi="Times New Roman" w:cs="Times New Roman"/>
          <w:b/>
          <w:color w:val="000000"/>
          <w:sz w:val="31"/>
          <w:szCs w:val="31"/>
        </w:rPr>
        <w:t>A</w:t>
      </w:r>
      <w:r>
        <w:rPr>
          <w:rFonts w:ascii="Times New Roman" w:eastAsia="Times New Roman" w:hAnsi="Times New Roman" w:cs="Times New Roman"/>
          <w:b/>
          <w:color w:val="000000"/>
          <w:sz w:val="25"/>
          <w:szCs w:val="25"/>
        </w:rPr>
        <w:t xml:space="preserve">UDITOR </w:t>
      </w:r>
    </w:p>
    <w:p w14:paraId="233497B1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75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03761">
          <w:pgSz w:w="12240" w:h="15840"/>
          <w:pgMar w:top="254" w:right="2173" w:bottom="0" w:left="2330" w:header="0" w:footer="720" w:gutter="0"/>
          <w:pgNumType w:start="1"/>
          <w:cols w:num="2" w:space="720" w:equalWidth="0">
            <w:col w:w="3880" w:space="0"/>
            <w:col w:w="3880" w:space="0"/>
          </w:cols>
        </w:sectPr>
      </w:pPr>
      <w:r>
        <w:rPr>
          <w:rFonts w:ascii="Times New Roman" w:eastAsia="Times New Roman" w:hAnsi="Times New Roman" w:cs="Times New Roman"/>
          <w:color w:val="FFFFFF"/>
          <w:sz w:val="52"/>
          <w:szCs w:val="52"/>
        </w:rPr>
        <w:t xml:space="preserve">Questionnaire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Revised December 2020 </w:t>
      </w:r>
    </w:p>
    <w:p w14:paraId="33AC17A0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221"/>
        <w:rPr>
          <w:rFonts w:ascii="Times New Roman" w:eastAsia="Times New Roman" w:hAnsi="Times New Roman" w:cs="Times New Roman"/>
          <w:color w:val="00264C"/>
          <w:sz w:val="52"/>
          <w:szCs w:val="52"/>
        </w:rPr>
      </w:pPr>
      <w:r>
        <w:rPr>
          <w:rFonts w:ascii="Times New Roman" w:eastAsia="Times New Roman" w:hAnsi="Times New Roman" w:cs="Times New Roman"/>
          <w:color w:val="00264C"/>
          <w:sz w:val="52"/>
          <w:szCs w:val="52"/>
        </w:rPr>
        <w:t xml:space="preserve">Fraud Risk Assessment </w:t>
      </w:r>
    </w:p>
    <w:p w14:paraId="6C13230C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25" w:line="240" w:lineRule="auto"/>
        <w:ind w:left="145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INSTRUCTIONS:  </w:t>
      </w:r>
    </w:p>
    <w:p w14:paraId="35347FF7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28" w:lineRule="auto"/>
        <w:ind w:left="1809" w:right="1334" w:hanging="359"/>
        <w:rPr>
          <w:color w:val="000000"/>
          <w:sz w:val="28"/>
          <w:szCs w:val="28"/>
        </w:rPr>
      </w:pPr>
      <w:r>
        <w:rPr>
          <w:rFonts w:ascii="Noto Sans Symbols" w:eastAsia="Noto Sans Symbols" w:hAnsi="Noto Sans Symbols" w:cs="Noto Sans Symbols"/>
          <w:color w:val="000000"/>
          <w:sz w:val="19"/>
          <w:szCs w:val="19"/>
        </w:rPr>
        <w:t xml:space="preserve">• </w:t>
      </w:r>
      <w:r>
        <w:rPr>
          <w:color w:val="000000"/>
          <w:sz w:val="28"/>
          <w:szCs w:val="28"/>
        </w:rPr>
        <w:t xml:space="preserve">Reference the </w:t>
      </w:r>
      <w:r>
        <w:rPr>
          <w:i/>
          <w:color w:val="000000"/>
          <w:sz w:val="28"/>
          <w:szCs w:val="28"/>
        </w:rPr>
        <w:t xml:space="preserve">Fraud Risk Assessment Implementation Guide </w:t>
      </w:r>
      <w:proofErr w:type="gramStart"/>
      <w:r>
        <w:rPr>
          <w:color w:val="000000"/>
          <w:sz w:val="28"/>
          <w:szCs w:val="28"/>
        </w:rPr>
        <w:t>to  determine</w:t>
      </w:r>
      <w:proofErr w:type="gramEnd"/>
      <w:r>
        <w:rPr>
          <w:color w:val="000000"/>
          <w:sz w:val="28"/>
          <w:szCs w:val="28"/>
        </w:rPr>
        <w:t xml:space="preserve"> which of the following recommended measures have been  implemented. </w:t>
      </w:r>
    </w:p>
    <w:p w14:paraId="3A1E0345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28" w:lineRule="auto"/>
        <w:ind w:left="1809" w:right="882" w:hanging="359"/>
        <w:rPr>
          <w:color w:val="000000"/>
          <w:sz w:val="28"/>
          <w:szCs w:val="28"/>
        </w:rPr>
      </w:pPr>
      <w:r>
        <w:rPr>
          <w:rFonts w:ascii="Noto Sans Symbols" w:eastAsia="Noto Sans Symbols" w:hAnsi="Noto Sans Symbols" w:cs="Noto Sans Symbols"/>
          <w:color w:val="000000"/>
          <w:sz w:val="19"/>
          <w:szCs w:val="19"/>
        </w:rPr>
        <w:t xml:space="preserve">• </w:t>
      </w:r>
      <w:r>
        <w:rPr>
          <w:color w:val="000000"/>
          <w:sz w:val="28"/>
          <w:szCs w:val="28"/>
        </w:rPr>
        <w:t xml:space="preserve">Indicate successful implementation by marking “Yes” on each of </w:t>
      </w:r>
      <w:proofErr w:type="gramStart"/>
      <w:r>
        <w:rPr>
          <w:color w:val="000000"/>
          <w:sz w:val="28"/>
          <w:szCs w:val="28"/>
        </w:rPr>
        <w:t>the  questions</w:t>
      </w:r>
      <w:proofErr w:type="gramEnd"/>
      <w:r>
        <w:rPr>
          <w:color w:val="000000"/>
          <w:sz w:val="28"/>
          <w:szCs w:val="28"/>
        </w:rPr>
        <w:t xml:space="preserve"> in the table. Partial points may not be earned on any </w:t>
      </w:r>
      <w:proofErr w:type="gramStart"/>
      <w:r>
        <w:rPr>
          <w:color w:val="000000"/>
          <w:sz w:val="28"/>
          <w:szCs w:val="28"/>
        </w:rPr>
        <w:t>individual  question</w:t>
      </w:r>
      <w:proofErr w:type="gramEnd"/>
      <w:r>
        <w:rPr>
          <w:color w:val="000000"/>
          <w:sz w:val="28"/>
          <w:szCs w:val="28"/>
        </w:rPr>
        <w:t xml:space="preserve">. </w:t>
      </w:r>
    </w:p>
    <w:p w14:paraId="2C702E0F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28" w:lineRule="auto"/>
        <w:ind w:left="1811" w:right="1102" w:hanging="361"/>
        <w:rPr>
          <w:color w:val="000000"/>
          <w:sz w:val="28"/>
          <w:szCs w:val="28"/>
        </w:rPr>
      </w:pPr>
      <w:r>
        <w:rPr>
          <w:rFonts w:ascii="Noto Sans Symbols" w:eastAsia="Noto Sans Symbols" w:hAnsi="Noto Sans Symbols" w:cs="Noto Sans Symbols"/>
          <w:color w:val="000000"/>
          <w:sz w:val="19"/>
          <w:szCs w:val="19"/>
        </w:rPr>
        <w:t xml:space="preserve">• </w:t>
      </w:r>
      <w:r>
        <w:rPr>
          <w:color w:val="000000"/>
          <w:sz w:val="28"/>
          <w:szCs w:val="28"/>
        </w:rPr>
        <w:t xml:space="preserve">Total the points of the questions marked “Yes” and enter the total on </w:t>
      </w:r>
      <w:proofErr w:type="gramStart"/>
      <w:r>
        <w:rPr>
          <w:color w:val="000000"/>
          <w:sz w:val="28"/>
          <w:szCs w:val="28"/>
        </w:rPr>
        <w:t>the  “</w:t>
      </w:r>
      <w:proofErr w:type="gramEnd"/>
      <w:r>
        <w:rPr>
          <w:color w:val="000000"/>
          <w:sz w:val="28"/>
          <w:szCs w:val="28"/>
        </w:rPr>
        <w:t xml:space="preserve">Total Points Earned” line. </w:t>
      </w:r>
    </w:p>
    <w:p w14:paraId="66A3AD92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" w:line="230" w:lineRule="auto"/>
        <w:ind w:left="1820" w:right="1318" w:hanging="370"/>
        <w:rPr>
          <w:color w:val="000000"/>
          <w:sz w:val="28"/>
          <w:szCs w:val="28"/>
        </w:rPr>
      </w:pPr>
      <w:r>
        <w:rPr>
          <w:rFonts w:ascii="Noto Sans Symbols" w:eastAsia="Noto Sans Symbols" w:hAnsi="Noto Sans Symbols" w:cs="Noto Sans Symbols"/>
          <w:color w:val="000000"/>
          <w:sz w:val="19"/>
          <w:szCs w:val="19"/>
        </w:rPr>
        <w:t xml:space="preserve">• </w:t>
      </w:r>
      <w:r>
        <w:rPr>
          <w:color w:val="000000"/>
          <w:sz w:val="28"/>
          <w:szCs w:val="28"/>
        </w:rPr>
        <w:t>Based on the points earned, circle/highlight the risk level on the “</w:t>
      </w:r>
      <w:proofErr w:type="gramStart"/>
      <w:r>
        <w:rPr>
          <w:color w:val="000000"/>
          <w:sz w:val="28"/>
          <w:szCs w:val="28"/>
        </w:rPr>
        <w:t>Risk  Level</w:t>
      </w:r>
      <w:proofErr w:type="gramEnd"/>
      <w:r>
        <w:rPr>
          <w:color w:val="000000"/>
          <w:sz w:val="28"/>
          <w:szCs w:val="28"/>
        </w:rPr>
        <w:t xml:space="preserve">” line. </w:t>
      </w:r>
    </w:p>
    <w:p w14:paraId="304695C1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28" w:lineRule="auto"/>
        <w:ind w:left="1800" w:right="1426" w:hanging="350"/>
        <w:rPr>
          <w:color w:val="000000"/>
          <w:sz w:val="28"/>
          <w:szCs w:val="28"/>
        </w:rPr>
      </w:pPr>
      <w:r>
        <w:rPr>
          <w:rFonts w:ascii="Noto Sans Symbols" w:eastAsia="Noto Sans Symbols" w:hAnsi="Noto Sans Symbols" w:cs="Noto Sans Symbols"/>
          <w:color w:val="000000"/>
          <w:sz w:val="19"/>
          <w:szCs w:val="19"/>
        </w:rPr>
        <w:t xml:space="preserve">• </w:t>
      </w:r>
      <w:r>
        <w:rPr>
          <w:color w:val="000000"/>
          <w:sz w:val="28"/>
          <w:szCs w:val="28"/>
        </w:rPr>
        <w:t>Enter on the lines indicated the entity name, fiscal year fo</w:t>
      </w:r>
      <w:r>
        <w:rPr>
          <w:color w:val="000000"/>
          <w:sz w:val="28"/>
          <w:szCs w:val="28"/>
        </w:rPr>
        <w:t xml:space="preserve">r which </w:t>
      </w:r>
      <w:proofErr w:type="gramStart"/>
      <w:r>
        <w:rPr>
          <w:color w:val="000000"/>
          <w:sz w:val="28"/>
          <w:szCs w:val="28"/>
        </w:rPr>
        <w:t>the  Fraud</w:t>
      </w:r>
      <w:proofErr w:type="gramEnd"/>
      <w:r>
        <w:rPr>
          <w:color w:val="000000"/>
          <w:sz w:val="28"/>
          <w:szCs w:val="28"/>
        </w:rPr>
        <w:t xml:space="preserve"> Risk Assessment was completed, and date the Fraud Risk  Assessment was completed. </w:t>
      </w:r>
    </w:p>
    <w:p w14:paraId="1EEBCD2E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28" w:lineRule="auto"/>
        <w:ind w:left="1810" w:right="1242" w:hanging="359"/>
        <w:rPr>
          <w:color w:val="000000"/>
          <w:sz w:val="28"/>
          <w:szCs w:val="28"/>
        </w:rPr>
      </w:pPr>
      <w:r>
        <w:rPr>
          <w:rFonts w:ascii="Noto Sans Symbols" w:eastAsia="Noto Sans Symbols" w:hAnsi="Noto Sans Symbols" w:cs="Noto Sans Symbols"/>
          <w:color w:val="000000"/>
          <w:sz w:val="19"/>
          <w:szCs w:val="19"/>
        </w:rPr>
        <w:t xml:space="preserve">• </w:t>
      </w:r>
      <w:r>
        <w:rPr>
          <w:color w:val="000000"/>
          <w:sz w:val="28"/>
          <w:szCs w:val="28"/>
        </w:rPr>
        <w:t xml:space="preserve">Print CAO and CFO names on the lines indicated, then have the </w:t>
      </w:r>
      <w:proofErr w:type="gramStart"/>
      <w:r>
        <w:rPr>
          <w:color w:val="000000"/>
          <w:sz w:val="28"/>
          <w:szCs w:val="28"/>
        </w:rPr>
        <w:t>CAO  and</w:t>
      </w:r>
      <w:proofErr w:type="gramEnd"/>
      <w:r>
        <w:rPr>
          <w:color w:val="000000"/>
          <w:sz w:val="28"/>
          <w:szCs w:val="28"/>
        </w:rPr>
        <w:t xml:space="preserve"> CFO provide required signatures on the lines indicated.</w:t>
      </w:r>
    </w:p>
    <w:p w14:paraId="572B1CCD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161" w:line="240" w:lineRule="auto"/>
        <w:ind w:right="506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>Utah State Capitol Complex, East Office Building, Suite E310 • Salt Lake City, Utah 84114-2310 • Tel: (801) 538-1025 • auditor.ut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ah.gov </w:t>
      </w:r>
    </w:p>
    <w:p w14:paraId="2BFCBC11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05" w:lineRule="auto"/>
        <w:ind w:left="908" w:right="5464" w:firstLine="539"/>
        <w:rPr>
          <w:rFonts w:ascii="Times New Roman" w:eastAsia="Times New Roman" w:hAnsi="Times New Roman" w:cs="Times New Roman"/>
          <w:color w:val="FFFFFF"/>
          <w:sz w:val="24"/>
          <w:szCs w:val="24"/>
        </w:rPr>
        <w:sectPr w:rsidR="00603761">
          <w:type w:val="continuous"/>
          <w:pgSz w:w="12240" w:h="15840"/>
          <w:pgMar w:top="254" w:right="482" w:bottom="0" w:left="0" w:header="0" w:footer="720" w:gutter="0"/>
          <w:cols w:space="720" w:equalWidth="0">
            <w:col w:w="11757" w:space="0"/>
          </w:cols>
        </w:sectPr>
      </w:pPr>
      <w:r>
        <w:rPr>
          <w:rFonts w:ascii="Times New Roman" w:eastAsia="Times New Roman" w:hAnsi="Times New Roman" w:cs="Times New Roman"/>
          <w:color w:val="00264C"/>
          <w:sz w:val="52"/>
          <w:szCs w:val="52"/>
        </w:rPr>
        <w:lastRenderedPageBreak/>
        <w:t xml:space="preserve">Fraud Risk Assessment </w:t>
      </w:r>
      <w:r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00264C"/>
        </w:rPr>
        <w:t>Continued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</w:t>
      </w:r>
    </w:p>
    <w:p w14:paraId="19C7989E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8"/>
          <w:szCs w:val="28"/>
        </w:rPr>
      </w:pPr>
      <w:r>
        <w:rPr>
          <w:color w:val="000000"/>
        </w:rPr>
        <w:t>*Total Points Earned: _375___/395 *</w:t>
      </w:r>
      <w:r>
        <w:rPr>
          <w:color w:val="000000"/>
          <w:sz w:val="24"/>
          <w:szCs w:val="24"/>
        </w:rPr>
        <w:t>Risk Level</w:t>
      </w:r>
      <w:r>
        <w:rPr>
          <w:color w:val="000000"/>
          <w:sz w:val="28"/>
          <w:szCs w:val="28"/>
        </w:rPr>
        <w:t xml:space="preserve">:  </w:t>
      </w:r>
    </w:p>
    <w:p w14:paraId="1936A0F8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8" w:line="250" w:lineRule="auto"/>
        <w:ind w:left="46" w:right="21"/>
        <w:jc w:val="center"/>
        <w:rPr>
          <w:rFonts w:ascii="Calibri" w:eastAsia="Calibri" w:hAnsi="Calibri" w:cs="Calibri"/>
          <w:color w:val="000000"/>
          <w:sz w:val="18"/>
          <w:szCs w:val="18"/>
        </w:rPr>
        <w:sectPr w:rsidR="00603761">
          <w:type w:val="continuous"/>
          <w:pgSz w:w="12240" w:h="15840"/>
          <w:pgMar w:top="254" w:right="1694" w:bottom="0" w:left="1446" w:header="0" w:footer="720" w:gutter="0"/>
          <w:cols w:num="2" w:space="720" w:equalWidth="0">
            <w:col w:w="4560" w:space="0"/>
            <w:col w:w="4560" w:space="0"/>
          </w:cols>
        </w:sectPr>
      </w:pPr>
      <w:r>
        <w:rPr>
          <w:rFonts w:ascii="Calibri" w:eastAsia="Calibri" w:hAnsi="Calibri" w:cs="Calibri"/>
          <w:color w:val="000000"/>
          <w:sz w:val="18"/>
          <w:szCs w:val="18"/>
          <w:shd w:val="clear" w:color="auto" w:fill="548235"/>
        </w:rPr>
        <w:t xml:space="preserve">Very Low </w:t>
      </w:r>
      <w:proofErr w:type="spellStart"/>
      <w:r>
        <w:rPr>
          <w:rFonts w:ascii="Calibri" w:eastAsia="Calibri" w:hAnsi="Calibri" w:cs="Calibri"/>
          <w:color w:val="000000"/>
          <w:sz w:val="18"/>
          <w:szCs w:val="18"/>
          <w:shd w:val="clear" w:color="auto" w:fill="C6E0B4"/>
        </w:rPr>
        <w:t>Low</w:t>
      </w:r>
      <w:proofErr w:type="spellEnd"/>
      <w:r>
        <w:rPr>
          <w:rFonts w:ascii="Calibri" w:eastAsia="Calibri" w:hAnsi="Calibri" w:cs="Calibri"/>
          <w:color w:val="000000"/>
          <w:sz w:val="18"/>
          <w:szCs w:val="18"/>
          <w:shd w:val="clear" w:color="auto" w:fill="C6E0B4"/>
        </w:rPr>
        <w:t xml:space="preserve"> </w:t>
      </w:r>
      <w:r>
        <w:rPr>
          <w:rFonts w:ascii="Calibri" w:eastAsia="Calibri" w:hAnsi="Calibri" w:cs="Calibri"/>
          <w:color w:val="000000"/>
          <w:sz w:val="18"/>
          <w:szCs w:val="18"/>
          <w:shd w:val="clear" w:color="auto" w:fill="FFC000"/>
        </w:rPr>
        <w:t xml:space="preserve">Moderate </w:t>
      </w:r>
      <w:r>
        <w:rPr>
          <w:rFonts w:ascii="Calibri" w:eastAsia="Calibri" w:hAnsi="Calibri" w:cs="Calibri"/>
          <w:color w:val="000000"/>
          <w:sz w:val="18"/>
          <w:szCs w:val="18"/>
          <w:shd w:val="clear" w:color="auto" w:fill="ED7D31"/>
        </w:rPr>
        <w:t xml:space="preserve">High </w:t>
      </w:r>
      <w:r>
        <w:rPr>
          <w:rFonts w:ascii="Calibri" w:eastAsia="Calibri" w:hAnsi="Calibri" w:cs="Calibri"/>
          <w:color w:val="000000"/>
          <w:sz w:val="18"/>
          <w:szCs w:val="18"/>
          <w:shd w:val="clear" w:color="auto" w:fill="FF3300"/>
        </w:rPr>
        <w:t>Very High</w:t>
      </w:r>
      <w:r>
        <w:rPr>
          <w:rFonts w:ascii="Calibri" w:eastAsia="Calibri" w:hAnsi="Calibri" w:cs="Calibri"/>
          <w:color w:val="000000"/>
          <w:sz w:val="18"/>
          <w:szCs w:val="18"/>
        </w:rPr>
        <w:t xml:space="preserve"> &gt; 355 316-355 276-315 200-275 &lt; 200 </w:t>
      </w:r>
      <w:r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6309C588" wp14:editId="08EBCAD3">
            <wp:simplePos x="0" y="0"/>
            <wp:positionH relativeFrom="column">
              <wp:posOffset>17108</wp:posOffset>
            </wp:positionH>
            <wp:positionV relativeFrom="paragraph">
              <wp:posOffset>-51053</wp:posOffset>
            </wp:positionV>
            <wp:extent cx="429768" cy="356616"/>
            <wp:effectExtent l="0" t="0" r="0" b="0"/>
            <wp:wrapSquare wrapText="bothSides" distT="19050" distB="19050" distL="19050" distR="19050"/>
            <wp:docPr id="11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768" cy="356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0288" behindDoc="0" locked="0" layoutInCell="1" hidden="0" allowOverlap="1" wp14:anchorId="58D0C104" wp14:editId="5B89916A">
            <wp:simplePos x="0" y="0"/>
            <wp:positionH relativeFrom="column">
              <wp:posOffset>2549994</wp:posOffset>
            </wp:positionH>
            <wp:positionV relativeFrom="paragraph">
              <wp:posOffset>95250</wp:posOffset>
            </wp:positionV>
            <wp:extent cx="257556" cy="355092"/>
            <wp:effectExtent l="0" t="0" r="0" b="0"/>
            <wp:wrapSquare wrapText="bothSides" distT="19050" distB="19050" distL="19050" distR="19050"/>
            <wp:docPr id="1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556" cy="3550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1312" behindDoc="0" locked="0" layoutInCell="1" hidden="0" allowOverlap="1" wp14:anchorId="479C7CFA" wp14:editId="59736B1F">
            <wp:simplePos x="0" y="0"/>
            <wp:positionH relativeFrom="column">
              <wp:posOffset>760819</wp:posOffset>
            </wp:positionH>
            <wp:positionV relativeFrom="paragraph">
              <wp:posOffset>-51053</wp:posOffset>
            </wp:positionV>
            <wp:extent cx="190500" cy="356616"/>
            <wp:effectExtent l="0" t="0" r="0" b="0"/>
            <wp:wrapSquare wrapText="bothSides" distT="19050" distB="19050" distL="19050" distR="19050"/>
            <wp:docPr id="10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56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2336" behindDoc="0" locked="0" layoutInCell="1" hidden="0" allowOverlap="1" wp14:anchorId="3BE1581B" wp14:editId="4EFDE776">
            <wp:simplePos x="0" y="0"/>
            <wp:positionH relativeFrom="column">
              <wp:posOffset>1210399</wp:posOffset>
            </wp:positionH>
            <wp:positionV relativeFrom="paragraph">
              <wp:posOffset>-51053</wp:posOffset>
            </wp:positionV>
            <wp:extent cx="464820" cy="356616"/>
            <wp:effectExtent l="0" t="0" r="0" b="0"/>
            <wp:wrapSquare wrapText="bothSides" distT="19050" distB="19050" distL="19050" distR="1905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820" cy="356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3360" behindDoc="0" locked="0" layoutInCell="1" hidden="0" allowOverlap="1" wp14:anchorId="7DA58A08" wp14:editId="52AD51E3">
            <wp:simplePos x="0" y="0"/>
            <wp:positionH relativeFrom="column">
              <wp:posOffset>1963255</wp:posOffset>
            </wp:positionH>
            <wp:positionV relativeFrom="paragraph">
              <wp:posOffset>-51053</wp:posOffset>
            </wp:positionV>
            <wp:extent cx="210312" cy="356616"/>
            <wp:effectExtent l="0" t="0" r="0" b="0"/>
            <wp:wrapSquare wrapText="bothSides" distT="19050" distB="19050" distL="19050" distR="19050"/>
            <wp:docPr id="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356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4384" behindDoc="0" locked="0" layoutInCell="1" hidden="0" allowOverlap="1" wp14:anchorId="5E2B4A67" wp14:editId="3DD2428F">
            <wp:simplePos x="0" y="0"/>
            <wp:positionH relativeFrom="column">
              <wp:posOffset>2429599</wp:posOffset>
            </wp:positionH>
            <wp:positionV relativeFrom="paragraph">
              <wp:posOffset>-51053</wp:posOffset>
            </wp:positionV>
            <wp:extent cx="451104" cy="356616"/>
            <wp:effectExtent l="0" t="0" r="0" b="0"/>
            <wp:wrapSquare wrapText="bothSides" distT="19050" distB="19050" distL="19050" distR="19050"/>
            <wp:docPr id="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104" cy="356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5408" behindDoc="0" locked="0" layoutInCell="1" hidden="0" allowOverlap="1" wp14:anchorId="46504C6E" wp14:editId="1190E1B2">
            <wp:simplePos x="0" y="0"/>
            <wp:positionH relativeFrom="column">
              <wp:posOffset>129882</wp:posOffset>
            </wp:positionH>
            <wp:positionV relativeFrom="paragraph">
              <wp:posOffset>93726</wp:posOffset>
            </wp:positionV>
            <wp:extent cx="256032" cy="356616"/>
            <wp:effectExtent l="0" t="0" r="0" b="0"/>
            <wp:wrapSquare wrapText="bothSides" distT="19050" distB="19050" distL="19050" distR="19050"/>
            <wp:docPr id="7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032" cy="356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6432" behindDoc="0" locked="0" layoutInCell="1" hidden="0" allowOverlap="1" wp14:anchorId="7E2F12F2" wp14:editId="6EF6D156">
            <wp:simplePos x="0" y="0"/>
            <wp:positionH relativeFrom="column">
              <wp:posOffset>664807</wp:posOffset>
            </wp:positionH>
            <wp:positionV relativeFrom="paragraph">
              <wp:posOffset>93726</wp:posOffset>
            </wp:positionV>
            <wp:extent cx="384048" cy="356616"/>
            <wp:effectExtent l="0" t="0" r="0" b="0"/>
            <wp:wrapSquare wrapText="bothSides" distT="19050" distB="19050" distL="19050" distR="19050"/>
            <wp:docPr id="3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048" cy="356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7456" behindDoc="0" locked="0" layoutInCell="1" hidden="0" allowOverlap="1" wp14:anchorId="0DC9C12A" wp14:editId="1004118C">
            <wp:simplePos x="0" y="0"/>
            <wp:positionH relativeFrom="column">
              <wp:posOffset>1271359</wp:posOffset>
            </wp:positionH>
            <wp:positionV relativeFrom="paragraph">
              <wp:posOffset>93726</wp:posOffset>
            </wp:positionV>
            <wp:extent cx="382524" cy="356616"/>
            <wp:effectExtent l="0" t="0" r="0" b="0"/>
            <wp:wrapSquare wrapText="bothSides" distT="19050" distB="19050" distL="19050" distR="19050"/>
            <wp:docPr id="2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524" cy="356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19050" distB="19050" distL="19050" distR="19050" simplePos="0" relativeHeight="251668480" behindDoc="0" locked="0" layoutInCell="1" hidden="0" allowOverlap="1" wp14:anchorId="0721DE90" wp14:editId="3963DE5B">
            <wp:simplePos x="0" y="0"/>
            <wp:positionH relativeFrom="column">
              <wp:posOffset>1876387</wp:posOffset>
            </wp:positionH>
            <wp:positionV relativeFrom="paragraph">
              <wp:posOffset>93726</wp:posOffset>
            </wp:positionV>
            <wp:extent cx="382524" cy="356616"/>
            <wp:effectExtent l="0" t="0" r="0" b="0"/>
            <wp:wrapSquare wrapText="bothSides" distT="19050" distB="19050" distL="19050" distR="19050"/>
            <wp:docPr id="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2524" cy="356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FCA0D14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8"/>
          <w:szCs w:val="18"/>
        </w:rPr>
      </w:pPr>
    </w:p>
    <w:tbl>
      <w:tblPr>
        <w:tblStyle w:val="a"/>
        <w:tblW w:w="9340" w:type="dxa"/>
        <w:tblInd w:w="15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82"/>
        <w:gridCol w:w="585"/>
        <w:gridCol w:w="573"/>
      </w:tblGrid>
      <w:tr w:rsidR="00603761" w14:paraId="20903647" w14:textId="77777777">
        <w:trPr>
          <w:trHeight w:val="324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4A0F0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F0DDF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  <w:shd w:val="clear" w:color="auto" w:fill="BFBFBF"/>
              </w:rPr>
            </w:pPr>
            <w:r>
              <w:rPr>
                <w:color w:val="000000"/>
                <w:sz w:val="19"/>
                <w:szCs w:val="19"/>
                <w:shd w:val="clear" w:color="auto" w:fill="BFBFBF"/>
              </w:rPr>
              <w:t xml:space="preserve">Yes 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4196E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  <w:shd w:val="clear" w:color="auto" w:fill="BFBFBF"/>
              </w:rPr>
            </w:pPr>
            <w:r>
              <w:rPr>
                <w:color w:val="000000"/>
                <w:sz w:val="19"/>
                <w:szCs w:val="19"/>
                <w:shd w:val="clear" w:color="auto" w:fill="BFBFBF"/>
              </w:rPr>
              <w:t>Pts</w:t>
            </w:r>
          </w:p>
        </w:tc>
      </w:tr>
      <w:tr w:rsidR="00603761" w14:paraId="22E63D66" w14:textId="77777777">
        <w:trPr>
          <w:trHeight w:val="528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F06CD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366" w:right="568" w:hanging="21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1. Does the entity have adequate basic separation of duties or mitigating controls </w:t>
            </w:r>
            <w:proofErr w:type="gramStart"/>
            <w:r>
              <w:rPr>
                <w:color w:val="000000"/>
                <w:sz w:val="19"/>
                <w:szCs w:val="19"/>
              </w:rPr>
              <w:t>as  outlined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in the attached Basic Separation of Duties Questionnaire?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4CB7A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7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EDB76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200</w:t>
            </w:r>
          </w:p>
        </w:tc>
      </w:tr>
      <w:tr w:rsidR="00603761" w14:paraId="00DEA714" w14:textId="77777777">
        <w:trPr>
          <w:trHeight w:val="34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E2B5F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 Does the entity have governing body adopted written policies in the following areas: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62D9FF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1B020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</w:tr>
      <w:tr w:rsidR="00603761" w14:paraId="068E649F" w14:textId="77777777">
        <w:trPr>
          <w:trHeight w:val="338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C54F9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a. Conflict of interest?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4C2D3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5"/>
              <w:rPr>
                <w:color w:val="A33086"/>
                <w:sz w:val="20"/>
                <w:szCs w:val="20"/>
              </w:rPr>
            </w:pPr>
            <w:r>
              <w:rPr>
                <w:color w:val="A33086"/>
                <w:sz w:val="20"/>
                <w:szCs w:val="20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31375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603761" w14:paraId="40FF220F" w14:textId="77777777">
        <w:trPr>
          <w:trHeight w:val="34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6D7A5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1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b. Procurement?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B8B0A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5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1DE04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603761" w14:paraId="3227902D" w14:textId="77777777">
        <w:trPr>
          <w:trHeight w:val="34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A74CA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8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c. Ethical behavior?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EF2CF7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5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CF9CA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603761" w14:paraId="14F9D24F" w14:textId="77777777">
        <w:trPr>
          <w:trHeight w:val="338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2E75D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d. Reporting fraud and abuse?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2AC88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5"/>
              <w:rPr>
                <w:color w:val="A33086"/>
                <w:sz w:val="20"/>
                <w:szCs w:val="20"/>
              </w:rPr>
            </w:pPr>
            <w:r>
              <w:rPr>
                <w:color w:val="A33086"/>
                <w:sz w:val="20"/>
                <w:szCs w:val="20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1BDC3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603761" w14:paraId="29379B31" w14:textId="77777777">
        <w:trPr>
          <w:trHeight w:val="34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5ECD3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8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e. Travel?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B4979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5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E733D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603761" w14:paraId="6489B3F2" w14:textId="77777777">
        <w:trPr>
          <w:trHeight w:val="34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96AD6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f. Credit/Purchasing cards (where applicable)?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46AE1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5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54374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603761" w14:paraId="581A74F9" w14:textId="77777777">
        <w:trPr>
          <w:trHeight w:val="338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3FF5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0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g. Personal use of entity assets?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742D6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5"/>
              <w:rPr>
                <w:color w:val="A33086"/>
                <w:sz w:val="20"/>
                <w:szCs w:val="20"/>
              </w:rPr>
            </w:pPr>
            <w:r>
              <w:rPr>
                <w:color w:val="A33086"/>
                <w:sz w:val="20"/>
                <w:szCs w:val="20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C0BB8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603761" w14:paraId="1A81F354" w14:textId="77777777">
        <w:trPr>
          <w:trHeight w:val="34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65A37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1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h. IT and computer security?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F96B8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5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5E729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603761" w14:paraId="0F5A746B" w14:textId="77777777">
        <w:trPr>
          <w:trHeight w:val="34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0926B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413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i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. Cash receipting and deposits?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DCF7D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5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DC639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</w:t>
            </w:r>
          </w:p>
        </w:tc>
      </w:tr>
      <w:tr w:rsidR="00603761" w14:paraId="6F1099FB" w14:textId="77777777">
        <w:trPr>
          <w:trHeight w:val="518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0DC27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139" w:right="529" w:hanging="1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3. Does the entity have a licensed or certified (CPA, CGFM, CMA, CIA, CFE, </w:t>
            </w:r>
            <w:proofErr w:type="gramStart"/>
            <w:r>
              <w:rPr>
                <w:color w:val="000000"/>
                <w:sz w:val="19"/>
                <w:szCs w:val="19"/>
              </w:rPr>
              <w:t>CGAP,  CPFO</w:t>
            </w:r>
            <w:proofErr w:type="gramEnd"/>
            <w:r>
              <w:rPr>
                <w:color w:val="000000"/>
                <w:sz w:val="19"/>
                <w:szCs w:val="19"/>
              </w:rPr>
              <w:t>) expert as part of its management team?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A8F40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7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63DE1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</w:tr>
      <w:tr w:rsidR="00603761" w14:paraId="2F8981C7" w14:textId="77777777">
        <w:trPr>
          <w:trHeight w:val="52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29B1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659" w:right="494" w:hanging="25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a. Do any members of the management team have at least a bachelor's degree </w:t>
            </w:r>
            <w:proofErr w:type="gramStart"/>
            <w:r>
              <w:rPr>
                <w:color w:val="000000"/>
                <w:sz w:val="19"/>
                <w:szCs w:val="19"/>
              </w:rPr>
              <w:t>in  accounting</w:t>
            </w:r>
            <w:proofErr w:type="gramEnd"/>
            <w:r>
              <w:rPr>
                <w:color w:val="000000"/>
                <w:sz w:val="19"/>
                <w:szCs w:val="19"/>
              </w:rPr>
              <w:t>?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C60B7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7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7183C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10</w:t>
            </w:r>
          </w:p>
        </w:tc>
      </w:tr>
      <w:tr w:rsidR="00603761" w14:paraId="0C118483" w14:textId="77777777">
        <w:trPr>
          <w:trHeight w:val="52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469D0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450" w:right="73" w:hanging="3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4. Are employees and elected officials required to annually commit in writing to abide by </w:t>
            </w:r>
            <w:proofErr w:type="gramStart"/>
            <w:r>
              <w:rPr>
                <w:color w:val="000000"/>
                <w:sz w:val="19"/>
                <w:szCs w:val="19"/>
              </w:rPr>
              <w:t>a  statement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of ethical behavior?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C2514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7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76C45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</w:tr>
      <w:tr w:rsidR="00603761" w14:paraId="76489156" w14:textId="77777777">
        <w:trPr>
          <w:trHeight w:val="979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54938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1" w:lineRule="auto"/>
              <w:ind w:left="355" w:right="224" w:hanging="21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5. Have all governing body members completed entity specific (District Board </w:t>
            </w:r>
            <w:proofErr w:type="gramStart"/>
            <w:r>
              <w:rPr>
                <w:color w:val="000000"/>
                <w:sz w:val="19"/>
                <w:szCs w:val="19"/>
              </w:rPr>
              <w:t>Member  Training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for local/special service districts &amp; interlocal entities, Introductory Training for  Municipal Officials for cities &amp; towns, etc.) online training (</w:t>
            </w:r>
            <w:r>
              <w:rPr>
                <w:color w:val="005DBA"/>
                <w:sz w:val="19"/>
                <w:szCs w:val="19"/>
                <w:u w:val="single"/>
              </w:rPr>
              <w:t>training.audi</w:t>
            </w:r>
            <w:r>
              <w:rPr>
                <w:color w:val="005DBA"/>
                <w:sz w:val="19"/>
                <w:szCs w:val="19"/>
                <w:u w:val="single"/>
              </w:rPr>
              <w:t>tor.utah.gov</w:t>
            </w:r>
            <w:r>
              <w:rPr>
                <w:color w:val="000000"/>
                <w:sz w:val="19"/>
                <w:szCs w:val="19"/>
              </w:rPr>
              <w:t xml:space="preserve">)  within four years of term appointment/election date?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6A297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B84C00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</w:tr>
      <w:tr w:rsidR="00603761" w14:paraId="16212E8A" w14:textId="77777777">
        <w:trPr>
          <w:trHeight w:val="748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C7B50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368" w:right="355" w:hanging="23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6. Regardless of license or formal education, does at least one member of </w:t>
            </w:r>
            <w:proofErr w:type="gramStart"/>
            <w:r>
              <w:rPr>
                <w:color w:val="000000"/>
                <w:sz w:val="19"/>
                <w:szCs w:val="19"/>
              </w:rPr>
              <w:t>the  management</w:t>
            </w:r>
            <w:proofErr w:type="gramEnd"/>
            <w:r>
              <w:rPr>
                <w:color w:val="000000"/>
                <w:sz w:val="19"/>
                <w:szCs w:val="19"/>
              </w:rPr>
              <w:t xml:space="preserve"> team receive at least 40 hours of formal training related to accounting,  budgeting, or other financial areas each year?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39BA1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9"/>
                <w:szCs w:val="19"/>
              </w:rPr>
            </w:pPr>
            <w:r>
              <w:rPr>
                <w:sz w:val="19"/>
                <w:szCs w:val="19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65B16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</w:tr>
      <w:tr w:rsidR="00603761" w14:paraId="5E0B7898" w14:textId="77777777">
        <w:trPr>
          <w:trHeight w:val="360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32BEB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7. Does the entity have or promote a fraud hotline?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88A4C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7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9E5ABB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</w:tr>
      <w:tr w:rsidR="00603761" w14:paraId="08152F3D" w14:textId="77777777">
        <w:trPr>
          <w:trHeight w:val="355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E560D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8. Does the entity have a formal internal audit function?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83413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7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28069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</w:tr>
      <w:tr w:rsidR="00603761" w14:paraId="4C9F28C9" w14:textId="77777777">
        <w:trPr>
          <w:trHeight w:val="388"/>
        </w:trPr>
        <w:tc>
          <w:tcPr>
            <w:tcW w:w="81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1EAA3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lastRenderedPageBreak/>
              <w:t xml:space="preserve">9. Does the entity have a formal audit committee? </w:t>
            </w:r>
          </w:p>
        </w:tc>
        <w:tc>
          <w:tcPr>
            <w:tcW w:w="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340E3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7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57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D1DDB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20</w:t>
            </w:r>
          </w:p>
        </w:tc>
      </w:tr>
    </w:tbl>
    <w:p w14:paraId="10EC72C6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9FBE1E8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F16622A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895"/>
        <w:rPr>
          <w:color w:val="A33086"/>
          <w:sz w:val="20"/>
          <w:szCs w:val="20"/>
        </w:rPr>
      </w:pPr>
      <w:r>
        <w:rPr>
          <w:color w:val="A33086"/>
          <w:sz w:val="20"/>
          <w:szCs w:val="20"/>
        </w:rPr>
        <w:t xml:space="preserve">CENTRAL WASATCH COMMISSION  </w:t>
      </w:r>
    </w:p>
    <w:p w14:paraId="08C0B9C8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900"/>
        <w:jc w:val="right"/>
        <w:rPr>
          <w:color w:val="00264C"/>
        </w:rPr>
      </w:pPr>
      <w:r>
        <w:rPr>
          <w:color w:val="00264C"/>
        </w:rPr>
        <w:t xml:space="preserve">*Entity Name: _________________________________________________________________  </w:t>
      </w:r>
    </w:p>
    <w:p w14:paraId="64A3DCEF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62" w:line="240" w:lineRule="auto"/>
        <w:ind w:left="4991"/>
        <w:rPr>
          <w:color w:val="A33086"/>
          <w:sz w:val="20"/>
          <w:szCs w:val="20"/>
        </w:rPr>
      </w:pPr>
      <w:r>
        <w:rPr>
          <w:color w:val="A33086"/>
          <w:sz w:val="20"/>
          <w:szCs w:val="20"/>
        </w:rPr>
        <w:t>6/30/2022</w:t>
      </w:r>
    </w:p>
    <w:p w14:paraId="7D5FAE43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color w:val="00264C"/>
        </w:rPr>
      </w:pPr>
      <w:r>
        <w:rPr>
          <w:color w:val="00264C"/>
        </w:rPr>
        <w:t>*Completed for Fiscal Year Ending: ___________</w:t>
      </w:r>
    </w:p>
    <w:p w14:paraId="5AAD40B1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color w:val="00264C"/>
        </w:rPr>
      </w:pPr>
    </w:p>
    <w:p w14:paraId="4397A5FC" w14:textId="7334D1BC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color w:val="00264C"/>
        </w:rPr>
      </w:pPr>
      <w:r>
        <w:rPr>
          <w:color w:val="00264C"/>
        </w:rPr>
        <w:t>Signature: ____</w:t>
      </w:r>
      <w:r>
        <w:rPr>
          <w:noProof/>
          <w:color w:val="00264C"/>
        </w:rPr>
        <w:drawing>
          <wp:inline distT="0" distB="0" distL="0" distR="0" wp14:anchorId="2881C535" wp14:editId="685B47D6">
            <wp:extent cx="1447800" cy="508000"/>
            <wp:effectExtent l="0" t="0" r="0" b="635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264C"/>
        </w:rPr>
        <w:t>_</w:t>
      </w:r>
      <w:r>
        <w:rPr>
          <w:color w:val="00264C"/>
        </w:rPr>
        <w:t xml:space="preserve">______Ralph Becker; </w:t>
      </w:r>
      <w:r>
        <w:rPr>
          <w:color w:val="00264C"/>
        </w:rPr>
        <w:t xml:space="preserve">Executive Director </w:t>
      </w:r>
    </w:p>
    <w:p w14:paraId="2BC78CAA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color w:val="00264C"/>
        </w:rPr>
      </w:pPr>
    </w:p>
    <w:p w14:paraId="216C209D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sz w:val="16"/>
          <w:szCs w:val="16"/>
        </w:rPr>
      </w:pPr>
      <w:r>
        <w:rPr>
          <w:color w:val="00264C"/>
        </w:rPr>
        <w:t xml:space="preserve"> *CFO Signature: _____________________________________</w:t>
      </w:r>
      <w:proofErr w:type="gramStart"/>
      <w:r>
        <w:rPr>
          <w:color w:val="00264C"/>
        </w:rPr>
        <w:t xml:space="preserve">_  </w:t>
      </w:r>
      <w:r>
        <w:rPr>
          <w:color w:val="000000"/>
          <w:sz w:val="16"/>
          <w:szCs w:val="16"/>
        </w:rPr>
        <w:t>*</w:t>
      </w:r>
      <w:proofErr w:type="gramEnd"/>
      <w:r>
        <w:rPr>
          <w:color w:val="000000"/>
          <w:sz w:val="16"/>
          <w:szCs w:val="16"/>
        </w:rPr>
        <w:t xml:space="preserve">Required </w:t>
      </w:r>
      <w:r>
        <w:rPr>
          <w:sz w:val="16"/>
          <w:szCs w:val="16"/>
        </w:rPr>
        <w:t xml:space="preserve">Dave Sanderson CFO </w:t>
      </w:r>
    </w:p>
    <w:p w14:paraId="4C2BEC1E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sz w:val="16"/>
          <w:szCs w:val="16"/>
        </w:rPr>
      </w:pPr>
    </w:p>
    <w:p w14:paraId="4C0E26DF" w14:textId="458D3746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sz w:val="16"/>
          <w:szCs w:val="16"/>
        </w:rPr>
      </w:pPr>
      <w:r>
        <w:rPr>
          <w:sz w:val="16"/>
          <w:szCs w:val="16"/>
        </w:rPr>
        <w:t>Deputy Director/Budget Officer: ___</w:t>
      </w:r>
      <w:r>
        <w:rPr>
          <w:noProof/>
          <w:color w:val="00264C"/>
        </w:rPr>
        <w:drawing>
          <wp:inline distT="0" distB="0" distL="0" distR="0" wp14:anchorId="188CD171" wp14:editId="289AD756">
            <wp:extent cx="1098550" cy="433509"/>
            <wp:effectExtent l="0" t="0" r="6350" b="5080"/>
            <wp:docPr id="13" name="Picture 1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Text, let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275" cy="43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>_______B</w:t>
      </w:r>
      <w:r>
        <w:rPr>
          <w:sz w:val="16"/>
          <w:szCs w:val="16"/>
        </w:rPr>
        <w:t xml:space="preserve">lake Perez </w:t>
      </w:r>
    </w:p>
    <w:p w14:paraId="55F60909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sz w:val="16"/>
          <w:szCs w:val="16"/>
        </w:rPr>
      </w:pPr>
    </w:p>
    <w:p w14:paraId="5AC577CF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sz w:val="16"/>
          <w:szCs w:val="16"/>
        </w:rPr>
      </w:pPr>
    </w:p>
    <w:p w14:paraId="64921C5C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sz w:val="16"/>
          <w:szCs w:val="16"/>
        </w:rPr>
      </w:pPr>
    </w:p>
    <w:p w14:paraId="5456DF4B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sz w:val="16"/>
          <w:szCs w:val="16"/>
        </w:rPr>
      </w:pPr>
    </w:p>
    <w:p w14:paraId="23C13357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30" w:lineRule="auto"/>
        <w:ind w:left="808" w:right="896" w:firstLine="638"/>
        <w:rPr>
          <w:sz w:val="16"/>
          <w:szCs w:val="16"/>
        </w:rPr>
      </w:pPr>
    </w:p>
    <w:p w14:paraId="45DB4415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" w:line="240" w:lineRule="auto"/>
        <w:ind w:right="506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Utah State Capitol Complex, East Office Building, Suite E310 • Salt Lake City, Utah 84114-2310 • Tel: (801) 538-1025 • auditor.utah.gov </w:t>
      </w:r>
    </w:p>
    <w:p w14:paraId="07CFAB4E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8"/>
        <w:rPr>
          <w:rFonts w:ascii="Times New Roman" w:eastAsia="Times New Roman" w:hAnsi="Times New Roman" w:cs="Times New Roman"/>
          <w:color w:val="00264C"/>
          <w:sz w:val="52"/>
          <w:szCs w:val="52"/>
        </w:rPr>
      </w:pPr>
      <w:r>
        <w:rPr>
          <w:rFonts w:ascii="Times New Roman" w:eastAsia="Times New Roman" w:hAnsi="Times New Roman" w:cs="Times New Roman"/>
          <w:color w:val="00264C"/>
          <w:sz w:val="52"/>
          <w:szCs w:val="52"/>
        </w:rPr>
        <w:t xml:space="preserve">Basic Separation of Duties </w:t>
      </w:r>
    </w:p>
    <w:p w14:paraId="44EB825D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See the following page for instructions and definitions. </w:t>
      </w:r>
    </w:p>
    <w:tbl>
      <w:tblPr>
        <w:tblStyle w:val="a0"/>
        <w:tblW w:w="10706" w:type="dxa"/>
        <w:tblInd w:w="8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154"/>
        <w:gridCol w:w="621"/>
        <w:gridCol w:w="621"/>
        <w:gridCol w:w="667"/>
        <w:gridCol w:w="643"/>
      </w:tblGrid>
      <w:tr w:rsidR="00603761" w14:paraId="14AF4DA2" w14:textId="77777777">
        <w:trPr>
          <w:trHeight w:val="412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4F803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B56D7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Yes 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F6873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No </w:t>
            </w: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6BE4C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MC* </w:t>
            </w: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F3E21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N/A</w:t>
            </w:r>
          </w:p>
        </w:tc>
      </w:tr>
      <w:tr w:rsidR="00603761" w14:paraId="2A083D4D" w14:textId="77777777">
        <w:trPr>
          <w:trHeight w:val="764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20AEF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38" w:right="897" w:hanging="239"/>
              <w:rPr>
                <w:color w:val="000000"/>
              </w:rPr>
            </w:pPr>
            <w:r>
              <w:rPr>
                <w:color w:val="000000"/>
              </w:rPr>
              <w:t xml:space="preserve">1. Does the entity have a board chair, clerk, and treasurer who are </w:t>
            </w:r>
            <w:proofErr w:type="gramStart"/>
            <w:r>
              <w:rPr>
                <w:color w:val="000000"/>
              </w:rPr>
              <w:t>three  separate</w:t>
            </w:r>
            <w:proofErr w:type="gramEnd"/>
            <w:r>
              <w:rPr>
                <w:color w:val="000000"/>
              </w:rPr>
              <w:t xml:space="preserve"> people? 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A2674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5"/>
              <w:jc w:val="right"/>
              <w:rPr>
                <w:rFonts w:ascii="Courier" w:eastAsia="Courier" w:hAnsi="Courier" w:cs="Courier"/>
                <w:color w:val="A32F86"/>
                <w:sz w:val="28"/>
                <w:szCs w:val="28"/>
              </w:rPr>
            </w:pPr>
            <w:r>
              <w:rPr>
                <w:rFonts w:ascii="Courier" w:eastAsia="Courier" w:hAnsi="Courier" w:cs="Courier"/>
                <w:color w:val="A32F86"/>
                <w:sz w:val="28"/>
                <w:szCs w:val="28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1E962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2F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34C1D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2F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BC382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2F86"/>
                <w:sz w:val="28"/>
                <w:szCs w:val="28"/>
              </w:rPr>
            </w:pPr>
          </w:p>
        </w:tc>
      </w:tr>
      <w:tr w:rsidR="00603761" w14:paraId="6FE6C96E" w14:textId="77777777">
        <w:trPr>
          <w:trHeight w:val="722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47C1B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433" w:right="332" w:hanging="252"/>
              <w:rPr>
                <w:color w:val="000000"/>
              </w:rPr>
            </w:pPr>
            <w:r>
              <w:rPr>
                <w:color w:val="000000"/>
              </w:rPr>
              <w:t xml:space="preserve">2. Are all the people who are able to receive cash or check payments </w:t>
            </w:r>
            <w:proofErr w:type="gramStart"/>
            <w:r>
              <w:rPr>
                <w:color w:val="000000"/>
              </w:rPr>
              <w:t>different  from</w:t>
            </w:r>
            <w:proofErr w:type="gramEnd"/>
            <w:r>
              <w:rPr>
                <w:color w:val="000000"/>
              </w:rPr>
              <w:t xml:space="preserve"> all of the people who are able to make general ledger entries?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B9D613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A33086"/>
                <w:sz w:val="28"/>
                <w:szCs w:val="28"/>
              </w:rPr>
            </w:pPr>
            <w:r>
              <w:rPr>
                <w:color w:val="A33086"/>
                <w:sz w:val="28"/>
                <w:szCs w:val="28"/>
              </w:rPr>
              <w:t xml:space="preserve">X 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66E92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C9E72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7593A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  <w:sz w:val="28"/>
                <w:szCs w:val="28"/>
              </w:rPr>
            </w:pPr>
          </w:p>
        </w:tc>
      </w:tr>
      <w:tr w:rsidR="00603761" w14:paraId="0049C4CA" w14:textId="77777777">
        <w:trPr>
          <w:trHeight w:val="1008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A661E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33" w:right="150" w:hanging="249"/>
              <w:rPr>
                <w:color w:val="000000"/>
              </w:rPr>
            </w:pPr>
            <w:r>
              <w:rPr>
                <w:color w:val="000000"/>
              </w:rPr>
              <w:t xml:space="preserve">3. Are all the people who are able to collect cash or check payments </w:t>
            </w:r>
            <w:proofErr w:type="gramStart"/>
            <w:r>
              <w:rPr>
                <w:color w:val="000000"/>
              </w:rPr>
              <w:t>different  from</w:t>
            </w:r>
            <w:proofErr w:type="gramEnd"/>
            <w:r>
              <w:rPr>
                <w:color w:val="000000"/>
              </w:rPr>
              <w:t xml:space="preserve"> all the people who are able to adjust customer accounts? If no </w:t>
            </w:r>
            <w:proofErr w:type="gramStart"/>
            <w:r>
              <w:rPr>
                <w:color w:val="000000"/>
              </w:rPr>
              <w:t>customer  accounts</w:t>
            </w:r>
            <w:proofErr w:type="gramEnd"/>
            <w:r>
              <w:rPr>
                <w:color w:val="000000"/>
              </w:rPr>
              <w:t>, check “N/A”.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C48C5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58"/>
              <w:rPr>
                <w:color w:val="A33086"/>
                <w:sz w:val="28"/>
                <w:szCs w:val="28"/>
              </w:rPr>
            </w:pPr>
            <w:r>
              <w:rPr>
                <w:color w:val="A33086"/>
                <w:sz w:val="28"/>
                <w:szCs w:val="28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06611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84C01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89431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  <w:sz w:val="28"/>
                <w:szCs w:val="28"/>
              </w:rPr>
            </w:pPr>
          </w:p>
        </w:tc>
      </w:tr>
      <w:tr w:rsidR="00603761" w14:paraId="1938077D" w14:textId="77777777">
        <w:trPr>
          <w:trHeight w:val="695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F3A92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439" w:right="212" w:hanging="261"/>
              <w:rPr>
                <w:color w:val="000000"/>
              </w:rPr>
            </w:pPr>
            <w:r>
              <w:rPr>
                <w:color w:val="000000"/>
              </w:rPr>
              <w:t xml:space="preserve">4. Are all the people who have access to blank checks different from those </w:t>
            </w:r>
            <w:proofErr w:type="gramStart"/>
            <w:r>
              <w:rPr>
                <w:color w:val="000000"/>
              </w:rPr>
              <w:t>who  are</w:t>
            </w:r>
            <w:proofErr w:type="gramEnd"/>
            <w:r>
              <w:rPr>
                <w:color w:val="000000"/>
              </w:rPr>
              <w:t xml:space="preserve"> authorized signers? 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6CDEE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  <w:r>
              <w:rPr>
                <w:rFonts w:ascii="Courier" w:eastAsia="Courier" w:hAnsi="Courier" w:cs="Courier"/>
                <w:color w:val="A33086"/>
                <w:sz w:val="28"/>
                <w:szCs w:val="28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6F1FC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E382D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DD1D7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</w:tr>
      <w:tr w:rsidR="00603761" w14:paraId="3C671F7D" w14:textId="77777777">
        <w:trPr>
          <w:trHeight w:val="986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40CD8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439" w:right="162" w:hanging="25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Does someone other than the clerk and treasurer reconcile all bank </w:t>
            </w:r>
            <w:proofErr w:type="gramStart"/>
            <w:r>
              <w:rPr>
                <w:color w:val="000000"/>
              </w:rPr>
              <w:t>accounts  OR</w:t>
            </w:r>
            <w:proofErr w:type="gramEnd"/>
            <w:r>
              <w:rPr>
                <w:color w:val="000000"/>
              </w:rPr>
              <w:t xml:space="preserve"> are original bank statements reviewed by a person other than the clerk to  detect unauthorized disbursements? 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D8A6C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68"/>
              <w:jc w:val="right"/>
              <w:rPr>
                <w:color w:val="A33086"/>
                <w:sz w:val="28"/>
                <w:szCs w:val="28"/>
              </w:rPr>
            </w:pPr>
            <w:r>
              <w:rPr>
                <w:color w:val="A33086"/>
                <w:sz w:val="28"/>
                <w:szCs w:val="28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3FD72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EB856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727E61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  <w:sz w:val="28"/>
                <w:szCs w:val="28"/>
              </w:rPr>
            </w:pPr>
          </w:p>
        </w:tc>
      </w:tr>
      <w:tr w:rsidR="00603761" w14:paraId="204A376E" w14:textId="77777777">
        <w:trPr>
          <w:trHeight w:val="949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FC67D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42" w:right="651" w:hanging="258"/>
              <w:rPr>
                <w:color w:val="000000"/>
              </w:rPr>
            </w:pPr>
            <w:r>
              <w:rPr>
                <w:color w:val="000000"/>
              </w:rPr>
              <w:t xml:space="preserve">6. Does someone other than the clerk review periodic reports of all </w:t>
            </w:r>
            <w:proofErr w:type="gramStart"/>
            <w:r>
              <w:rPr>
                <w:color w:val="000000"/>
              </w:rPr>
              <w:t>general  ledger</w:t>
            </w:r>
            <w:proofErr w:type="gramEnd"/>
            <w:r>
              <w:rPr>
                <w:color w:val="000000"/>
              </w:rPr>
              <w:t xml:space="preserve"> accounts to identify unauthorized payments recorded in those  accounts?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E9F92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82"/>
              <w:jc w:val="right"/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  <w:r>
              <w:rPr>
                <w:rFonts w:ascii="Courier" w:eastAsia="Courier" w:hAnsi="Courier" w:cs="Courier"/>
                <w:color w:val="A33086"/>
                <w:sz w:val="28"/>
                <w:szCs w:val="28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C8F09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834CC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E387F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</w:tr>
      <w:tr w:rsidR="00603761" w14:paraId="7CDB2030" w14:textId="77777777">
        <w:trPr>
          <w:trHeight w:val="982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D41E3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40" w:right="90" w:hanging="255"/>
              <w:rPr>
                <w:color w:val="000000"/>
              </w:rPr>
            </w:pPr>
            <w:r>
              <w:rPr>
                <w:color w:val="000000"/>
              </w:rPr>
              <w:t xml:space="preserve">7. Are original credit/purchase card statements received directly from the </w:t>
            </w:r>
            <w:proofErr w:type="gramStart"/>
            <w:r>
              <w:rPr>
                <w:color w:val="000000"/>
              </w:rPr>
              <w:t>card  company</w:t>
            </w:r>
            <w:proofErr w:type="gramEnd"/>
            <w:r>
              <w:rPr>
                <w:color w:val="000000"/>
              </w:rPr>
              <w:t xml:space="preserve"> by someone other than the card holder? If no credit/purchase </w:t>
            </w:r>
            <w:proofErr w:type="gramStart"/>
            <w:r>
              <w:rPr>
                <w:color w:val="000000"/>
              </w:rPr>
              <w:t>cards,  check</w:t>
            </w:r>
            <w:proofErr w:type="gramEnd"/>
            <w:r>
              <w:rPr>
                <w:color w:val="000000"/>
              </w:rPr>
              <w:t xml:space="preserve"> “N/A”.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593E1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  <w:r>
              <w:rPr>
                <w:rFonts w:ascii="Courier" w:eastAsia="Courier" w:hAnsi="Courier" w:cs="Courier"/>
                <w:color w:val="A33086"/>
                <w:sz w:val="28"/>
                <w:szCs w:val="28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70698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49F68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41660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</w:tr>
      <w:tr w:rsidR="00603761" w14:paraId="22A3CD76" w14:textId="77777777">
        <w:trPr>
          <w:trHeight w:val="964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EBDEE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446" w:right="112" w:hanging="262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8. Does someone other than the credit/purchase card holder ensure that all </w:t>
            </w:r>
            <w:proofErr w:type="gramStart"/>
            <w:r>
              <w:rPr>
                <w:color w:val="000000"/>
              </w:rPr>
              <w:t>card  purchases</w:t>
            </w:r>
            <w:proofErr w:type="gramEnd"/>
            <w:r>
              <w:rPr>
                <w:color w:val="000000"/>
              </w:rPr>
              <w:t xml:space="preserve"> are supported with receipts or other supporting documentation? </w:t>
            </w:r>
            <w:proofErr w:type="gramStart"/>
            <w:r>
              <w:rPr>
                <w:color w:val="000000"/>
              </w:rPr>
              <w:t>If  no</w:t>
            </w:r>
            <w:proofErr w:type="gramEnd"/>
            <w:r>
              <w:rPr>
                <w:color w:val="000000"/>
              </w:rPr>
              <w:t xml:space="preserve"> credit/purchase cards, check “N/A”.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95444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  <w:r>
              <w:rPr>
                <w:rFonts w:ascii="Courier" w:eastAsia="Courier" w:hAnsi="Courier" w:cs="Courier"/>
                <w:color w:val="A33086"/>
                <w:sz w:val="28"/>
                <w:szCs w:val="28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A27178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7EE58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F9996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</w:tr>
      <w:tr w:rsidR="00603761" w14:paraId="75A4264D" w14:textId="77777777">
        <w:trPr>
          <w:trHeight w:val="1255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DE3AA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439" w:right="407" w:hanging="255"/>
              <w:rPr>
                <w:color w:val="000000"/>
              </w:rPr>
            </w:pPr>
            <w:r>
              <w:rPr>
                <w:color w:val="000000"/>
              </w:rPr>
              <w:t xml:space="preserve">9. Does someone who is not a subordinate of the credit/purchase card </w:t>
            </w:r>
            <w:proofErr w:type="gramStart"/>
            <w:r>
              <w:rPr>
                <w:color w:val="000000"/>
              </w:rPr>
              <w:t>holder  review</w:t>
            </w:r>
            <w:proofErr w:type="gramEnd"/>
            <w:r>
              <w:rPr>
                <w:color w:val="000000"/>
              </w:rPr>
              <w:t xml:space="preserve"> all card purchases for appropriateness (including the chief  administrative officer and board members if they have a card)? If </w:t>
            </w:r>
            <w:proofErr w:type="gramStart"/>
            <w:r>
              <w:rPr>
                <w:color w:val="000000"/>
              </w:rPr>
              <w:t>no  credit</w:t>
            </w:r>
            <w:proofErr w:type="gramEnd"/>
            <w:r>
              <w:rPr>
                <w:color w:val="000000"/>
              </w:rPr>
              <w:t>/purchase cards, check “N/A”.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3A24A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4"/>
              <w:rPr>
                <w:color w:val="A33086"/>
              </w:rPr>
            </w:pPr>
            <w:r>
              <w:rPr>
                <w:color w:val="A33086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5A6D6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E1655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67A6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A33086"/>
              </w:rPr>
            </w:pPr>
          </w:p>
        </w:tc>
      </w:tr>
      <w:tr w:rsidR="00603761" w14:paraId="694A44C7" w14:textId="77777777">
        <w:trPr>
          <w:trHeight w:val="702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E5C26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467" w:right="376" w:hanging="368"/>
              <w:rPr>
                <w:color w:val="000000"/>
              </w:rPr>
            </w:pPr>
            <w:r>
              <w:rPr>
                <w:color w:val="000000"/>
              </w:rPr>
              <w:t xml:space="preserve">10. Does the person who authorizes payment for goods or services, who is </w:t>
            </w:r>
            <w:proofErr w:type="gramStart"/>
            <w:r>
              <w:rPr>
                <w:color w:val="000000"/>
              </w:rPr>
              <w:t>not  the</w:t>
            </w:r>
            <w:proofErr w:type="gramEnd"/>
            <w:r>
              <w:rPr>
                <w:color w:val="000000"/>
              </w:rPr>
              <w:t xml:space="preserve"> clerk, verify the receipt of goods or services?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1E12B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  <w:r>
              <w:rPr>
                <w:rFonts w:ascii="Courier" w:eastAsia="Courier" w:hAnsi="Courier" w:cs="Courier"/>
                <w:color w:val="A33086"/>
                <w:sz w:val="28"/>
                <w:szCs w:val="28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7ED69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BB73B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10ADA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</w:tr>
      <w:tr w:rsidR="00603761" w14:paraId="06A32586" w14:textId="77777777">
        <w:trPr>
          <w:trHeight w:val="736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D8299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24" w:right="24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11. Does someone authorize payroll payments who is separate from the </w:t>
            </w:r>
            <w:proofErr w:type="gramStart"/>
            <w:r>
              <w:rPr>
                <w:color w:val="000000"/>
              </w:rPr>
              <w:t>person  who</w:t>
            </w:r>
            <w:proofErr w:type="gramEnd"/>
            <w:r>
              <w:rPr>
                <w:color w:val="000000"/>
              </w:rPr>
              <w:t xml:space="preserve"> prepares payroll payments? If no W-2 employees, check “N/A”.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80E89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  <w:r>
              <w:rPr>
                <w:rFonts w:ascii="Courier" w:eastAsia="Courier" w:hAnsi="Courier" w:cs="Courier"/>
                <w:color w:val="A33086"/>
                <w:sz w:val="28"/>
                <w:szCs w:val="28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26747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0C989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07631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</w:rPr>
            </w:pPr>
          </w:p>
        </w:tc>
      </w:tr>
      <w:tr w:rsidR="00603761" w14:paraId="0253FC5E" w14:textId="77777777">
        <w:trPr>
          <w:trHeight w:val="711"/>
        </w:trPr>
        <w:tc>
          <w:tcPr>
            <w:tcW w:w="81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3327D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24" w:right="23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12. Does someone review all payroll payments who is separate from the </w:t>
            </w:r>
            <w:proofErr w:type="gramStart"/>
            <w:r>
              <w:rPr>
                <w:color w:val="000000"/>
              </w:rPr>
              <w:t>person  who</w:t>
            </w:r>
            <w:proofErr w:type="gramEnd"/>
            <w:r>
              <w:rPr>
                <w:color w:val="000000"/>
              </w:rPr>
              <w:t xml:space="preserve"> prepares payroll payments? If no W-2 employees, check “N/A”.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4B0B7" w14:textId="77777777" w:rsidR="00603761" w:rsidRDefault="002936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8"/>
              <w:rPr>
                <w:rFonts w:ascii="Courier" w:eastAsia="Courier" w:hAnsi="Courier" w:cs="Courier"/>
                <w:color w:val="A33086"/>
                <w:sz w:val="28"/>
                <w:szCs w:val="28"/>
                <w:highlight w:val="white"/>
              </w:rPr>
            </w:pPr>
            <w:r>
              <w:rPr>
                <w:rFonts w:ascii="Courier" w:eastAsia="Courier" w:hAnsi="Courier" w:cs="Courier"/>
                <w:color w:val="A33086"/>
                <w:sz w:val="28"/>
                <w:szCs w:val="28"/>
                <w:highlight w:val="white"/>
              </w:rPr>
              <w:t>X</w:t>
            </w:r>
          </w:p>
        </w:tc>
        <w:tc>
          <w:tcPr>
            <w:tcW w:w="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C2503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  <w:highlight w:val="white"/>
              </w:rPr>
            </w:pPr>
          </w:p>
        </w:tc>
        <w:tc>
          <w:tcPr>
            <w:tcW w:w="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4B755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  <w:highlight w:val="white"/>
              </w:rPr>
            </w:pPr>
          </w:p>
        </w:tc>
        <w:tc>
          <w:tcPr>
            <w:tcW w:w="6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A3084" w14:textId="77777777" w:rsidR="00603761" w:rsidRDefault="0060376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urier" w:eastAsia="Courier" w:hAnsi="Courier" w:cs="Courier"/>
                <w:color w:val="A33086"/>
                <w:sz w:val="28"/>
                <w:szCs w:val="28"/>
                <w:highlight w:val="white"/>
              </w:rPr>
            </w:pPr>
          </w:p>
        </w:tc>
      </w:tr>
    </w:tbl>
    <w:p w14:paraId="6B054F67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5C41788" w14:textId="77777777" w:rsidR="00603761" w:rsidRDefault="00603761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EC7A995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13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* MC = Mitigating Control</w:t>
      </w:r>
    </w:p>
    <w:p w14:paraId="1CC15F32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33" w:line="240" w:lineRule="auto"/>
        <w:ind w:right="506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Utah State Capitol Complex, East Office Building, Suite E310 • Salt Lake City, Utah 84114-2310 • Tel: (801) 538-1025 • auditor.utah.gov </w:t>
      </w:r>
    </w:p>
    <w:p w14:paraId="416DBF21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8"/>
        <w:rPr>
          <w:rFonts w:ascii="Times New Roman" w:eastAsia="Times New Roman" w:hAnsi="Times New Roman" w:cs="Times New Roman"/>
          <w:color w:val="00264C"/>
          <w:sz w:val="52"/>
          <w:szCs w:val="52"/>
        </w:rPr>
      </w:pPr>
      <w:r>
        <w:rPr>
          <w:rFonts w:ascii="Times New Roman" w:eastAsia="Times New Roman" w:hAnsi="Times New Roman" w:cs="Times New Roman"/>
          <w:color w:val="00264C"/>
          <w:sz w:val="52"/>
          <w:szCs w:val="52"/>
        </w:rPr>
        <w:t xml:space="preserve">Basic Separation of Duties </w:t>
      </w:r>
    </w:p>
    <w:p w14:paraId="2A4A3725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9" w:line="240" w:lineRule="auto"/>
        <w:ind w:left="908"/>
        <w:rPr>
          <w:rFonts w:ascii="Times New Roman" w:eastAsia="Times New Roman" w:hAnsi="Times New Roman" w:cs="Times New Roman"/>
          <w:color w:val="FFFFFF"/>
          <w:sz w:val="24"/>
          <w:szCs w:val="24"/>
        </w:rPr>
      </w:pPr>
      <w:r>
        <w:rPr>
          <w:rFonts w:ascii="Times New Roman" w:eastAsia="Times New Roman" w:hAnsi="Times New Roman" w:cs="Times New Roman"/>
          <w:color w:val="FFFFFF"/>
          <w:sz w:val="24"/>
          <w:szCs w:val="24"/>
          <w:shd w:val="clear" w:color="auto" w:fill="00264C"/>
        </w:rPr>
        <w:t>Continued</w:t>
      </w:r>
      <w:r>
        <w:rPr>
          <w:rFonts w:ascii="Times New Roman" w:eastAsia="Times New Roman" w:hAnsi="Times New Roman" w:cs="Times New Roman"/>
          <w:color w:val="FFFFFF"/>
          <w:sz w:val="24"/>
          <w:szCs w:val="24"/>
        </w:rPr>
        <w:t xml:space="preserve"> </w:t>
      </w:r>
    </w:p>
    <w:p w14:paraId="7C325E54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9" w:line="251" w:lineRule="auto"/>
        <w:ind w:left="1447" w:right="681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Instructions: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Answer questions 1-12 on the Basic Separation of Duties Questionnaire using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the  definitions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provided below</w:t>
      </w:r>
      <w:r>
        <w:rPr>
          <w:color w:val="000000"/>
          <w:sz w:val="23"/>
          <w:szCs w:val="23"/>
        </w:rPr>
        <w:t xml:space="preserve">. </w:t>
      </w:r>
    </w:p>
    <w:p w14:paraId="3359BF31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67" w:line="229" w:lineRule="auto"/>
        <w:ind w:left="1441" w:right="31" w:firstLine="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Noto Sans Symbols" w:eastAsia="Noto Sans Symbols" w:hAnsi="Noto Sans Symbols" w:cs="Noto Sans Symbols"/>
          <w:color w:val="000000"/>
          <w:sz w:val="23"/>
          <w:szCs w:val="23"/>
          <w:highlight w:val="green"/>
        </w:rPr>
        <w:t>☺</w:t>
      </w:r>
      <w:r>
        <w:rPr>
          <w:rFonts w:ascii="Noto Sans Symbols" w:eastAsia="Noto Sans Symbols" w:hAnsi="Noto Sans Symbols" w:cs="Noto Sans Symbols"/>
          <w:color w:val="000000"/>
          <w:sz w:val="23"/>
          <w:szCs w:val="23"/>
          <w:highlight w:val="gree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If all of the questions were answered “Yes” or “No” with mitigating controls (“MC”) in place, or “N/A,”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the  entity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has achieved adequate basic separation of duties. Question 1 of the Fraud Risk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Assessment  Questionnaire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will be answered “Yes.” 200 points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will be awarded for question 1 of the Fraud Risk  Assessment Questionnaire. </w:t>
      </w:r>
    </w:p>
    <w:p w14:paraId="15088C40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4" w:line="230" w:lineRule="auto"/>
        <w:ind w:left="1441" w:right="491" w:firstLine="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Noto Sans Symbols" w:eastAsia="Noto Sans Symbols" w:hAnsi="Noto Sans Symbols" w:cs="Noto Sans Symbols"/>
          <w:color w:val="000000"/>
          <w:sz w:val="23"/>
          <w:szCs w:val="23"/>
          <w:highlight w:val="yellow"/>
        </w:rPr>
        <w:t>☹</w:t>
      </w:r>
      <w:r>
        <w:rPr>
          <w:rFonts w:ascii="Noto Sans Symbols" w:eastAsia="Noto Sans Symbols" w:hAnsi="Noto Sans Symbols" w:cs="Noto Sans Symbols"/>
          <w:color w:val="000000"/>
          <w:sz w:val="23"/>
          <w:szCs w:val="23"/>
          <w:highlight w:val="yellow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If any of the questions were answered “No,” and mitigating controls are not in place, the entity has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not  achieved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adequate basic separation of duties. Question 1 of the Fraud R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isk Assessment Questionnaire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will  remain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blank. 0 points will be awarded for question 1 of the Fraud Risk Assessment Questionnaire. </w:t>
      </w:r>
    </w:p>
    <w:p w14:paraId="03F937BD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9" w:line="240" w:lineRule="auto"/>
        <w:ind w:left="1444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Definitions: </w:t>
      </w:r>
    </w:p>
    <w:p w14:paraId="0ADC01E4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7" w:line="231" w:lineRule="auto"/>
        <w:ind w:left="1448" w:hanging="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Board Chair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is the elected or appointed chairperson of an entity’s governing body, e.g. Mayor,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Commissioner,  Councilmember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or Trustee. The official title will vary depending on the entity type and form of government.  </w:t>
      </w:r>
    </w:p>
    <w:p w14:paraId="35412C18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2" w:line="230" w:lineRule="auto"/>
        <w:ind w:left="1441" w:right="213" w:firstLine="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Clerk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is the bookkeeper for the entity,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e.g.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Con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troller, Accountant, Auditor or Finance Director. Though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the  title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for this position may vary, they validate payment requests, ensure compliance with policy and budgetary  restrictions, prepare checks, and record all financial transactions. </w:t>
      </w:r>
    </w:p>
    <w:p w14:paraId="20456B43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3" w:line="230" w:lineRule="auto"/>
        <w:ind w:left="1442" w:right="116" w:firstLine="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Chief Administrative Officer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(CAO) is the person who directs the day-to-day operations of the entity.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The  CAO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of most cities and towns is the mayor, except where the city has a city manager. The CAO of most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local  and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special districts is the board chair,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except where the district has an appointed director. In school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districts,  the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CAO is the superintendent. In counties, the CAO is the commission or council chair, except where there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is  an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elected or appointed manager or executive. </w:t>
      </w:r>
    </w:p>
    <w:p w14:paraId="2230BB50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1" w:line="230" w:lineRule="auto"/>
        <w:ind w:left="1440" w:right="97" w:firstLine="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lastRenderedPageBreak/>
        <w:t xml:space="preserve">General Ledger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is a ge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neral term for accounting books. A general ledger contains all financial transactions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of  an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organization and may include sub-ledgers that are more detailed. A general ledger may be electronic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or  paper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based. Financial records such as invoices, purchase 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rders, or depreciation schedules are not part of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the  general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ledger, but rather support the transaction in the general ledger. </w:t>
      </w:r>
    </w:p>
    <w:p w14:paraId="428EBAF6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3" w:line="240" w:lineRule="auto"/>
        <w:ind w:right="322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Mitigating Controls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are systems or procedures that effectively mitigate a risk in lieu of separation of duties. </w:t>
      </w:r>
    </w:p>
    <w:p w14:paraId="78A75378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94" w:line="229" w:lineRule="auto"/>
        <w:ind w:left="1440" w:right="198" w:firstLine="9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Original Bank Statement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means a document that has been received directly from the bank. Direct receipt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of  the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document could mean having the statement 1) mailed to an address or PO Box separate from the entity’s  place of business, 2) remain in an unopene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d envelope at the entity offices, or 3) electronically downloaded  from the bank website by the intended recipient. The key risk is that a treasurer or clerk who is intending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to  conceal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an unauthorized transaction may be able to physically or electronical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ly alter the statement before the  independent reviewer sees it. </w:t>
      </w:r>
    </w:p>
    <w:p w14:paraId="463A1635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1" w:line="231" w:lineRule="auto"/>
        <w:ind w:left="1442" w:right="327" w:firstLine="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Treasurer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is the custodian of all cash accounts and is responsible for overseeing the receipt of all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payments  made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to the entity. A treasurer is always an authorized signer of all entity ch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ecks and is responsible </w:t>
      </w:r>
      <w:proofErr w:type="gram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for  ensuring</w:t>
      </w:r>
      <w:proofErr w:type="gram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cash balances are adequate to cover all payments issued by the entity.</w:t>
      </w:r>
    </w:p>
    <w:p w14:paraId="3D72D395" w14:textId="77777777" w:rsidR="00603761" w:rsidRDefault="002936C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49" w:line="240" w:lineRule="auto"/>
        <w:ind w:right="506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Utah State Capitol Complex, East Office Building, Suite E310 • Salt Lake City, Utah 84114-2310 • Tel: (801) 538-1025 • auditor.utah.gov </w:t>
      </w:r>
    </w:p>
    <w:sectPr w:rsidR="00603761">
      <w:type w:val="continuous"/>
      <w:pgSz w:w="12240" w:h="15840"/>
      <w:pgMar w:top="254" w:right="482" w:bottom="0" w:left="0" w:header="0" w:footer="720" w:gutter="0"/>
      <w:cols w:space="720" w:equalWidth="0">
        <w:col w:w="11757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761"/>
    <w:rsid w:val="002936C1"/>
    <w:rsid w:val="0060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52D00"/>
  <w15:docId w15:val="{5C1EE987-43F5-46D7-BB03-62C3F125B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1340</Words>
  <Characters>7640</Characters>
  <Application>Microsoft Office Word</Application>
  <DocSecurity>0</DocSecurity>
  <Lines>63</Lines>
  <Paragraphs>17</Paragraphs>
  <ScaleCrop>false</ScaleCrop>
  <Company/>
  <LinksUpToDate>false</LinksUpToDate>
  <CharactersWithSpaces>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Blake Perez</dc:creator>
  <cp:lastModifiedBy>Blake Perez</cp:lastModifiedBy>
  <cp:revision>2</cp:revision>
  <dcterms:created xsi:type="dcterms:W3CDTF">2022-02-03T22:53:00Z</dcterms:created>
  <dcterms:modified xsi:type="dcterms:W3CDTF">2022-02-03T22:53:00Z</dcterms:modified>
</cp:coreProperties>
</file>