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3EDC34B2" w:rsidR="00941003" w:rsidRPr="009635B7"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w:t>
      </w:r>
      <w:r w:rsidR="00D37746">
        <w:rPr>
          <w:rFonts w:ascii="Times New Roman" w:eastAsia="Times New Roman" w:hAnsi="Times New Roman" w:cs="Times New Roman"/>
          <w:bCs/>
          <w:lang w:bidi="en-US"/>
        </w:rPr>
        <w:t xml:space="preserve">Y COUNCIL OF TOQUERVILLE, UTAH, </w:t>
      </w:r>
      <w:r w:rsidR="000111B2">
        <w:rPr>
          <w:rFonts w:ascii="Times New Roman" w:eastAsia="Times New Roman" w:hAnsi="Times New Roman" w:cs="Times New Roman"/>
          <w:bCs/>
          <w:lang w:bidi="en-US"/>
        </w:rPr>
        <w:t xml:space="preserve">CREATING SUBSECTION 10-15C-6(C) CONTAINING A TABLE (TABLE C.1.) WHICH PROVIDES A METHOD FOR CONVERTING EQUIVALENT RESIDENTIAL UNITS INTO VARIOUS TYPES OF COMMERCIAL, MULTI-FAMILY AND INDUSTRIAL USES FOR CALCULATING DENSITY WITHIN THE MPDO OVERLAY ZONE.    </w:t>
      </w:r>
    </w:p>
    <w:p w14:paraId="4A6AB1F1" w14:textId="77777777" w:rsidR="00941003" w:rsidRPr="009635B7" w:rsidRDefault="00941003" w:rsidP="00941003">
      <w:pPr>
        <w:widowControl w:val="0"/>
        <w:spacing w:after="18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7A393EC4" w14:textId="77777777" w:rsidR="00941003" w:rsidRPr="009635B7" w:rsidRDefault="00941003" w:rsidP="00941003">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Toquerville City (“City”) is an incorporated municipality duly organized under the laws of the State of Utah;</w:t>
      </w:r>
    </w:p>
    <w:p w14:paraId="0129EBB4" w14:textId="77777777" w:rsidR="00941003" w:rsidRPr="009635B7" w:rsidRDefault="00941003" w:rsidP="00941003">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boundaries;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pursuant to Utah Code Annotated, Title 10, Chapter 9a, Section 103 and Title 10, Chapter 3b, Section 301, the Toquerville City Council (“City Council”) is designated as the governing body  of the City and the primary Land Use Authority;</w:t>
      </w:r>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3A91CB11" w14:textId="19047BCE" w:rsidR="00941003" w:rsidRPr="009635B7" w:rsidRDefault="00941003" w:rsidP="000111B2">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regulatory scheme an overlay zo</w:t>
      </w:r>
      <w:r w:rsidR="000111B2">
        <w:rPr>
          <w:rFonts w:ascii="Times New Roman" w:eastAsia="Times New Roman" w:hAnsi="Times New Roman" w:cs="Times New Roman"/>
        </w:rPr>
        <w:t xml:space="preserve">ning designation known as the </w:t>
      </w:r>
      <w:r w:rsidR="00B7093E">
        <w:rPr>
          <w:rFonts w:ascii="Times New Roman" w:eastAsia="Times New Roman" w:hAnsi="Times New Roman" w:cs="Times New Roman"/>
        </w:rPr>
        <w:t>Master Planned Development Overlay Zone (“MPDO Zone”) found in Article C of</w:t>
      </w:r>
      <w:r w:rsidR="000111B2">
        <w:rPr>
          <w:rFonts w:ascii="Times New Roman" w:eastAsia="Times New Roman" w:hAnsi="Times New Roman" w:cs="Times New Roman"/>
        </w:rPr>
        <w:t xml:space="preserve"> Chapter 15, Title 10 of the Toquerville City Code (“TCC”).   </w:t>
      </w:r>
    </w:p>
    <w:p w14:paraId="06282E4F" w14:textId="77777777" w:rsidR="00941003" w:rsidRPr="009635B7" w:rsidRDefault="00941003" w:rsidP="00941003">
      <w:pPr>
        <w:spacing w:after="0"/>
        <w:ind w:firstLine="720"/>
        <w:jc w:val="both"/>
        <w:rPr>
          <w:rFonts w:ascii="Times New Roman" w:eastAsia="Times New Roman" w:hAnsi="Times New Roman" w:cs="Times New Roman"/>
        </w:rPr>
      </w:pPr>
    </w:p>
    <w:p w14:paraId="6AC4DB74" w14:textId="4DA850C2" w:rsidR="00941003" w:rsidRDefault="00941003" w:rsidP="00BB230F">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 has determined that it is in the best interests of the health, safety and general welfare of the City to</w:t>
      </w:r>
      <w:r w:rsidR="000111B2">
        <w:rPr>
          <w:rFonts w:ascii="Times New Roman" w:eastAsia="Times New Roman" w:hAnsi="Times New Roman" w:cs="Times New Roman"/>
        </w:rPr>
        <w:t xml:space="preserve"> include within the regulations of the MPDO Zone a methodology for converting Equivalent Residential Units (“ERU”) which is essentially a single family detached residential standard, into various types of commercial, multi-family and </w:t>
      </w:r>
      <w:r w:rsidR="00BB230F">
        <w:rPr>
          <w:rFonts w:ascii="Times New Roman" w:eastAsia="Times New Roman" w:hAnsi="Times New Roman" w:cs="Times New Roman"/>
        </w:rPr>
        <w:t xml:space="preserve">industrial uses that might occur in a MPDO Zone and which have more or less burden on the City’s public infrastructure systems than a traditional ERU. </w:t>
      </w:r>
      <w:r w:rsidRPr="009635B7">
        <w:rPr>
          <w:rFonts w:ascii="Times New Roman" w:eastAsia="Times New Roman" w:hAnsi="Times New Roman" w:cs="Times New Roman"/>
        </w:rPr>
        <w:t xml:space="preserve"> </w:t>
      </w:r>
    </w:p>
    <w:p w14:paraId="4D2EF353" w14:textId="77777777" w:rsidR="00BB230F" w:rsidRPr="009635B7" w:rsidRDefault="00BB230F" w:rsidP="00BB230F">
      <w:pPr>
        <w:spacing w:after="0"/>
        <w:ind w:firstLine="720"/>
        <w:jc w:val="both"/>
        <w:rPr>
          <w:rFonts w:ascii="Times New Roman" w:eastAsia="Times New Roman" w:hAnsi="Times New Roman" w:cs="Times New Roman"/>
          <w:bCs/>
          <w:lang w:bidi="en-US"/>
        </w:rPr>
      </w:pPr>
    </w:p>
    <w:p w14:paraId="1D23EDD3" w14:textId="77777777" w:rsidR="00941003" w:rsidRPr="009635B7" w:rsidRDefault="00941003" w:rsidP="00941003">
      <w:pPr>
        <w:widowControl w:val="0"/>
        <w:spacing w:after="21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066774B9" w14:textId="77777777" w:rsidR="00941003" w:rsidRPr="00346A7C" w:rsidRDefault="00941003" w:rsidP="00941003">
      <w:pPr>
        <w:widowControl w:val="0"/>
        <w:spacing w:after="149"/>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9F5921B" w14:textId="2C3F61EE" w:rsidR="00941003" w:rsidRPr="00346A7C" w:rsidRDefault="00941003" w:rsidP="00032ADE">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B7093E">
        <w:rPr>
          <w:rFonts w:ascii="Times New Roman" w:eastAsia="Calibri" w:hAnsi="Times New Roman" w:cs="Times New Roman"/>
          <w:lang w:bidi="en-US"/>
        </w:rPr>
        <w:t xml:space="preserve">ENT </w:t>
      </w:r>
      <w:r w:rsidR="00BB230F">
        <w:rPr>
          <w:rFonts w:ascii="Times New Roman" w:eastAsia="Calibri" w:hAnsi="Times New Roman" w:cs="Times New Roman"/>
          <w:lang w:bidi="en-US"/>
        </w:rPr>
        <w:t xml:space="preserve">OF SECTION 6 OF ARTICLE C OF CHAPTER 15, TITLE 10 OF THE TCC.   Subsection 6(C) is hereby added and included into Section 6, Article C, Chapter 15, Title 10 of the Toquerville </w:t>
      </w:r>
      <w:r w:rsidR="00953996" w:rsidRPr="00346A7C">
        <w:rPr>
          <w:rFonts w:ascii="Times New Roman" w:eastAsia="Calibri" w:hAnsi="Times New Roman" w:cs="Times New Roman"/>
          <w:lang w:bidi="en-US"/>
        </w:rPr>
        <w:t>C</w:t>
      </w:r>
      <w:r w:rsidRPr="00346A7C">
        <w:rPr>
          <w:rFonts w:ascii="Times New Roman" w:eastAsia="Calibri" w:hAnsi="Times New Roman" w:cs="Times New Roman"/>
          <w:lang w:bidi="en-US"/>
        </w:rPr>
        <w:t xml:space="preserve">ity Code as follows:   </w:t>
      </w:r>
    </w:p>
    <w:p w14:paraId="5C5D16F6" w14:textId="77777777" w:rsidR="00BB230F" w:rsidRDefault="00BB230F" w:rsidP="00BB230F">
      <w:pPr>
        <w:pStyle w:val="Compact"/>
        <w:rPr>
          <w:rFonts w:ascii="Times New Roman" w:hAnsi="Times New Roman" w:cs="Times New Roman"/>
        </w:rPr>
      </w:pPr>
    </w:p>
    <w:p w14:paraId="134DC690" w14:textId="7ADAAD8C" w:rsidR="00BB230F" w:rsidRPr="00BB230F" w:rsidRDefault="00BB230F" w:rsidP="00153B50">
      <w:pPr>
        <w:pStyle w:val="Compact"/>
        <w:ind w:left="720" w:right="720"/>
        <w:jc w:val="both"/>
        <w:rPr>
          <w:rFonts w:ascii="Times New Roman" w:hAnsi="Times New Roman" w:cs="Times New Roman"/>
          <w:i/>
        </w:rPr>
      </w:pPr>
      <w:r w:rsidRPr="00BB230F">
        <w:rPr>
          <w:rFonts w:ascii="Times New Roman" w:hAnsi="Times New Roman" w:cs="Times New Roman"/>
          <w:i/>
        </w:rPr>
        <w:t xml:space="preserve">C. </w:t>
      </w:r>
      <w:r w:rsidR="00C60E23">
        <w:rPr>
          <w:rFonts w:ascii="Times New Roman" w:hAnsi="Times New Roman" w:cs="Times New Roman"/>
          <w:i/>
        </w:rPr>
        <w:tab/>
      </w:r>
      <w:r w:rsidRPr="00BB230F">
        <w:rPr>
          <w:rFonts w:ascii="Times New Roman" w:hAnsi="Times New Roman" w:cs="Times New Roman"/>
          <w:i/>
        </w:rPr>
        <w:t>Density Calculations: Density Calculations (ERU’s) will be based on the use and size of the structure built within a project and used to encourage, a variety of unit configurations</w:t>
      </w:r>
      <w:r w:rsidR="00153B50">
        <w:rPr>
          <w:rFonts w:ascii="Times New Roman" w:hAnsi="Times New Roman" w:cs="Times New Roman"/>
          <w:i/>
        </w:rPr>
        <w:t xml:space="preserve"> as set forth in Table C.1. below:</w:t>
      </w:r>
      <w:r w:rsidRPr="00BB230F">
        <w:rPr>
          <w:rFonts w:ascii="Times New Roman" w:hAnsi="Times New Roman" w:cs="Times New Roman"/>
          <w:i/>
        </w:rPr>
        <w:t xml:space="preserve"> </w:t>
      </w:r>
    </w:p>
    <w:p w14:paraId="29C72FCC" w14:textId="6032600E" w:rsidR="00BB230F" w:rsidRDefault="00BB230F" w:rsidP="00153B50">
      <w:pPr>
        <w:pStyle w:val="Compact"/>
        <w:rPr>
          <w:rFonts w:ascii="Times New Roman" w:hAnsi="Times New Roman" w:cs="Times New Roman"/>
          <w:i/>
        </w:rPr>
      </w:pPr>
    </w:p>
    <w:p w14:paraId="079BF206" w14:textId="77777777" w:rsidR="00153B50" w:rsidRDefault="00153B50" w:rsidP="00153B50">
      <w:pPr>
        <w:pStyle w:val="Compact"/>
        <w:rPr>
          <w:rFonts w:ascii="Times New Roman" w:hAnsi="Times New Roman" w:cs="Times New Roman"/>
          <w:i/>
        </w:rPr>
      </w:pPr>
    </w:p>
    <w:p w14:paraId="5E5E0DB0" w14:textId="77777777" w:rsidR="00153B50" w:rsidRDefault="00153B50" w:rsidP="00BB230F">
      <w:pPr>
        <w:pStyle w:val="Compact"/>
        <w:ind w:left="720"/>
        <w:rPr>
          <w:rFonts w:ascii="Times New Roman" w:hAnsi="Times New Roman" w:cs="Times New Roman"/>
          <w:i/>
        </w:rPr>
      </w:pPr>
    </w:p>
    <w:p w14:paraId="250280B2" w14:textId="6BDED353" w:rsidR="00153B50" w:rsidRDefault="00153B50" w:rsidP="00BB230F">
      <w:pPr>
        <w:pStyle w:val="Compact"/>
        <w:ind w:left="720"/>
        <w:rPr>
          <w:rFonts w:ascii="Times New Roman" w:hAnsi="Times New Roman" w:cs="Times New Roman"/>
          <w:i/>
        </w:rPr>
      </w:pPr>
      <w:r>
        <w:rPr>
          <w:rFonts w:ascii="Times New Roman" w:hAnsi="Times New Roman" w:cs="Times New Roman"/>
          <w:i/>
        </w:rPr>
        <w:t>Table C.1.</w:t>
      </w:r>
    </w:p>
    <w:p w14:paraId="39A3B294" w14:textId="77777777" w:rsidR="00153B50" w:rsidRPr="00BB230F" w:rsidRDefault="00153B50" w:rsidP="00BB230F">
      <w:pPr>
        <w:pStyle w:val="Compact"/>
        <w:ind w:left="720"/>
        <w:rPr>
          <w:rFonts w:ascii="Times New Roman" w:hAnsi="Times New Roman" w:cs="Times New Roman"/>
          <w:i/>
        </w:rPr>
      </w:pPr>
    </w:p>
    <w:tbl>
      <w:tblPr>
        <w:tblStyle w:val="TableGrid"/>
        <w:tblW w:w="0" w:type="auto"/>
        <w:tblInd w:w="715" w:type="dxa"/>
        <w:tblLayout w:type="fixed"/>
        <w:tblLook w:val="04A0" w:firstRow="1" w:lastRow="0" w:firstColumn="1" w:lastColumn="0" w:noHBand="0" w:noVBand="1"/>
      </w:tblPr>
      <w:tblGrid>
        <w:gridCol w:w="1800"/>
        <w:gridCol w:w="5259"/>
        <w:gridCol w:w="1221"/>
      </w:tblGrid>
      <w:tr w:rsidR="00BB230F" w:rsidRPr="00BB230F" w14:paraId="5E983117" w14:textId="77777777" w:rsidTr="00153B50">
        <w:trPr>
          <w:trHeight w:val="665"/>
        </w:trPr>
        <w:tc>
          <w:tcPr>
            <w:tcW w:w="1800" w:type="dxa"/>
            <w:vAlign w:val="center"/>
          </w:tcPr>
          <w:p w14:paraId="59816266" w14:textId="2CB759BE" w:rsidR="00BB230F" w:rsidRPr="00BB230F" w:rsidRDefault="00BB230F" w:rsidP="00153B50">
            <w:pPr>
              <w:pStyle w:val="Compact"/>
              <w:ind w:left="-15"/>
              <w:jc w:val="center"/>
              <w:rPr>
                <w:rFonts w:ascii="Times New Roman" w:hAnsi="Times New Roman"/>
                <w:b/>
                <w:i/>
                <w:sz w:val="24"/>
                <w:szCs w:val="24"/>
              </w:rPr>
            </w:pPr>
            <w:r w:rsidRPr="00BB230F">
              <w:rPr>
                <w:rFonts w:ascii="Times New Roman" w:hAnsi="Times New Roman"/>
                <w:b/>
                <w:i/>
                <w:sz w:val="24"/>
                <w:szCs w:val="24"/>
              </w:rPr>
              <w:t>Configuration</w:t>
            </w:r>
            <w:r w:rsidR="00153B50">
              <w:rPr>
                <w:rFonts w:ascii="Times New Roman" w:hAnsi="Times New Roman"/>
                <w:b/>
                <w:i/>
                <w:sz w:val="24"/>
                <w:szCs w:val="24"/>
              </w:rPr>
              <w:t>/Use</w:t>
            </w:r>
          </w:p>
        </w:tc>
        <w:tc>
          <w:tcPr>
            <w:tcW w:w="5259" w:type="dxa"/>
            <w:vAlign w:val="center"/>
          </w:tcPr>
          <w:p w14:paraId="53A8D339" w14:textId="77777777" w:rsidR="00BB230F" w:rsidRPr="00BB230F" w:rsidRDefault="00BB230F" w:rsidP="00153B50">
            <w:pPr>
              <w:pStyle w:val="Compact"/>
              <w:jc w:val="center"/>
              <w:rPr>
                <w:rFonts w:ascii="Times New Roman" w:hAnsi="Times New Roman"/>
                <w:b/>
                <w:i/>
                <w:sz w:val="24"/>
                <w:szCs w:val="24"/>
              </w:rPr>
            </w:pPr>
            <w:r w:rsidRPr="00BB230F">
              <w:rPr>
                <w:rFonts w:ascii="Times New Roman" w:hAnsi="Times New Roman"/>
                <w:b/>
                <w:i/>
                <w:sz w:val="24"/>
                <w:szCs w:val="24"/>
              </w:rPr>
              <w:t>Notes</w:t>
            </w:r>
          </w:p>
        </w:tc>
        <w:tc>
          <w:tcPr>
            <w:tcW w:w="1221" w:type="dxa"/>
            <w:vAlign w:val="center"/>
          </w:tcPr>
          <w:p w14:paraId="0EBC0854" w14:textId="77777777" w:rsidR="00BB230F" w:rsidRPr="00BB230F" w:rsidRDefault="00BB230F" w:rsidP="00153B50">
            <w:pPr>
              <w:pStyle w:val="Compact"/>
              <w:jc w:val="center"/>
              <w:rPr>
                <w:rFonts w:ascii="Times New Roman" w:hAnsi="Times New Roman"/>
                <w:b/>
                <w:i/>
                <w:sz w:val="24"/>
                <w:szCs w:val="24"/>
              </w:rPr>
            </w:pPr>
            <w:r w:rsidRPr="00BB230F">
              <w:rPr>
                <w:rFonts w:ascii="Times New Roman" w:hAnsi="Times New Roman"/>
                <w:b/>
                <w:i/>
                <w:sz w:val="24"/>
                <w:szCs w:val="24"/>
              </w:rPr>
              <w:t>ERU’s</w:t>
            </w:r>
          </w:p>
        </w:tc>
      </w:tr>
      <w:tr w:rsidR="00BB230F" w:rsidRPr="00BB230F" w14:paraId="55E838A3" w14:textId="77777777" w:rsidTr="00153B50">
        <w:tc>
          <w:tcPr>
            <w:tcW w:w="1800" w:type="dxa"/>
            <w:vAlign w:val="center"/>
          </w:tcPr>
          <w:p w14:paraId="0FA03080"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Residential</w:t>
            </w:r>
          </w:p>
        </w:tc>
        <w:tc>
          <w:tcPr>
            <w:tcW w:w="5259" w:type="dxa"/>
          </w:tcPr>
          <w:p w14:paraId="0F715C9E" w14:textId="2B064714" w:rsidR="00BB230F" w:rsidRPr="00BB230F" w:rsidRDefault="00BB230F" w:rsidP="00BB230F">
            <w:pPr>
              <w:pStyle w:val="Compact"/>
              <w:rPr>
                <w:rFonts w:ascii="Times New Roman" w:hAnsi="Times New Roman"/>
                <w:i/>
                <w:sz w:val="24"/>
                <w:szCs w:val="24"/>
              </w:rPr>
            </w:pPr>
            <w:r w:rsidRPr="00BB230F">
              <w:rPr>
                <w:rFonts w:ascii="Times New Roman" w:hAnsi="Times New Roman"/>
                <w:i/>
                <w:sz w:val="24"/>
                <w:szCs w:val="24"/>
              </w:rPr>
              <w:t>A detached single</w:t>
            </w:r>
            <w:r w:rsidR="00D65DD7">
              <w:rPr>
                <w:rFonts w:ascii="Times New Roman" w:hAnsi="Times New Roman"/>
                <w:i/>
                <w:sz w:val="24"/>
                <w:szCs w:val="24"/>
              </w:rPr>
              <w:t xml:space="preserve"> </w:t>
            </w:r>
            <w:r w:rsidRPr="00BB230F">
              <w:rPr>
                <w:rFonts w:ascii="Times New Roman" w:hAnsi="Times New Roman"/>
                <w:i/>
                <w:sz w:val="24"/>
                <w:szCs w:val="24"/>
              </w:rPr>
              <w:t>hom</w:t>
            </w:r>
            <w:r w:rsidR="00D65DD7">
              <w:rPr>
                <w:rFonts w:ascii="Times New Roman" w:hAnsi="Times New Roman"/>
                <w:i/>
                <w:sz w:val="24"/>
                <w:szCs w:val="24"/>
              </w:rPr>
              <w:t xml:space="preserve">e </w:t>
            </w:r>
            <w:r w:rsidR="00A7762C">
              <w:rPr>
                <w:rFonts w:ascii="Times New Roman" w:hAnsi="Times New Roman"/>
                <w:i/>
                <w:sz w:val="24"/>
                <w:szCs w:val="24"/>
              </w:rPr>
              <w:t xml:space="preserve"> </w:t>
            </w:r>
            <w:r w:rsidRPr="00BB230F">
              <w:rPr>
                <w:rFonts w:ascii="Times New Roman" w:hAnsi="Times New Roman"/>
                <w:i/>
                <w:sz w:val="24"/>
                <w:szCs w:val="24"/>
              </w:rPr>
              <w:t xml:space="preserve">shall be </w:t>
            </w:r>
            <w:r w:rsidR="00D65DD7">
              <w:rPr>
                <w:rFonts w:ascii="Times New Roman" w:hAnsi="Times New Roman"/>
                <w:i/>
                <w:sz w:val="24"/>
                <w:szCs w:val="24"/>
              </w:rPr>
              <w:t>calculated for each 5,000 sq. ft. Each 5,000 sq. ft. shall count as 1 ERU.</w:t>
            </w:r>
          </w:p>
        </w:tc>
        <w:tc>
          <w:tcPr>
            <w:tcW w:w="1221" w:type="dxa"/>
            <w:vAlign w:val="center"/>
          </w:tcPr>
          <w:p w14:paraId="0AFAE322"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1.0</w:t>
            </w:r>
          </w:p>
        </w:tc>
      </w:tr>
      <w:tr w:rsidR="00BB230F" w:rsidRPr="00BB230F" w14:paraId="4039F7FF" w14:textId="77777777" w:rsidTr="00153B50">
        <w:tc>
          <w:tcPr>
            <w:tcW w:w="1800" w:type="dxa"/>
            <w:vAlign w:val="center"/>
          </w:tcPr>
          <w:p w14:paraId="48D1A247"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Hotel /Motel</w:t>
            </w:r>
          </w:p>
        </w:tc>
        <w:tc>
          <w:tcPr>
            <w:tcW w:w="5259" w:type="dxa"/>
            <w:vAlign w:val="center"/>
          </w:tcPr>
          <w:p w14:paraId="3C1D8E2A" w14:textId="37C22388"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Attached unit not to exceed 1000 square feet including bathroom areas, but not including corridors outside the room, and not to exceed 1 bathroom.</w:t>
            </w:r>
          </w:p>
        </w:tc>
        <w:tc>
          <w:tcPr>
            <w:tcW w:w="1221" w:type="dxa"/>
            <w:vAlign w:val="center"/>
          </w:tcPr>
          <w:p w14:paraId="54E3BF97"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0.25</w:t>
            </w:r>
          </w:p>
        </w:tc>
      </w:tr>
      <w:tr w:rsidR="00BB230F" w:rsidRPr="00BB230F" w14:paraId="76EEA6F4" w14:textId="77777777" w:rsidTr="00153B50">
        <w:tc>
          <w:tcPr>
            <w:tcW w:w="1800" w:type="dxa"/>
            <w:vAlign w:val="center"/>
          </w:tcPr>
          <w:p w14:paraId="0AEBB9F2"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Apartments</w:t>
            </w:r>
          </w:p>
          <w:p w14:paraId="10493742"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Condominiums</w:t>
            </w:r>
          </w:p>
        </w:tc>
        <w:tc>
          <w:tcPr>
            <w:tcW w:w="5259" w:type="dxa"/>
            <w:vAlign w:val="center"/>
          </w:tcPr>
          <w:p w14:paraId="63D9973F"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Attached units not to exceed 1,000 square feet and not to exceed 1 ½ bathrooms</w:t>
            </w:r>
          </w:p>
        </w:tc>
        <w:tc>
          <w:tcPr>
            <w:tcW w:w="1221" w:type="dxa"/>
            <w:vAlign w:val="center"/>
          </w:tcPr>
          <w:p w14:paraId="2D8C3589"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0.50</w:t>
            </w:r>
          </w:p>
        </w:tc>
      </w:tr>
      <w:tr w:rsidR="00BB230F" w:rsidRPr="00BB230F" w14:paraId="40E63800" w14:textId="77777777" w:rsidTr="00153B50">
        <w:tc>
          <w:tcPr>
            <w:tcW w:w="1800" w:type="dxa"/>
            <w:vAlign w:val="center"/>
          </w:tcPr>
          <w:p w14:paraId="3C87C4D8"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Apartments or attached single-</w:t>
            </w:r>
          </w:p>
          <w:p w14:paraId="3F976304"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family dwellings</w:t>
            </w:r>
          </w:p>
        </w:tc>
        <w:tc>
          <w:tcPr>
            <w:tcW w:w="5259" w:type="dxa"/>
            <w:vAlign w:val="center"/>
          </w:tcPr>
          <w:p w14:paraId="2DBE7469"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Attached units not to exceed 1,500 square feet and not exceed 2 bathrooms</w:t>
            </w:r>
          </w:p>
        </w:tc>
        <w:tc>
          <w:tcPr>
            <w:tcW w:w="1221" w:type="dxa"/>
            <w:vAlign w:val="center"/>
          </w:tcPr>
          <w:p w14:paraId="7E849F75"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0.75</w:t>
            </w:r>
          </w:p>
        </w:tc>
      </w:tr>
      <w:tr w:rsidR="00BB230F" w:rsidRPr="00BB230F" w14:paraId="1B203B2E" w14:textId="77777777" w:rsidTr="00153B50">
        <w:tc>
          <w:tcPr>
            <w:tcW w:w="1800" w:type="dxa"/>
            <w:vAlign w:val="center"/>
          </w:tcPr>
          <w:p w14:paraId="5AFF3270" w14:textId="2214BF24" w:rsidR="00BB230F" w:rsidRPr="00BB230F" w:rsidRDefault="00153B50" w:rsidP="00153B50">
            <w:pPr>
              <w:pStyle w:val="Compact"/>
              <w:rPr>
                <w:rFonts w:ascii="Times New Roman" w:hAnsi="Times New Roman"/>
                <w:i/>
                <w:sz w:val="24"/>
                <w:szCs w:val="24"/>
              </w:rPr>
            </w:pPr>
            <w:r>
              <w:rPr>
                <w:rFonts w:ascii="Times New Roman" w:hAnsi="Times New Roman"/>
                <w:i/>
                <w:sz w:val="24"/>
                <w:szCs w:val="24"/>
              </w:rPr>
              <w:t>Commercial &amp;</w:t>
            </w:r>
          </w:p>
          <w:p w14:paraId="0B3ED5BF"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Industrial, not including dwellings</w:t>
            </w:r>
          </w:p>
        </w:tc>
        <w:tc>
          <w:tcPr>
            <w:tcW w:w="5259" w:type="dxa"/>
            <w:vAlign w:val="center"/>
          </w:tcPr>
          <w:p w14:paraId="049AB8D0"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For each 5,000 square feet of gross floor area, or for each part of a 5,000 square feet interval. Not to exceed 1 set of commercial bathrooms.</w:t>
            </w:r>
          </w:p>
        </w:tc>
        <w:tc>
          <w:tcPr>
            <w:tcW w:w="1221" w:type="dxa"/>
            <w:vAlign w:val="center"/>
          </w:tcPr>
          <w:p w14:paraId="3EB0AE6C"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0.50</w:t>
            </w:r>
          </w:p>
        </w:tc>
      </w:tr>
      <w:tr w:rsidR="00153B50" w:rsidRPr="00BB230F" w14:paraId="0DD739EE" w14:textId="77777777" w:rsidTr="00153B50">
        <w:trPr>
          <w:trHeight w:val="2267"/>
        </w:trPr>
        <w:tc>
          <w:tcPr>
            <w:tcW w:w="8280" w:type="dxa"/>
            <w:gridSpan w:val="3"/>
            <w:vAlign w:val="center"/>
          </w:tcPr>
          <w:p w14:paraId="19C57F09" w14:textId="77777777" w:rsidR="00153B50" w:rsidRPr="00BB230F" w:rsidRDefault="00153B50" w:rsidP="00153B50">
            <w:pPr>
              <w:pStyle w:val="Compact"/>
              <w:ind w:left="-15"/>
              <w:jc w:val="both"/>
              <w:rPr>
                <w:rFonts w:ascii="Times New Roman" w:hAnsi="Times New Roman"/>
                <w:i/>
                <w:sz w:val="24"/>
                <w:szCs w:val="24"/>
              </w:rPr>
            </w:pPr>
            <w:r w:rsidRPr="00153B50">
              <w:rPr>
                <w:rFonts w:ascii="Times New Roman" w:hAnsi="Times New Roman"/>
                <w:i/>
                <w:sz w:val="24"/>
                <w:szCs w:val="24"/>
                <w:u w:val="single"/>
              </w:rPr>
              <w:t>Residential Notes</w:t>
            </w:r>
            <w:r w:rsidRPr="00BB230F">
              <w:rPr>
                <w:rFonts w:ascii="Times New Roman" w:hAnsi="Times New Roman"/>
                <w:i/>
                <w:sz w:val="24"/>
                <w:szCs w:val="24"/>
              </w:rPr>
              <w:t>: All bathrooms, halls, closets, storage and utility rooms within a unit will be included in the calculation of square footages.</w:t>
            </w:r>
          </w:p>
          <w:p w14:paraId="48A74A1F" w14:textId="77777777" w:rsidR="00153B50" w:rsidRPr="00153B50" w:rsidRDefault="00153B50" w:rsidP="00153B50">
            <w:pPr>
              <w:pStyle w:val="Compact"/>
              <w:ind w:left="-15"/>
              <w:jc w:val="both"/>
              <w:rPr>
                <w:rFonts w:ascii="Times New Roman" w:hAnsi="Times New Roman"/>
                <w:i/>
                <w:sz w:val="16"/>
                <w:szCs w:val="16"/>
              </w:rPr>
            </w:pPr>
          </w:p>
          <w:p w14:paraId="0F2EB4B5" w14:textId="5AA4C72C" w:rsidR="00153B50" w:rsidRPr="00153B50" w:rsidRDefault="00153B50" w:rsidP="00153B50">
            <w:pPr>
              <w:pStyle w:val="Compact"/>
              <w:ind w:left="-15"/>
              <w:jc w:val="both"/>
              <w:rPr>
                <w:rFonts w:ascii="Times New Roman" w:hAnsi="Times New Roman"/>
                <w:i/>
                <w:sz w:val="24"/>
                <w:szCs w:val="24"/>
              </w:rPr>
            </w:pPr>
            <w:r w:rsidRPr="00153B50">
              <w:rPr>
                <w:rFonts w:ascii="Times New Roman" w:hAnsi="Times New Roman"/>
                <w:i/>
                <w:sz w:val="24"/>
                <w:szCs w:val="24"/>
                <w:u w:val="single"/>
              </w:rPr>
              <w:t>Hotel/Motel Notes</w:t>
            </w:r>
            <w:r w:rsidRPr="00BB230F">
              <w:rPr>
                <w:rFonts w:ascii="Times New Roman" w:hAnsi="Times New Roman"/>
                <w:i/>
                <w:sz w:val="24"/>
                <w:szCs w:val="24"/>
              </w:rPr>
              <w:t>: Exterior hallways, common circulation and use areas, such as lobbies, elevators, storage areas, breakfast lobbies, conference rooms, banquet rooms, pools, spas, recreation facilities and other similar areas, will not be included in square feet calculation</w:t>
            </w:r>
          </w:p>
        </w:tc>
      </w:tr>
    </w:tbl>
    <w:p w14:paraId="3E8B144D" w14:textId="77777777" w:rsidR="00BB230F" w:rsidRPr="00BB230F" w:rsidRDefault="00BB230F" w:rsidP="00BB230F">
      <w:pPr>
        <w:pStyle w:val="Compact"/>
        <w:ind w:left="720"/>
        <w:rPr>
          <w:rFonts w:ascii="Times New Roman" w:hAnsi="Times New Roman" w:cs="Times New Roman"/>
          <w:i/>
        </w:rPr>
      </w:pPr>
    </w:p>
    <w:p w14:paraId="4D43D4D5" w14:textId="77777777" w:rsidR="00032ADE" w:rsidRPr="00020308" w:rsidRDefault="00032ADE" w:rsidP="00032ADE">
      <w:pPr>
        <w:widowControl w:val="0"/>
        <w:numPr>
          <w:ilvl w:val="0"/>
          <w:numId w:val="5"/>
        </w:numPr>
        <w:spacing w:after="0"/>
        <w:ind w:left="0" w:firstLine="0"/>
        <w:contextualSpacing/>
        <w:jc w:val="both"/>
        <w:rPr>
          <w:rFonts w:ascii="Times New Roman" w:eastAsia="Calibri" w:hAnsi="Times New Roman" w:cs="Times New Roman"/>
        </w:rPr>
      </w:pPr>
      <w:r w:rsidRPr="00020308">
        <w:rPr>
          <w:rFonts w:ascii="Times New Roman" w:eastAsia="Calibri" w:hAnsi="Times New Roman" w:cs="Times New Roman"/>
        </w:rPr>
        <w:t>REPEALER.  This Ordinance shall repeal and supersede all prior ordinances and resolutions governing the same.</w:t>
      </w:r>
    </w:p>
    <w:p w14:paraId="3E48BC1B" w14:textId="77777777" w:rsidR="00032ADE" w:rsidRPr="00020308" w:rsidRDefault="00032ADE" w:rsidP="00032ADE">
      <w:pPr>
        <w:spacing w:after="0"/>
        <w:contextualSpacing/>
        <w:jc w:val="both"/>
        <w:rPr>
          <w:rFonts w:ascii="Times New Roman" w:eastAsia="Calibri" w:hAnsi="Times New Roman" w:cs="Times New Roman"/>
        </w:rPr>
      </w:pPr>
    </w:p>
    <w:p w14:paraId="076531A7" w14:textId="59400090" w:rsidR="00032ADE" w:rsidRPr="00153B50" w:rsidRDefault="00032ADE" w:rsidP="00032ADE">
      <w:pPr>
        <w:widowControl w:val="0"/>
        <w:numPr>
          <w:ilvl w:val="0"/>
          <w:numId w:val="5"/>
        </w:numPr>
        <w:spacing w:after="0"/>
        <w:ind w:left="0" w:firstLine="0"/>
        <w:contextualSpacing/>
        <w:jc w:val="both"/>
        <w:rPr>
          <w:rFonts w:ascii="Times New Roman" w:eastAsia="Calibri" w:hAnsi="Times New Roman" w:cs="Times New Roman"/>
        </w:rPr>
      </w:pPr>
      <w:r w:rsidRPr="00020308">
        <w:rPr>
          <w:rFonts w:ascii="Times New Roman" w:eastAsia="Calibri" w:hAnsi="Times New Roman" w:cs="Times New Roman"/>
          <w:color w:val="000000"/>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 </w:t>
      </w:r>
    </w:p>
    <w:p w14:paraId="502E7EFA" w14:textId="77777777" w:rsidR="00032ADE" w:rsidRPr="00020308" w:rsidRDefault="00032ADE" w:rsidP="00032ADE">
      <w:pPr>
        <w:spacing w:after="0"/>
        <w:contextualSpacing/>
        <w:jc w:val="both"/>
        <w:rPr>
          <w:rFonts w:ascii="Times New Roman" w:eastAsia="Calibri" w:hAnsi="Times New Roman" w:cs="Times New Roman"/>
        </w:rPr>
      </w:pPr>
    </w:p>
    <w:p w14:paraId="22CA1636" w14:textId="77777777" w:rsidR="00032ADE" w:rsidRPr="00020308" w:rsidRDefault="00032ADE" w:rsidP="00032ADE">
      <w:pPr>
        <w:widowControl w:val="0"/>
        <w:numPr>
          <w:ilvl w:val="0"/>
          <w:numId w:val="5"/>
        </w:numPr>
        <w:spacing w:after="0"/>
        <w:ind w:left="0" w:firstLine="0"/>
        <w:contextualSpacing/>
        <w:jc w:val="both"/>
        <w:rPr>
          <w:rFonts w:ascii="Times New Roman" w:eastAsia="Calibri" w:hAnsi="Times New Roman" w:cs="Times New Roman"/>
        </w:rPr>
      </w:pPr>
      <w:r w:rsidRPr="00020308">
        <w:rPr>
          <w:rFonts w:ascii="Times New Roman" w:eastAsia="Calibri" w:hAnsi="Times New Roman" w:cs="Times New Roman"/>
        </w:rPr>
        <w:t>EFFECTIVE DATE. This Ordinance shall take effect immediately upon approval by the City Council.</w:t>
      </w:r>
    </w:p>
    <w:p w14:paraId="3DC2E3D8" w14:textId="77777777"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02FD7B79"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lastRenderedPageBreak/>
        <w:t>PASSED</w:t>
      </w:r>
      <w:r w:rsidR="00956915">
        <w:rPr>
          <w:rFonts w:ascii="Times New Roman" w:eastAsia="Times New Roman" w:hAnsi="Times New Roman" w:cs="Times New Roman"/>
          <w:color w:val="000000"/>
        </w:rPr>
        <w:t xml:space="preserve"> AND APPROVED</w:t>
      </w:r>
      <w:r w:rsidR="00153B50">
        <w:rPr>
          <w:rFonts w:ascii="Times New Roman" w:eastAsia="Times New Roman" w:hAnsi="Times New Roman" w:cs="Times New Roman"/>
          <w:color w:val="000000"/>
        </w:rPr>
        <w:t xml:space="preserve"> this </w:t>
      </w:r>
      <w:r w:rsidR="00153B50">
        <w:rPr>
          <w:rFonts w:ascii="Times New Roman" w:eastAsia="Times New Roman" w:hAnsi="Times New Roman" w:cs="Times New Roman"/>
          <w:color w:val="000000"/>
          <w:u w:val="single"/>
        </w:rPr>
        <w:tab/>
      </w:r>
      <w:r w:rsidR="00153B50">
        <w:rPr>
          <w:rFonts w:ascii="Times New Roman" w:eastAsia="Times New Roman" w:hAnsi="Times New Roman" w:cs="Times New Roman"/>
          <w:color w:val="000000"/>
          <w:u w:val="single"/>
        </w:rPr>
        <w:tab/>
      </w:r>
      <w:r w:rsidR="00153B50">
        <w:rPr>
          <w:rFonts w:ascii="Times New Roman" w:eastAsia="Times New Roman" w:hAnsi="Times New Roman" w:cs="Times New Roman"/>
          <w:color w:val="000000"/>
        </w:rPr>
        <w:t xml:space="preserve"> day of November, 2021</w:t>
      </w:r>
      <w:r w:rsidRPr="00020308">
        <w:rPr>
          <w:rFonts w:ascii="Times New Roman" w:eastAsia="Times New Roman" w:hAnsi="Times New Roman" w:cs="Times New Roman"/>
          <w:color w:val="000000"/>
        </w:rPr>
        <w:t xml:space="preserve">.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774204FC"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Lynn Chamberlain, Mayor</w:t>
      </w:r>
      <w:r w:rsidRPr="0016169B">
        <w:rPr>
          <w:rFonts w:ascii="Times New Roman" w:eastAsia="Calibri" w:hAnsi="Times New Roman" w:cs="Times New Roman"/>
        </w:rPr>
        <w:tab/>
      </w:r>
      <w:r w:rsidRPr="0016169B">
        <w:rPr>
          <w:rFonts w:ascii="Times New Roman" w:eastAsia="Calibri" w:hAnsi="Times New Roman" w:cs="Times New Roman"/>
        </w:rPr>
        <w:tab/>
      </w:r>
      <w:r w:rsidRPr="0016169B">
        <w:rPr>
          <w:rFonts w:ascii="Times New Roman" w:eastAsia="Calibri" w:hAnsi="Times New Roman" w:cs="Times New Roman"/>
        </w:rPr>
        <w:tab/>
      </w:r>
      <w:r w:rsidRPr="0016169B">
        <w:rPr>
          <w:rFonts w:ascii="Times New Roman" w:eastAsia="Calibri" w:hAnsi="Times New Roman" w:cs="Times New Roman"/>
        </w:rPr>
        <w:tab/>
      </w:r>
      <w:r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6C0A5675" w:rsidR="00032ADE" w:rsidRDefault="00032ADE" w:rsidP="00032ADE">
      <w:pPr>
        <w:spacing w:after="0"/>
        <w:rPr>
          <w:rFonts w:ascii="Times New Roman" w:eastAsia="Calibri" w:hAnsi="Times New Roman" w:cs="Times New Roman"/>
        </w:rPr>
      </w:pPr>
    </w:p>
    <w:p w14:paraId="63A3C342" w14:textId="77777777" w:rsidR="00B7093E" w:rsidRPr="0016169B" w:rsidRDefault="00B7093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7777777" w:rsidR="00032ADE" w:rsidRDefault="00032ADE" w:rsidP="00032ADE"/>
    <w:sectPr w:rsidR="00032ADE" w:rsidSect="00153B50">
      <w:footerReference w:type="default" r:id="rId8"/>
      <w:pgSz w:w="12240" w:h="15840"/>
      <w:pgMar w:top="1440" w:right="1440" w:bottom="1440" w:left="1440" w:header="432" w:footer="7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1D5BC" w14:textId="77777777" w:rsidR="00425C63" w:rsidRDefault="00425C63">
      <w:pPr>
        <w:spacing w:after="0"/>
      </w:pPr>
      <w:r>
        <w:separator/>
      </w:r>
    </w:p>
  </w:endnote>
  <w:endnote w:type="continuationSeparator" w:id="0">
    <w:p w14:paraId="74B14674" w14:textId="77777777" w:rsidR="00425C63" w:rsidRDefault="00425C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BF6F" w14:textId="27400441" w:rsidR="00153B50" w:rsidRPr="00153B50" w:rsidRDefault="00153B50" w:rsidP="00153B50">
    <w:pPr>
      <w:pStyle w:val="Footer"/>
      <w:jc w:val="center"/>
      <w:rPr>
        <w:rFonts w:ascii="Times New Roman" w:hAnsi="Times New Roman" w:cs="Times New Roman"/>
      </w:rPr>
    </w:pPr>
    <w:r w:rsidRPr="00153B50">
      <w:rPr>
        <w:rFonts w:ascii="Times New Roman" w:hAnsi="Times New Roman" w:cs="Times New Roman"/>
      </w:rPr>
      <w:fldChar w:fldCharType="begin"/>
    </w:r>
    <w:r w:rsidRPr="00153B50">
      <w:rPr>
        <w:rFonts w:ascii="Times New Roman" w:hAnsi="Times New Roman" w:cs="Times New Roman"/>
      </w:rPr>
      <w:instrText xml:space="preserve"> PAGE   \* MERGEFORMAT </w:instrText>
    </w:r>
    <w:r w:rsidRPr="00153B50">
      <w:rPr>
        <w:rFonts w:ascii="Times New Roman" w:hAnsi="Times New Roman" w:cs="Times New Roman"/>
      </w:rPr>
      <w:fldChar w:fldCharType="separate"/>
    </w:r>
    <w:r w:rsidR="00C60E23">
      <w:rPr>
        <w:rFonts w:ascii="Times New Roman" w:hAnsi="Times New Roman" w:cs="Times New Roman"/>
        <w:noProof/>
      </w:rPr>
      <w:t>1</w:t>
    </w:r>
    <w:r w:rsidRPr="00153B50">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0BC42" w14:textId="77777777" w:rsidR="00425C63" w:rsidRDefault="00425C63">
      <w:r>
        <w:separator/>
      </w:r>
    </w:p>
  </w:footnote>
  <w:footnote w:type="continuationSeparator" w:id="0">
    <w:p w14:paraId="7F91E3C5" w14:textId="77777777" w:rsidR="00425C63" w:rsidRDefault="00425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1B2"/>
    <w:rsid w:val="00011C8B"/>
    <w:rsid w:val="00032ADE"/>
    <w:rsid w:val="00153B50"/>
    <w:rsid w:val="0016169B"/>
    <w:rsid w:val="0028719B"/>
    <w:rsid w:val="00332FD8"/>
    <w:rsid w:val="00346A7C"/>
    <w:rsid w:val="003622A2"/>
    <w:rsid w:val="00397447"/>
    <w:rsid w:val="0041133E"/>
    <w:rsid w:val="00425C63"/>
    <w:rsid w:val="0048514B"/>
    <w:rsid w:val="004C3A97"/>
    <w:rsid w:val="004E29B3"/>
    <w:rsid w:val="00540568"/>
    <w:rsid w:val="00590D07"/>
    <w:rsid w:val="00596074"/>
    <w:rsid w:val="005E24F9"/>
    <w:rsid w:val="00682038"/>
    <w:rsid w:val="006C1646"/>
    <w:rsid w:val="007362AA"/>
    <w:rsid w:val="00784D58"/>
    <w:rsid w:val="00786734"/>
    <w:rsid w:val="00812B57"/>
    <w:rsid w:val="00896144"/>
    <w:rsid w:val="008D6863"/>
    <w:rsid w:val="00914561"/>
    <w:rsid w:val="00941003"/>
    <w:rsid w:val="00953996"/>
    <w:rsid w:val="00956915"/>
    <w:rsid w:val="00A2530D"/>
    <w:rsid w:val="00A74D5D"/>
    <w:rsid w:val="00A7762C"/>
    <w:rsid w:val="00B7093E"/>
    <w:rsid w:val="00B86B75"/>
    <w:rsid w:val="00BA1770"/>
    <w:rsid w:val="00BB230F"/>
    <w:rsid w:val="00BC48D5"/>
    <w:rsid w:val="00C36279"/>
    <w:rsid w:val="00C60E23"/>
    <w:rsid w:val="00D37746"/>
    <w:rsid w:val="00D65DD7"/>
    <w:rsid w:val="00D74AFC"/>
    <w:rsid w:val="00E315A3"/>
    <w:rsid w:val="00F25A3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3</cp:revision>
  <cp:lastPrinted>2021-12-02T21:41:00Z</cp:lastPrinted>
  <dcterms:created xsi:type="dcterms:W3CDTF">2021-11-10T18:08:00Z</dcterms:created>
  <dcterms:modified xsi:type="dcterms:W3CDTF">2021-12-02T22:23:00Z</dcterms:modified>
</cp:coreProperties>
</file>