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2535C" w14:textId="718B6203" w:rsidR="005F1CC2" w:rsidRDefault="005F1CC2" w:rsidP="005F1CC2">
      <w:pPr>
        <w:spacing w:after="0"/>
        <w:rPr>
          <w:rFonts w:ascii="Georgia" w:hAnsi="Georgia"/>
          <w:b/>
          <w:bCs/>
          <w:sz w:val="20"/>
          <w:szCs w:val="20"/>
        </w:rPr>
      </w:pPr>
      <w:bookmarkStart w:id="0" w:name="_Hlk87605262"/>
      <w:r>
        <w:rPr>
          <w:rFonts w:ascii="Georgia" w:hAnsi="Georgia"/>
          <w:b/>
          <w:bCs/>
          <w:sz w:val="20"/>
          <w:szCs w:val="20"/>
        </w:rPr>
        <w:t xml:space="preserve">Request for Proposal: Mountain Accord Central Wasatch Commission Situational Assessment and Facilitation of Path Forward </w:t>
      </w:r>
    </w:p>
    <w:p w14:paraId="0B3BF2C5" w14:textId="7C67F32B" w:rsidR="005F1CC2" w:rsidRDefault="005F1CC2" w:rsidP="005F1CC2">
      <w:pPr>
        <w:spacing w:after="0"/>
        <w:rPr>
          <w:rFonts w:ascii="Georgia" w:hAnsi="Georgia"/>
          <w:b/>
          <w:bCs/>
          <w:sz w:val="20"/>
          <w:szCs w:val="20"/>
        </w:rPr>
      </w:pPr>
    </w:p>
    <w:p w14:paraId="3AE8C530" w14:textId="0E400F23" w:rsidR="005F1CC2" w:rsidRDefault="005F1CC2" w:rsidP="005F1CC2">
      <w:pPr>
        <w:spacing w:after="0"/>
        <w:rPr>
          <w:rFonts w:ascii="Georgia" w:hAnsi="Georgia"/>
          <w:b/>
          <w:bCs/>
          <w:sz w:val="20"/>
          <w:szCs w:val="20"/>
        </w:rPr>
      </w:pPr>
      <w:r>
        <w:rPr>
          <w:rFonts w:ascii="Georgia" w:hAnsi="Georgia"/>
          <w:b/>
          <w:bCs/>
          <w:sz w:val="20"/>
          <w:szCs w:val="20"/>
        </w:rPr>
        <w:t>Requested by The Central Wasatch Commission Board of Commissioners (Retreat 11.5.2021)</w:t>
      </w:r>
    </w:p>
    <w:p w14:paraId="4A916ACF" w14:textId="699C9073" w:rsidR="005F1CC2" w:rsidRDefault="005F1CC2" w:rsidP="005F1CC2">
      <w:pPr>
        <w:spacing w:after="0"/>
        <w:rPr>
          <w:rFonts w:ascii="Georgia" w:hAnsi="Georgia"/>
          <w:b/>
          <w:bCs/>
          <w:sz w:val="20"/>
          <w:szCs w:val="20"/>
        </w:rPr>
      </w:pPr>
    </w:p>
    <w:p w14:paraId="365E761A" w14:textId="54D50797" w:rsidR="005F1CC2" w:rsidRDefault="005F1CC2" w:rsidP="005F1CC2">
      <w:pPr>
        <w:spacing w:after="0"/>
        <w:rPr>
          <w:rFonts w:ascii="Georgia" w:hAnsi="Georgia"/>
          <w:b/>
          <w:bCs/>
          <w:sz w:val="20"/>
          <w:szCs w:val="20"/>
        </w:rPr>
      </w:pPr>
      <w:r>
        <w:rPr>
          <w:rFonts w:ascii="Georgia" w:hAnsi="Georgia"/>
          <w:b/>
          <w:bCs/>
          <w:sz w:val="20"/>
          <w:szCs w:val="20"/>
        </w:rPr>
        <w:t>Section 2.02 Project Specifications</w:t>
      </w:r>
    </w:p>
    <w:p w14:paraId="0B91125C" w14:textId="04A5A073" w:rsidR="005F1CC2" w:rsidRDefault="005F1CC2" w:rsidP="005F1CC2">
      <w:pPr>
        <w:spacing w:after="0"/>
        <w:rPr>
          <w:rFonts w:ascii="Georgia" w:hAnsi="Georgia"/>
          <w:b/>
          <w:bCs/>
          <w:sz w:val="20"/>
          <w:szCs w:val="20"/>
        </w:rPr>
      </w:pPr>
      <w:r>
        <w:rPr>
          <w:rFonts w:ascii="Georgia" w:hAnsi="Georgia"/>
          <w:b/>
          <w:bCs/>
          <w:sz w:val="20"/>
          <w:szCs w:val="20"/>
        </w:rPr>
        <w:t>Synopsis Mountain Accord Chart</w:t>
      </w:r>
    </w:p>
    <w:p w14:paraId="61090835" w14:textId="761ECBB1" w:rsidR="005F1CC2" w:rsidRPr="00507088" w:rsidRDefault="005F1CC2" w:rsidP="00507088">
      <w:pPr>
        <w:spacing w:after="0"/>
        <w:rPr>
          <w:rFonts w:ascii="Georgia" w:hAnsi="Georgia"/>
          <w:b/>
          <w:bCs/>
          <w:sz w:val="20"/>
          <w:szCs w:val="20"/>
        </w:rPr>
      </w:pPr>
      <w:r>
        <w:rPr>
          <w:rFonts w:ascii="Georgia" w:hAnsi="Georgia"/>
          <w:b/>
          <w:bCs/>
          <w:sz w:val="20"/>
          <w:szCs w:val="20"/>
        </w:rPr>
        <w:t xml:space="preserve">CWC Issues </w:t>
      </w:r>
    </w:p>
    <w:p w14:paraId="00B7E303" w14:textId="75360FC2" w:rsidR="005F1CC2" w:rsidRDefault="00507088" w:rsidP="00507088">
      <w:pPr>
        <w:spacing w:after="0"/>
        <w:rPr>
          <w:b/>
          <w:bCs/>
          <w:sz w:val="28"/>
          <w:szCs w:val="28"/>
        </w:rPr>
      </w:pPr>
      <w:r>
        <w:rPr>
          <w:b/>
          <w:bCs/>
          <w:sz w:val="28"/>
          <w:szCs w:val="28"/>
        </w:rPr>
        <w:t>________________________________________________________________________</w:t>
      </w:r>
    </w:p>
    <w:p w14:paraId="272E57A6" w14:textId="2A2C4DF8" w:rsidR="00BF2897" w:rsidRPr="00507088" w:rsidRDefault="00B079E6" w:rsidP="00507088">
      <w:pPr>
        <w:spacing w:after="0"/>
        <w:rPr>
          <w:b/>
          <w:bCs/>
          <w:sz w:val="20"/>
          <w:szCs w:val="20"/>
        </w:rPr>
      </w:pPr>
      <w:r w:rsidRPr="00507088">
        <w:rPr>
          <w:b/>
          <w:bCs/>
          <w:sz w:val="20"/>
          <w:szCs w:val="20"/>
        </w:rPr>
        <w:t>Synopsis</w:t>
      </w:r>
      <w:r w:rsidRPr="00507088">
        <w:rPr>
          <w:rStyle w:val="EndnoteReference"/>
          <w:b/>
          <w:bCs/>
          <w:sz w:val="20"/>
          <w:szCs w:val="20"/>
        </w:rPr>
        <w:t xml:space="preserve"> </w:t>
      </w:r>
      <w:r w:rsidR="00151856" w:rsidRPr="00507088">
        <w:rPr>
          <w:rStyle w:val="EndnoteReference"/>
          <w:b/>
          <w:bCs/>
          <w:sz w:val="20"/>
          <w:szCs w:val="20"/>
        </w:rPr>
        <w:endnoteReference w:id="1"/>
      </w:r>
      <w:r w:rsidR="00B24108" w:rsidRPr="00507088">
        <w:rPr>
          <w:b/>
          <w:bCs/>
          <w:sz w:val="20"/>
          <w:szCs w:val="20"/>
        </w:rPr>
        <w:t xml:space="preserve"> </w:t>
      </w:r>
    </w:p>
    <w:p w14:paraId="0E348703" w14:textId="1D6BFB8F" w:rsidR="00151856" w:rsidRPr="00507088" w:rsidRDefault="00151856" w:rsidP="005F1CC2">
      <w:pPr>
        <w:spacing w:after="0"/>
        <w:rPr>
          <w:sz w:val="20"/>
          <w:szCs w:val="20"/>
        </w:rPr>
      </w:pPr>
      <w:r w:rsidRPr="00507088">
        <w:rPr>
          <w:b/>
          <w:bCs/>
          <w:sz w:val="20"/>
          <w:szCs w:val="20"/>
        </w:rPr>
        <w:t>Mountain Accord Charter</w:t>
      </w:r>
    </w:p>
    <w:p w14:paraId="25616136" w14:textId="1148353D" w:rsidR="00151856" w:rsidRPr="00507088" w:rsidRDefault="00151856" w:rsidP="008A2B53">
      <w:pPr>
        <w:spacing w:after="0"/>
        <w:rPr>
          <w:rFonts w:ascii="Georgia" w:hAnsi="Georgia"/>
          <w:sz w:val="20"/>
          <w:szCs w:val="20"/>
        </w:rPr>
      </w:pPr>
      <w:r w:rsidRPr="00507088">
        <w:rPr>
          <w:rFonts w:ascii="Georgia" w:hAnsi="Georgia"/>
          <w:sz w:val="20"/>
          <w:szCs w:val="20"/>
        </w:rPr>
        <w:t>In July 2015, all major public and private interests in the Central Wasatch Mountains signed Mountain Accord. The Agreement called for specific actions to be implemented, reflecting three years of discussion, analysis, and collaboration. Tradeoffs and compromises for the benefit of the Mountains and the users were interrelated; they would not have happened piecemeal and were considered in the context of the broader Agreement.</w:t>
      </w:r>
    </w:p>
    <w:p w14:paraId="07F791A0" w14:textId="3F9A51D6" w:rsidR="00151856" w:rsidRPr="00507088" w:rsidRDefault="00151856" w:rsidP="008A2B53">
      <w:pPr>
        <w:spacing w:after="0"/>
        <w:rPr>
          <w:rFonts w:ascii="Georgia" w:hAnsi="Georgia"/>
          <w:sz w:val="20"/>
          <w:szCs w:val="20"/>
        </w:rPr>
      </w:pPr>
    </w:p>
    <w:p w14:paraId="1E4246C0" w14:textId="6F0D0359" w:rsidR="00151856" w:rsidRPr="00507088" w:rsidRDefault="00151856" w:rsidP="008A2B53">
      <w:pPr>
        <w:spacing w:after="0"/>
        <w:rPr>
          <w:rFonts w:ascii="Georgia" w:hAnsi="Georgia"/>
          <w:b/>
          <w:bCs/>
          <w:sz w:val="20"/>
          <w:szCs w:val="20"/>
          <w:u w:val="single"/>
        </w:rPr>
      </w:pPr>
      <w:r w:rsidRPr="00507088">
        <w:rPr>
          <w:rFonts w:ascii="Georgia" w:hAnsi="Georgia"/>
          <w:b/>
          <w:bCs/>
          <w:sz w:val="20"/>
          <w:szCs w:val="20"/>
          <w:u w:val="single"/>
        </w:rPr>
        <w:t>Purposes</w:t>
      </w:r>
      <w:r w:rsidRPr="00507088">
        <w:rPr>
          <w:rStyle w:val="EndnoteReference"/>
          <w:rFonts w:ascii="Georgia" w:hAnsi="Georgia"/>
          <w:b/>
          <w:bCs/>
          <w:sz w:val="20"/>
          <w:szCs w:val="20"/>
          <w:u w:val="single"/>
        </w:rPr>
        <w:endnoteReference w:id="2"/>
      </w:r>
    </w:p>
    <w:p w14:paraId="2ECDDD43" w14:textId="388ABF0C" w:rsidR="00151856" w:rsidRPr="00507088" w:rsidRDefault="00151856" w:rsidP="002A6955">
      <w:pPr>
        <w:spacing w:after="0"/>
        <w:rPr>
          <w:rFonts w:ascii="Georgia" w:hAnsi="Georgia"/>
          <w:sz w:val="20"/>
          <w:szCs w:val="20"/>
        </w:rPr>
      </w:pPr>
      <w:r w:rsidRPr="00507088">
        <w:rPr>
          <w:rFonts w:ascii="Georgia" w:hAnsi="Georgia"/>
          <w:sz w:val="20"/>
          <w:szCs w:val="20"/>
        </w:rPr>
        <w:t>The Purposes were intended to provide a framework for the specific actions of Mountain Accord. This section represents consensus positions of all levels of government and the private sector:</w:t>
      </w:r>
      <w:r w:rsidRPr="00507088">
        <w:rPr>
          <w:rStyle w:val="EndnoteReference"/>
          <w:rFonts w:ascii="Georgia" w:hAnsi="Georgia"/>
          <w:sz w:val="20"/>
          <w:szCs w:val="20"/>
        </w:rPr>
        <w:endnoteReference w:id="3"/>
      </w:r>
    </w:p>
    <w:p w14:paraId="7C0A56A3" w14:textId="6633860D" w:rsidR="00151856" w:rsidRPr="00507088" w:rsidRDefault="00151856" w:rsidP="002A6955">
      <w:pPr>
        <w:pStyle w:val="ListParagraph"/>
        <w:numPr>
          <w:ilvl w:val="0"/>
          <w:numId w:val="1"/>
        </w:numPr>
        <w:spacing w:after="0"/>
        <w:rPr>
          <w:rFonts w:ascii="Georgia" w:hAnsi="Georgia"/>
          <w:sz w:val="20"/>
          <w:szCs w:val="20"/>
        </w:rPr>
      </w:pPr>
      <w:r w:rsidRPr="00507088">
        <w:rPr>
          <w:rFonts w:ascii="Georgia" w:hAnsi="Georgia"/>
          <w:sz w:val="20"/>
          <w:szCs w:val="20"/>
        </w:rPr>
        <w:t>framework of landscape-scale, long-term context and a transportation system that serves water, lands, environment, recreation, and economy</w:t>
      </w:r>
      <w:r w:rsidR="00905F8B" w:rsidRPr="00507088">
        <w:rPr>
          <w:rFonts w:ascii="Georgia" w:hAnsi="Georgia"/>
          <w:sz w:val="20"/>
          <w:szCs w:val="20"/>
        </w:rPr>
        <w:t>.</w:t>
      </w:r>
      <w:r w:rsidRPr="00507088">
        <w:rPr>
          <w:rStyle w:val="EndnoteReference"/>
          <w:rFonts w:ascii="Georgia" w:hAnsi="Georgia"/>
          <w:sz w:val="20"/>
          <w:szCs w:val="20"/>
        </w:rPr>
        <w:endnoteReference w:id="4"/>
      </w:r>
    </w:p>
    <w:p w14:paraId="3088141E" w14:textId="414676F5" w:rsidR="00151856" w:rsidRPr="00507088" w:rsidRDefault="00151856" w:rsidP="00616FB4">
      <w:pPr>
        <w:pStyle w:val="ListParagraph"/>
        <w:numPr>
          <w:ilvl w:val="0"/>
          <w:numId w:val="1"/>
        </w:numPr>
        <w:rPr>
          <w:rFonts w:ascii="Georgia" w:hAnsi="Georgia"/>
          <w:sz w:val="20"/>
          <w:szCs w:val="20"/>
        </w:rPr>
      </w:pPr>
      <w:r w:rsidRPr="00507088">
        <w:rPr>
          <w:rFonts w:ascii="Georgia" w:hAnsi="Georgia"/>
          <w:sz w:val="20"/>
          <w:szCs w:val="20"/>
        </w:rPr>
        <w:t>pursuit of federal lands designations and land exchanges through Congressional action</w:t>
      </w:r>
      <w:r w:rsidR="00905F8B" w:rsidRPr="00507088">
        <w:rPr>
          <w:rFonts w:ascii="Georgia" w:hAnsi="Georgia"/>
          <w:sz w:val="20"/>
          <w:szCs w:val="20"/>
        </w:rPr>
        <w:t>.</w:t>
      </w:r>
      <w:r w:rsidRPr="00507088">
        <w:rPr>
          <w:rStyle w:val="EndnoteReference"/>
          <w:rFonts w:ascii="Georgia" w:hAnsi="Georgia"/>
          <w:sz w:val="20"/>
          <w:szCs w:val="20"/>
        </w:rPr>
        <w:endnoteReference w:id="5"/>
      </w:r>
    </w:p>
    <w:p w14:paraId="62B97256" w14:textId="42EF23BB" w:rsidR="00151856" w:rsidRPr="00507088" w:rsidRDefault="00151856" w:rsidP="00616FB4">
      <w:pPr>
        <w:pStyle w:val="ListParagraph"/>
        <w:numPr>
          <w:ilvl w:val="0"/>
          <w:numId w:val="1"/>
        </w:numPr>
        <w:rPr>
          <w:rFonts w:ascii="Georgia" w:hAnsi="Georgia"/>
          <w:sz w:val="20"/>
          <w:szCs w:val="20"/>
        </w:rPr>
      </w:pPr>
      <w:r w:rsidRPr="00507088">
        <w:rPr>
          <w:rFonts w:ascii="Georgia" w:hAnsi="Georgia"/>
          <w:sz w:val="20"/>
          <w:szCs w:val="20"/>
        </w:rPr>
        <w:t>pursuit of and support for Mountain Accord actions, seeking:</w:t>
      </w:r>
      <w:r w:rsidRPr="00507088">
        <w:rPr>
          <w:rStyle w:val="EndnoteReference"/>
          <w:rFonts w:ascii="Georgia" w:hAnsi="Georgia"/>
          <w:sz w:val="20"/>
          <w:szCs w:val="20"/>
        </w:rPr>
        <w:endnoteReference w:id="6"/>
      </w:r>
    </w:p>
    <w:p w14:paraId="7FE39452" w14:textId="70492FBF" w:rsidR="00151856" w:rsidRPr="00507088" w:rsidRDefault="00151856" w:rsidP="009E66A2">
      <w:pPr>
        <w:pStyle w:val="ListParagraph"/>
        <w:numPr>
          <w:ilvl w:val="1"/>
          <w:numId w:val="1"/>
        </w:numPr>
        <w:rPr>
          <w:rFonts w:ascii="Georgia" w:hAnsi="Georgia"/>
          <w:sz w:val="20"/>
          <w:szCs w:val="20"/>
        </w:rPr>
      </w:pPr>
      <w:r w:rsidRPr="00507088">
        <w:rPr>
          <w:rFonts w:ascii="Georgia" w:hAnsi="Georgia"/>
          <w:sz w:val="20"/>
          <w:szCs w:val="20"/>
        </w:rPr>
        <w:t xml:space="preserve">an ecosystem and recreation system providing a range of settings and uses at locations with access while protecting solitude and backcountry values </w:t>
      </w:r>
    </w:p>
    <w:p w14:paraId="32A495A1" w14:textId="0EFE8072" w:rsidR="00151856" w:rsidRPr="00507088" w:rsidRDefault="00151856" w:rsidP="009E66A2">
      <w:pPr>
        <w:pStyle w:val="ListParagraph"/>
        <w:numPr>
          <w:ilvl w:val="1"/>
          <w:numId w:val="1"/>
        </w:numPr>
        <w:rPr>
          <w:rFonts w:ascii="Georgia" w:hAnsi="Georgia"/>
          <w:sz w:val="20"/>
          <w:szCs w:val="20"/>
        </w:rPr>
      </w:pPr>
      <w:r w:rsidRPr="00507088">
        <w:rPr>
          <w:rFonts w:ascii="Georgia" w:hAnsi="Georgia"/>
          <w:sz w:val="20"/>
          <w:szCs w:val="20"/>
        </w:rPr>
        <w:t xml:space="preserve">a year-round sustainable, safe, efficient, multi-modal transportation system connected to the regional network, serving the array of users and the environment </w:t>
      </w:r>
    </w:p>
    <w:p w14:paraId="6F0C342C" w14:textId="063434BB" w:rsidR="00151856" w:rsidRPr="00507088" w:rsidRDefault="00151856" w:rsidP="009E66A2">
      <w:pPr>
        <w:pStyle w:val="ListParagraph"/>
        <w:numPr>
          <w:ilvl w:val="1"/>
          <w:numId w:val="1"/>
        </w:numPr>
        <w:rPr>
          <w:rFonts w:ascii="Georgia" w:hAnsi="Georgia"/>
          <w:sz w:val="20"/>
          <w:szCs w:val="20"/>
        </w:rPr>
      </w:pPr>
      <w:r w:rsidRPr="00507088">
        <w:rPr>
          <w:rFonts w:ascii="Georgia" w:hAnsi="Georgia"/>
          <w:sz w:val="20"/>
          <w:szCs w:val="20"/>
        </w:rPr>
        <w:t>economic prosperity fostering a quality of life for visitors and residents.</w:t>
      </w:r>
      <w:r w:rsidRPr="00507088">
        <w:rPr>
          <w:rStyle w:val="EndnoteReference"/>
          <w:rFonts w:ascii="Georgia" w:hAnsi="Georgia"/>
          <w:sz w:val="20"/>
          <w:szCs w:val="20"/>
        </w:rPr>
        <w:endnoteReference w:id="7"/>
      </w:r>
    </w:p>
    <w:p w14:paraId="5BEE6FBD" w14:textId="22C9D490" w:rsidR="00151856" w:rsidRPr="00507088" w:rsidRDefault="00151856" w:rsidP="002A6955">
      <w:pPr>
        <w:tabs>
          <w:tab w:val="left" w:pos="2925"/>
        </w:tabs>
        <w:spacing w:after="0"/>
        <w:rPr>
          <w:rFonts w:ascii="Georgia" w:hAnsi="Georgia"/>
          <w:b/>
          <w:bCs/>
          <w:sz w:val="20"/>
          <w:szCs w:val="20"/>
          <w:u w:val="single"/>
        </w:rPr>
      </w:pPr>
      <w:r w:rsidRPr="00507088">
        <w:rPr>
          <w:rFonts w:ascii="Georgia" w:hAnsi="Georgia"/>
          <w:b/>
          <w:bCs/>
          <w:sz w:val="20"/>
          <w:szCs w:val="20"/>
          <w:u w:val="single"/>
        </w:rPr>
        <w:t>Intended Outcomes</w:t>
      </w:r>
      <w:r w:rsidRPr="00507088">
        <w:rPr>
          <w:rStyle w:val="EndnoteReference"/>
          <w:rFonts w:ascii="Georgia" w:hAnsi="Georgia"/>
          <w:sz w:val="20"/>
          <w:szCs w:val="20"/>
        </w:rPr>
        <w:endnoteReference w:id="8"/>
      </w:r>
    </w:p>
    <w:p w14:paraId="256227CD" w14:textId="2804890E" w:rsidR="00151856" w:rsidRPr="00507088" w:rsidRDefault="00151856" w:rsidP="002A6955">
      <w:pPr>
        <w:tabs>
          <w:tab w:val="left" w:pos="2925"/>
        </w:tabs>
        <w:spacing w:after="0"/>
        <w:rPr>
          <w:rFonts w:ascii="Georgia" w:hAnsi="Georgia"/>
          <w:sz w:val="20"/>
          <w:szCs w:val="20"/>
        </w:rPr>
      </w:pPr>
      <w:r w:rsidRPr="00507088">
        <w:rPr>
          <w:rFonts w:ascii="Georgia" w:hAnsi="Georgia"/>
          <w:sz w:val="20"/>
          <w:szCs w:val="20"/>
        </w:rPr>
        <w:t>Specific outcomes prioritize certain actions:</w:t>
      </w:r>
    </w:p>
    <w:p w14:paraId="510AB4ED" w14:textId="2AECB5F0" w:rsidR="00151856" w:rsidRPr="00507088" w:rsidRDefault="00151856" w:rsidP="002A6955">
      <w:pPr>
        <w:pStyle w:val="ListParagraph"/>
        <w:numPr>
          <w:ilvl w:val="0"/>
          <w:numId w:val="2"/>
        </w:numPr>
        <w:tabs>
          <w:tab w:val="left" w:pos="2925"/>
        </w:tabs>
        <w:spacing w:after="0"/>
        <w:rPr>
          <w:rFonts w:ascii="Georgia" w:hAnsi="Georgia"/>
          <w:sz w:val="20"/>
          <w:szCs w:val="20"/>
        </w:rPr>
      </w:pPr>
      <w:r w:rsidRPr="00507088">
        <w:rPr>
          <w:rFonts w:ascii="Georgia" w:hAnsi="Georgia"/>
          <w:sz w:val="20"/>
          <w:szCs w:val="20"/>
        </w:rPr>
        <w:t>protect watershed and the environment</w:t>
      </w:r>
      <w:r w:rsidRPr="00507088">
        <w:rPr>
          <w:rStyle w:val="EndnoteReference"/>
          <w:rFonts w:ascii="Georgia" w:hAnsi="Georgia"/>
          <w:sz w:val="20"/>
          <w:szCs w:val="20"/>
        </w:rPr>
        <w:endnoteReference w:id="9"/>
      </w:r>
    </w:p>
    <w:p w14:paraId="2FFE924F" w14:textId="62EC38F2" w:rsidR="00151856" w:rsidRPr="00507088" w:rsidRDefault="00151856" w:rsidP="006130DD">
      <w:pPr>
        <w:pStyle w:val="ListParagraph"/>
        <w:numPr>
          <w:ilvl w:val="0"/>
          <w:numId w:val="2"/>
        </w:numPr>
        <w:tabs>
          <w:tab w:val="left" w:pos="2925"/>
        </w:tabs>
        <w:rPr>
          <w:rFonts w:ascii="Georgia" w:hAnsi="Georgia"/>
          <w:sz w:val="20"/>
          <w:szCs w:val="20"/>
        </w:rPr>
      </w:pPr>
      <w:r w:rsidRPr="00507088">
        <w:rPr>
          <w:rFonts w:ascii="Georgia" w:hAnsi="Georgia"/>
          <w:sz w:val="20"/>
          <w:szCs w:val="20"/>
        </w:rPr>
        <w:t>designate additional federal protections of the land, limiting expansion of ski areas</w:t>
      </w:r>
      <w:r w:rsidRPr="00507088">
        <w:rPr>
          <w:rStyle w:val="EndnoteReference"/>
          <w:rFonts w:ascii="Georgia" w:hAnsi="Georgia"/>
          <w:sz w:val="20"/>
          <w:szCs w:val="20"/>
        </w:rPr>
        <w:endnoteReference w:id="10"/>
      </w:r>
    </w:p>
    <w:p w14:paraId="42D61B93" w14:textId="59A6925E" w:rsidR="00151856" w:rsidRPr="00507088" w:rsidRDefault="00151856" w:rsidP="006130DD">
      <w:pPr>
        <w:pStyle w:val="ListParagraph"/>
        <w:numPr>
          <w:ilvl w:val="0"/>
          <w:numId w:val="2"/>
        </w:numPr>
        <w:tabs>
          <w:tab w:val="left" w:pos="2925"/>
        </w:tabs>
        <w:rPr>
          <w:rFonts w:ascii="Georgia" w:hAnsi="Georgia"/>
          <w:sz w:val="20"/>
          <w:szCs w:val="20"/>
        </w:rPr>
      </w:pPr>
      <w:r w:rsidRPr="00507088">
        <w:rPr>
          <w:rFonts w:ascii="Georgia" w:hAnsi="Georgia"/>
          <w:sz w:val="20"/>
          <w:szCs w:val="20"/>
        </w:rPr>
        <w:t>reduce patchwork of public and private land ownership, move private lands with high watershed and environmental values to public ownership</w:t>
      </w:r>
      <w:r w:rsidRPr="00507088">
        <w:rPr>
          <w:rStyle w:val="EndnoteReference"/>
          <w:rFonts w:ascii="Georgia" w:hAnsi="Georgia"/>
          <w:sz w:val="20"/>
          <w:szCs w:val="20"/>
        </w:rPr>
        <w:endnoteReference w:id="11"/>
      </w:r>
    </w:p>
    <w:p w14:paraId="664A0BF8" w14:textId="3C874A2B" w:rsidR="00151856" w:rsidRPr="00507088" w:rsidRDefault="00151856" w:rsidP="006130DD">
      <w:pPr>
        <w:pStyle w:val="ListParagraph"/>
        <w:numPr>
          <w:ilvl w:val="0"/>
          <w:numId w:val="2"/>
        </w:numPr>
        <w:tabs>
          <w:tab w:val="left" w:pos="2925"/>
        </w:tabs>
        <w:rPr>
          <w:rFonts w:ascii="Georgia" w:hAnsi="Georgia"/>
          <w:sz w:val="20"/>
          <w:szCs w:val="20"/>
        </w:rPr>
      </w:pPr>
      <w:r w:rsidRPr="00507088">
        <w:rPr>
          <w:rFonts w:ascii="Georgia" w:hAnsi="Georgia"/>
          <w:sz w:val="20"/>
          <w:szCs w:val="20"/>
        </w:rPr>
        <w:t>cluster development along transit corridors and within ski base areas, following local land-use plans</w:t>
      </w:r>
      <w:r w:rsidRPr="00507088">
        <w:rPr>
          <w:rStyle w:val="EndnoteReference"/>
          <w:rFonts w:ascii="Georgia" w:hAnsi="Georgia"/>
          <w:sz w:val="20"/>
          <w:szCs w:val="20"/>
        </w:rPr>
        <w:endnoteReference w:id="12"/>
      </w:r>
    </w:p>
    <w:p w14:paraId="2D351ABB" w14:textId="73B76541" w:rsidR="00151856" w:rsidRPr="00507088" w:rsidRDefault="00151856" w:rsidP="006130DD">
      <w:pPr>
        <w:pStyle w:val="ListParagraph"/>
        <w:numPr>
          <w:ilvl w:val="0"/>
          <w:numId w:val="2"/>
        </w:numPr>
        <w:tabs>
          <w:tab w:val="left" w:pos="2925"/>
        </w:tabs>
        <w:rPr>
          <w:rFonts w:ascii="Georgia" w:hAnsi="Georgia"/>
          <w:sz w:val="20"/>
          <w:szCs w:val="20"/>
        </w:rPr>
      </w:pPr>
      <w:r w:rsidRPr="00507088">
        <w:rPr>
          <w:rFonts w:ascii="Georgia" w:hAnsi="Georgia"/>
          <w:sz w:val="20"/>
          <w:szCs w:val="20"/>
        </w:rPr>
        <w:t>Accommodate and manage growth of recreational uses, integrated with transit solutions</w:t>
      </w:r>
      <w:r w:rsidRPr="00507088">
        <w:rPr>
          <w:rStyle w:val="EndnoteReference"/>
          <w:rFonts w:ascii="Georgia" w:hAnsi="Georgia"/>
          <w:sz w:val="20"/>
          <w:szCs w:val="20"/>
        </w:rPr>
        <w:endnoteReference w:id="13"/>
      </w:r>
    </w:p>
    <w:p w14:paraId="15FAA097" w14:textId="5DB46FCA" w:rsidR="00151856" w:rsidRPr="00507088" w:rsidRDefault="00151856" w:rsidP="006130DD">
      <w:pPr>
        <w:pStyle w:val="ListParagraph"/>
        <w:numPr>
          <w:ilvl w:val="0"/>
          <w:numId w:val="2"/>
        </w:numPr>
        <w:tabs>
          <w:tab w:val="left" w:pos="2925"/>
        </w:tabs>
        <w:rPr>
          <w:rFonts w:ascii="Georgia" w:hAnsi="Georgia"/>
          <w:sz w:val="20"/>
          <w:szCs w:val="20"/>
        </w:rPr>
      </w:pPr>
      <w:r w:rsidRPr="00507088">
        <w:rPr>
          <w:rFonts w:ascii="Georgia" w:hAnsi="Georgia"/>
          <w:sz w:val="20"/>
          <w:szCs w:val="20"/>
        </w:rPr>
        <w:t>Create transportation connections using transit, walking, biking, and reducing vehicle use</w:t>
      </w:r>
      <w:r w:rsidRPr="00507088">
        <w:rPr>
          <w:rStyle w:val="EndnoteReference"/>
          <w:rFonts w:ascii="Georgia" w:hAnsi="Georgia"/>
          <w:sz w:val="20"/>
          <w:szCs w:val="20"/>
        </w:rPr>
        <w:endnoteReference w:id="14"/>
      </w:r>
    </w:p>
    <w:p w14:paraId="03D96E73" w14:textId="59640814" w:rsidR="00151856" w:rsidRPr="00507088" w:rsidRDefault="00151856" w:rsidP="006130DD">
      <w:pPr>
        <w:pStyle w:val="ListParagraph"/>
        <w:numPr>
          <w:ilvl w:val="0"/>
          <w:numId w:val="2"/>
        </w:numPr>
        <w:tabs>
          <w:tab w:val="left" w:pos="2925"/>
        </w:tabs>
        <w:rPr>
          <w:rFonts w:ascii="Georgia" w:hAnsi="Georgia"/>
          <w:sz w:val="20"/>
          <w:szCs w:val="20"/>
        </w:rPr>
      </w:pPr>
      <w:r w:rsidRPr="00507088">
        <w:rPr>
          <w:rFonts w:ascii="Georgia" w:hAnsi="Georgia"/>
          <w:sz w:val="20"/>
          <w:szCs w:val="20"/>
        </w:rPr>
        <w:t>Reduce natural hazard risk and improve emergency response capability</w:t>
      </w:r>
      <w:r w:rsidRPr="00507088">
        <w:rPr>
          <w:rStyle w:val="EndnoteReference"/>
          <w:rFonts w:ascii="Georgia" w:hAnsi="Georgia"/>
          <w:sz w:val="20"/>
          <w:szCs w:val="20"/>
        </w:rPr>
        <w:endnoteReference w:id="15"/>
      </w:r>
    </w:p>
    <w:p w14:paraId="6D96C081" w14:textId="549247FD" w:rsidR="00151856" w:rsidRPr="00507088" w:rsidRDefault="00151856" w:rsidP="002768FA">
      <w:pPr>
        <w:tabs>
          <w:tab w:val="left" w:pos="2925"/>
        </w:tabs>
        <w:spacing w:after="0"/>
        <w:rPr>
          <w:rFonts w:ascii="Georgia" w:hAnsi="Georgia"/>
          <w:sz w:val="20"/>
          <w:szCs w:val="20"/>
        </w:rPr>
      </w:pPr>
      <w:r w:rsidRPr="00507088">
        <w:rPr>
          <w:rFonts w:ascii="Georgia" w:hAnsi="Georgia"/>
          <w:b/>
          <w:bCs/>
          <w:sz w:val="20"/>
          <w:szCs w:val="20"/>
          <w:u w:val="single"/>
        </w:rPr>
        <w:t>Agreed</w:t>
      </w:r>
      <w:r w:rsidR="00397FBD" w:rsidRPr="00507088">
        <w:rPr>
          <w:rFonts w:ascii="Georgia" w:hAnsi="Georgia"/>
          <w:b/>
          <w:bCs/>
          <w:sz w:val="20"/>
          <w:szCs w:val="20"/>
          <w:u w:val="single"/>
        </w:rPr>
        <w:t>-</w:t>
      </w:r>
      <w:r w:rsidRPr="00507088">
        <w:rPr>
          <w:rFonts w:ascii="Georgia" w:hAnsi="Georgia"/>
          <w:b/>
          <w:bCs/>
          <w:sz w:val="20"/>
          <w:szCs w:val="20"/>
          <w:u w:val="single"/>
        </w:rPr>
        <w:t>Upon Actions</w:t>
      </w:r>
      <w:r w:rsidRPr="00507088">
        <w:rPr>
          <w:rStyle w:val="EndnoteReference"/>
          <w:rFonts w:ascii="Georgia" w:hAnsi="Georgia"/>
          <w:b/>
          <w:bCs/>
          <w:sz w:val="20"/>
          <w:szCs w:val="20"/>
          <w:u w:val="single"/>
        </w:rPr>
        <w:endnoteReference w:id="16"/>
      </w:r>
    </w:p>
    <w:p w14:paraId="76F37B9F" w14:textId="529E63FB" w:rsidR="005F1CC2" w:rsidRPr="00507088" w:rsidRDefault="00151856" w:rsidP="002768FA">
      <w:pPr>
        <w:tabs>
          <w:tab w:val="left" w:pos="2925"/>
        </w:tabs>
        <w:spacing w:after="0"/>
        <w:rPr>
          <w:rFonts w:ascii="Georgia" w:hAnsi="Georgia"/>
          <w:sz w:val="20"/>
          <w:szCs w:val="20"/>
        </w:rPr>
      </w:pPr>
      <w:r w:rsidRPr="00507088">
        <w:rPr>
          <w:rFonts w:ascii="Georgia" w:hAnsi="Georgia"/>
          <w:sz w:val="20"/>
          <w:szCs w:val="20"/>
        </w:rPr>
        <w:t>The signers agreed to pursue a series of comprehensive and interdependent actions</w:t>
      </w:r>
      <w:r w:rsidR="00B82E0F" w:rsidRPr="00507088">
        <w:rPr>
          <w:rFonts w:ascii="Georgia" w:hAnsi="Georgia"/>
          <w:sz w:val="20"/>
          <w:szCs w:val="20"/>
        </w:rPr>
        <w:t>,</w:t>
      </w:r>
      <w:r w:rsidRPr="00507088">
        <w:rPr>
          <w:rFonts w:ascii="Georgia" w:hAnsi="Georgia"/>
          <w:sz w:val="20"/>
          <w:szCs w:val="20"/>
        </w:rPr>
        <w:t xml:space="preserve"> including land protections and transportation improvements. </w:t>
      </w:r>
      <w:r w:rsidR="00B82E0F" w:rsidRPr="00507088">
        <w:rPr>
          <w:rFonts w:ascii="Georgia" w:hAnsi="Georgia"/>
          <w:sz w:val="20"/>
          <w:szCs w:val="20"/>
        </w:rPr>
        <w:t>R</w:t>
      </w:r>
      <w:r w:rsidRPr="00507088">
        <w:rPr>
          <w:rFonts w:ascii="Georgia" w:hAnsi="Georgia"/>
          <w:sz w:val="20"/>
          <w:szCs w:val="20"/>
        </w:rPr>
        <w:t>e-negotiation of actions, including removal</w:t>
      </w:r>
      <w:r w:rsidR="00B82E0F" w:rsidRPr="00507088">
        <w:rPr>
          <w:rFonts w:ascii="Georgia" w:hAnsi="Georgia"/>
          <w:sz w:val="20"/>
          <w:szCs w:val="20"/>
        </w:rPr>
        <w:t>,</w:t>
      </w:r>
      <w:r w:rsidRPr="00507088">
        <w:rPr>
          <w:rFonts w:ascii="Georgia" w:hAnsi="Georgia"/>
          <w:sz w:val="20"/>
          <w:szCs w:val="20"/>
        </w:rPr>
        <w:t xml:space="preserve"> additions or alterations are </w:t>
      </w:r>
      <w:r w:rsidR="00070FDB" w:rsidRPr="00507088">
        <w:rPr>
          <w:rFonts w:ascii="Georgia" w:hAnsi="Georgia"/>
          <w:sz w:val="20"/>
          <w:szCs w:val="20"/>
        </w:rPr>
        <w:t>anticipated</w:t>
      </w:r>
      <w:r w:rsidRPr="00507088">
        <w:rPr>
          <w:rFonts w:ascii="Georgia" w:hAnsi="Georgia"/>
          <w:sz w:val="20"/>
          <w:szCs w:val="20"/>
        </w:rPr>
        <w:t>.</w:t>
      </w:r>
      <w:r w:rsidRPr="00507088">
        <w:rPr>
          <w:rStyle w:val="EndnoteReference"/>
          <w:rFonts w:ascii="Georgia" w:hAnsi="Georgia"/>
          <w:sz w:val="20"/>
          <w:szCs w:val="20"/>
        </w:rPr>
        <w:endnoteReference w:id="17"/>
      </w:r>
    </w:p>
    <w:p w14:paraId="1E69EBD1" w14:textId="1C74678E" w:rsidR="005F1CC2" w:rsidRPr="00507088" w:rsidRDefault="005F1CC2" w:rsidP="002768FA">
      <w:pPr>
        <w:tabs>
          <w:tab w:val="left" w:pos="2925"/>
        </w:tabs>
        <w:spacing w:after="0"/>
        <w:rPr>
          <w:rFonts w:ascii="Georgia" w:hAnsi="Georgia"/>
          <w:b/>
          <w:bCs/>
          <w:sz w:val="20"/>
          <w:szCs w:val="20"/>
        </w:rPr>
      </w:pPr>
    </w:p>
    <w:p w14:paraId="7B778216" w14:textId="77777777" w:rsidR="00070FDB" w:rsidRPr="00507088" w:rsidRDefault="00070FDB" w:rsidP="002768FA">
      <w:pPr>
        <w:tabs>
          <w:tab w:val="left" w:pos="2925"/>
        </w:tabs>
        <w:spacing w:after="0"/>
        <w:rPr>
          <w:rFonts w:ascii="Georgia" w:hAnsi="Georgia"/>
          <w:sz w:val="20"/>
          <w:szCs w:val="20"/>
        </w:rPr>
      </w:pPr>
    </w:p>
    <w:p w14:paraId="50994B1D" w14:textId="503DD27D" w:rsidR="00151856" w:rsidRPr="00507088" w:rsidRDefault="00151856" w:rsidP="003737EA">
      <w:pPr>
        <w:tabs>
          <w:tab w:val="left" w:pos="2925"/>
        </w:tabs>
        <w:spacing w:after="0"/>
        <w:ind w:left="360"/>
        <w:rPr>
          <w:rFonts w:ascii="Georgia" w:hAnsi="Georgia"/>
          <w:sz w:val="20"/>
          <w:szCs w:val="20"/>
        </w:rPr>
      </w:pPr>
      <w:r w:rsidRPr="00507088">
        <w:rPr>
          <w:rFonts w:ascii="Georgia" w:hAnsi="Georgia"/>
          <w:b/>
          <w:bCs/>
          <w:sz w:val="20"/>
          <w:szCs w:val="20"/>
          <w:u w:val="single"/>
        </w:rPr>
        <w:t>Federal Land Designation</w:t>
      </w:r>
      <w:r w:rsidRPr="00507088">
        <w:rPr>
          <w:rStyle w:val="EndnoteReference"/>
          <w:rFonts w:ascii="Georgia" w:hAnsi="Georgia"/>
          <w:b/>
          <w:bCs/>
          <w:sz w:val="20"/>
          <w:szCs w:val="20"/>
          <w:u w:val="single"/>
        </w:rPr>
        <w:endnoteReference w:id="18"/>
      </w:r>
    </w:p>
    <w:p w14:paraId="57278944" w14:textId="4F7E6B6E" w:rsidR="00151856" w:rsidRPr="00507088" w:rsidRDefault="00151856" w:rsidP="00B0019E">
      <w:pPr>
        <w:pStyle w:val="ListParagraph"/>
        <w:numPr>
          <w:ilvl w:val="0"/>
          <w:numId w:val="4"/>
        </w:numPr>
        <w:tabs>
          <w:tab w:val="left" w:pos="2925"/>
        </w:tabs>
        <w:spacing w:after="0"/>
        <w:rPr>
          <w:rFonts w:ascii="Georgia" w:hAnsi="Georgia"/>
          <w:sz w:val="20"/>
          <w:szCs w:val="20"/>
        </w:rPr>
      </w:pPr>
      <w:r w:rsidRPr="00507088">
        <w:rPr>
          <w:rFonts w:ascii="Georgia" w:hAnsi="Georgia"/>
          <w:sz w:val="20"/>
          <w:szCs w:val="20"/>
        </w:rPr>
        <w:t>Maps identify a new 80,000-acre land designation (current draft Central Wasatch National Conservation and Recreation Area), including wilderness</w:t>
      </w:r>
      <w:r w:rsidRPr="00507088">
        <w:rPr>
          <w:rStyle w:val="EndnoteReference"/>
          <w:rFonts w:ascii="Georgia" w:hAnsi="Georgia"/>
          <w:sz w:val="20"/>
          <w:szCs w:val="20"/>
        </w:rPr>
        <w:endnoteReference w:id="19"/>
      </w:r>
      <w:r w:rsidRPr="00507088">
        <w:rPr>
          <w:rFonts w:ascii="Georgia" w:hAnsi="Georgia"/>
          <w:sz w:val="20"/>
          <w:szCs w:val="20"/>
        </w:rPr>
        <w:t xml:space="preserve"> </w:t>
      </w:r>
    </w:p>
    <w:p w14:paraId="1D20AAB2" w14:textId="3FF0D2E5" w:rsidR="00151856" w:rsidRPr="00507088" w:rsidRDefault="00151856" w:rsidP="00B0019E">
      <w:pPr>
        <w:pStyle w:val="ListParagraph"/>
        <w:numPr>
          <w:ilvl w:val="0"/>
          <w:numId w:val="4"/>
        </w:numPr>
        <w:tabs>
          <w:tab w:val="left" w:pos="2925"/>
        </w:tabs>
        <w:spacing w:after="0"/>
        <w:rPr>
          <w:rFonts w:ascii="Georgia" w:hAnsi="Georgia"/>
          <w:sz w:val="20"/>
          <w:szCs w:val="20"/>
        </w:rPr>
      </w:pPr>
      <w:r w:rsidRPr="00507088">
        <w:rPr>
          <w:rFonts w:ascii="Georgia" w:hAnsi="Georgia"/>
          <w:sz w:val="20"/>
          <w:szCs w:val="20"/>
        </w:rPr>
        <w:t>Prohibition of ski area expansion in the Central Wasatch National Conservation and Recreation Area</w:t>
      </w:r>
      <w:r w:rsidRPr="00507088">
        <w:rPr>
          <w:rStyle w:val="EndnoteReference"/>
          <w:rFonts w:ascii="Georgia" w:hAnsi="Georgia"/>
          <w:sz w:val="20"/>
          <w:szCs w:val="20"/>
        </w:rPr>
        <w:endnoteReference w:id="20"/>
      </w:r>
      <w:r w:rsidRPr="00507088">
        <w:rPr>
          <w:rFonts w:ascii="Georgia" w:hAnsi="Georgia"/>
          <w:sz w:val="20"/>
          <w:szCs w:val="20"/>
        </w:rPr>
        <w:t xml:space="preserve"> </w:t>
      </w:r>
    </w:p>
    <w:p w14:paraId="6CA4A39F" w14:textId="47B42B29" w:rsidR="00151856" w:rsidRPr="00507088" w:rsidRDefault="00151856" w:rsidP="00B0019E">
      <w:pPr>
        <w:pStyle w:val="ListParagraph"/>
        <w:numPr>
          <w:ilvl w:val="0"/>
          <w:numId w:val="4"/>
        </w:numPr>
        <w:tabs>
          <w:tab w:val="left" w:pos="2925"/>
        </w:tabs>
        <w:spacing w:after="0"/>
        <w:rPr>
          <w:rFonts w:ascii="Georgia" w:hAnsi="Georgia"/>
          <w:sz w:val="20"/>
          <w:szCs w:val="20"/>
        </w:rPr>
      </w:pPr>
      <w:r w:rsidRPr="00507088">
        <w:rPr>
          <w:rFonts w:ascii="Georgia" w:hAnsi="Georgia"/>
          <w:sz w:val="20"/>
          <w:szCs w:val="20"/>
        </w:rPr>
        <w:t>Congressional legislation to accomplish action by the end of 2016</w:t>
      </w:r>
      <w:r w:rsidRPr="00507088">
        <w:rPr>
          <w:rStyle w:val="EndnoteReference"/>
          <w:rFonts w:ascii="Georgia" w:hAnsi="Georgia"/>
          <w:sz w:val="20"/>
          <w:szCs w:val="20"/>
        </w:rPr>
        <w:endnoteReference w:id="21"/>
      </w:r>
    </w:p>
    <w:p w14:paraId="6716D77B" w14:textId="4772CA2B" w:rsidR="00151856" w:rsidRPr="00507088" w:rsidRDefault="00151856" w:rsidP="00B0019E">
      <w:pPr>
        <w:pStyle w:val="ListParagraph"/>
        <w:numPr>
          <w:ilvl w:val="0"/>
          <w:numId w:val="4"/>
        </w:numPr>
        <w:tabs>
          <w:tab w:val="left" w:pos="2925"/>
        </w:tabs>
        <w:spacing w:after="0"/>
        <w:rPr>
          <w:rFonts w:ascii="Georgia" w:hAnsi="Georgia"/>
          <w:sz w:val="20"/>
          <w:szCs w:val="20"/>
        </w:rPr>
      </w:pPr>
      <w:r w:rsidRPr="00507088">
        <w:rPr>
          <w:rFonts w:ascii="Georgia" w:hAnsi="Georgia"/>
          <w:sz w:val="20"/>
          <w:szCs w:val="20"/>
        </w:rPr>
        <w:t>Limit ski area-use expansion to existing boundaries</w:t>
      </w:r>
      <w:r w:rsidRPr="00507088">
        <w:rPr>
          <w:rStyle w:val="EndnoteReference"/>
          <w:rFonts w:ascii="Georgia" w:hAnsi="Georgia"/>
          <w:sz w:val="20"/>
          <w:szCs w:val="20"/>
        </w:rPr>
        <w:endnoteReference w:id="22"/>
      </w:r>
    </w:p>
    <w:p w14:paraId="0AA127FC" w14:textId="52B6633A" w:rsidR="00151856" w:rsidRPr="00507088" w:rsidRDefault="00151856" w:rsidP="00B0019E">
      <w:pPr>
        <w:pStyle w:val="ListParagraph"/>
        <w:numPr>
          <w:ilvl w:val="0"/>
          <w:numId w:val="4"/>
        </w:numPr>
        <w:tabs>
          <w:tab w:val="left" w:pos="2925"/>
        </w:tabs>
        <w:spacing w:after="0"/>
        <w:rPr>
          <w:rFonts w:ascii="Georgia" w:hAnsi="Georgia"/>
          <w:sz w:val="20"/>
          <w:szCs w:val="20"/>
        </w:rPr>
      </w:pPr>
      <w:r w:rsidRPr="00507088">
        <w:rPr>
          <w:rFonts w:ascii="Georgia" w:hAnsi="Georgia"/>
          <w:sz w:val="20"/>
          <w:szCs w:val="20"/>
        </w:rPr>
        <w:t>Land designations while preserving transportation alternatives</w:t>
      </w:r>
      <w:r w:rsidRPr="00507088">
        <w:rPr>
          <w:rStyle w:val="EndnoteReference"/>
          <w:rFonts w:ascii="Georgia" w:hAnsi="Georgia"/>
          <w:sz w:val="20"/>
          <w:szCs w:val="20"/>
        </w:rPr>
        <w:endnoteReference w:id="23"/>
      </w:r>
    </w:p>
    <w:p w14:paraId="3A09934B" w14:textId="39C85C1E" w:rsidR="00151856" w:rsidRPr="00507088" w:rsidRDefault="00151856" w:rsidP="00B0019E">
      <w:pPr>
        <w:pStyle w:val="ListParagraph"/>
        <w:numPr>
          <w:ilvl w:val="0"/>
          <w:numId w:val="4"/>
        </w:numPr>
        <w:tabs>
          <w:tab w:val="left" w:pos="2925"/>
        </w:tabs>
        <w:spacing w:after="0"/>
        <w:rPr>
          <w:rFonts w:ascii="Georgia" w:hAnsi="Georgia"/>
          <w:sz w:val="20"/>
          <w:szCs w:val="20"/>
        </w:rPr>
      </w:pPr>
      <w:r w:rsidRPr="00507088">
        <w:rPr>
          <w:rFonts w:ascii="Georgia" w:hAnsi="Georgia"/>
          <w:sz w:val="20"/>
          <w:szCs w:val="20"/>
        </w:rPr>
        <w:t>Transit infrastructure permissible within land designations</w:t>
      </w:r>
      <w:r w:rsidRPr="00507088">
        <w:rPr>
          <w:rStyle w:val="EndnoteReference"/>
          <w:rFonts w:ascii="Georgia" w:hAnsi="Georgia"/>
          <w:sz w:val="20"/>
          <w:szCs w:val="20"/>
        </w:rPr>
        <w:endnoteReference w:id="24"/>
      </w:r>
    </w:p>
    <w:p w14:paraId="4ADA5A13" w14:textId="77777777" w:rsidR="00EC0A20" w:rsidRDefault="00EC0A20" w:rsidP="003737EA">
      <w:pPr>
        <w:pStyle w:val="ListParagraph"/>
        <w:tabs>
          <w:tab w:val="left" w:pos="2925"/>
        </w:tabs>
        <w:ind w:left="1440"/>
        <w:rPr>
          <w:rFonts w:ascii="Georgia" w:hAnsi="Georgia"/>
          <w:b/>
          <w:bCs/>
          <w:sz w:val="20"/>
          <w:szCs w:val="20"/>
          <w:u w:val="single"/>
        </w:rPr>
      </w:pPr>
    </w:p>
    <w:p w14:paraId="5682CDCD" w14:textId="0B22A32B" w:rsidR="00151856" w:rsidRPr="00507088" w:rsidRDefault="00151856" w:rsidP="003737EA">
      <w:pPr>
        <w:pStyle w:val="ListParagraph"/>
        <w:tabs>
          <w:tab w:val="left" w:pos="2925"/>
        </w:tabs>
        <w:ind w:left="1440"/>
        <w:rPr>
          <w:rFonts w:ascii="Georgia" w:hAnsi="Georgia"/>
          <w:sz w:val="20"/>
          <w:szCs w:val="20"/>
        </w:rPr>
      </w:pPr>
      <w:r w:rsidRPr="00507088">
        <w:rPr>
          <w:rFonts w:ascii="Georgia" w:hAnsi="Georgia"/>
          <w:b/>
          <w:bCs/>
          <w:sz w:val="20"/>
          <w:szCs w:val="20"/>
          <w:u w:val="single"/>
        </w:rPr>
        <w:lastRenderedPageBreak/>
        <w:t>Land Exchanges</w:t>
      </w:r>
      <w:r w:rsidRPr="00507088">
        <w:rPr>
          <w:rStyle w:val="EndnoteReference"/>
          <w:rFonts w:ascii="Georgia" w:hAnsi="Georgia"/>
          <w:b/>
          <w:bCs/>
          <w:sz w:val="20"/>
          <w:szCs w:val="20"/>
          <w:u w:val="single"/>
        </w:rPr>
        <w:endnoteReference w:id="25"/>
      </w:r>
    </w:p>
    <w:p w14:paraId="5F760D46" w14:textId="4BBB92CF" w:rsidR="00151856" w:rsidRPr="00507088" w:rsidRDefault="00070FDB" w:rsidP="00176F70">
      <w:pPr>
        <w:pStyle w:val="ListParagraph"/>
        <w:tabs>
          <w:tab w:val="left" w:pos="2925"/>
        </w:tabs>
        <w:spacing w:after="0" w:line="240" w:lineRule="auto"/>
        <w:ind w:left="1440"/>
        <w:rPr>
          <w:rFonts w:ascii="Georgia" w:hAnsi="Georgia"/>
          <w:sz w:val="20"/>
          <w:szCs w:val="20"/>
        </w:rPr>
      </w:pPr>
      <w:r w:rsidRPr="00507088">
        <w:rPr>
          <w:rFonts w:ascii="Georgia" w:hAnsi="Georgia"/>
          <w:sz w:val="20"/>
          <w:szCs w:val="20"/>
        </w:rPr>
        <w:t>When seeking implementation, t</w:t>
      </w:r>
      <w:r w:rsidR="00151856" w:rsidRPr="00507088">
        <w:rPr>
          <w:rFonts w:ascii="Georgia" w:hAnsi="Georgia"/>
          <w:sz w:val="20"/>
          <w:szCs w:val="20"/>
        </w:rPr>
        <w:t>hese provisions were deemed infeasible and have been removed from current legislative proposals.</w:t>
      </w:r>
    </w:p>
    <w:p w14:paraId="75FBF5EC" w14:textId="77777777" w:rsidR="00197FE5" w:rsidRPr="00507088" w:rsidRDefault="00197FE5" w:rsidP="00176F70">
      <w:pPr>
        <w:pStyle w:val="ListParagraph"/>
        <w:tabs>
          <w:tab w:val="left" w:pos="2925"/>
        </w:tabs>
        <w:spacing w:after="0" w:line="240" w:lineRule="auto"/>
        <w:ind w:left="1080"/>
        <w:rPr>
          <w:rFonts w:ascii="Georgia" w:hAnsi="Georgia"/>
          <w:sz w:val="20"/>
          <w:szCs w:val="20"/>
        </w:rPr>
      </w:pPr>
    </w:p>
    <w:p w14:paraId="3D26A940" w14:textId="77777777" w:rsidR="00197FE5" w:rsidRPr="00507088" w:rsidRDefault="00151856" w:rsidP="00176F70">
      <w:pPr>
        <w:pStyle w:val="ListParagraph"/>
        <w:tabs>
          <w:tab w:val="left" w:pos="2925"/>
        </w:tabs>
        <w:spacing w:after="0" w:line="240" w:lineRule="auto"/>
        <w:ind w:left="1440"/>
        <w:rPr>
          <w:rFonts w:ascii="Georgia" w:hAnsi="Georgia"/>
          <w:b/>
          <w:bCs/>
          <w:sz w:val="20"/>
          <w:szCs w:val="20"/>
          <w:u w:val="single"/>
        </w:rPr>
      </w:pPr>
      <w:r w:rsidRPr="00507088">
        <w:rPr>
          <w:rFonts w:ascii="Georgia" w:hAnsi="Georgia"/>
          <w:b/>
          <w:bCs/>
          <w:sz w:val="20"/>
          <w:szCs w:val="20"/>
          <w:u w:val="single"/>
        </w:rPr>
        <w:t>Land Acquisition</w:t>
      </w:r>
      <w:r w:rsidRPr="00507088">
        <w:rPr>
          <w:rStyle w:val="EndnoteReference"/>
          <w:rFonts w:ascii="Georgia" w:hAnsi="Georgia"/>
          <w:b/>
          <w:bCs/>
          <w:sz w:val="20"/>
          <w:szCs w:val="20"/>
          <w:u w:val="single"/>
        </w:rPr>
        <w:endnoteReference w:id="26"/>
      </w:r>
    </w:p>
    <w:p w14:paraId="2F7C30C3" w14:textId="224947EF" w:rsidR="00151856" w:rsidRPr="00507088" w:rsidRDefault="00197FE5" w:rsidP="003737EA">
      <w:pPr>
        <w:pStyle w:val="ListParagraph"/>
        <w:tabs>
          <w:tab w:val="left" w:pos="2925"/>
        </w:tabs>
        <w:ind w:left="1440"/>
        <w:rPr>
          <w:rFonts w:ascii="Georgia" w:hAnsi="Georgia"/>
          <w:sz w:val="20"/>
          <w:szCs w:val="20"/>
        </w:rPr>
      </w:pPr>
      <w:r w:rsidRPr="00507088">
        <w:rPr>
          <w:rFonts w:ascii="Georgia" w:hAnsi="Georgia"/>
          <w:sz w:val="20"/>
          <w:szCs w:val="20"/>
        </w:rPr>
        <w:t>C</w:t>
      </w:r>
      <w:r w:rsidR="00151856" w:rsidRPr="00507088">
        <w:rPr>
          <w:rFonts w:ascii="Georgia" w:hAnsi="Georgia"/>
          <w:sz w:val="20"/>
          <w:szCs w:val="20"/>
        </w:rPr>
        <w:t>reat</w:t>
      </w:r>
      <w:r w:rsidRPr="00507088">
        <w:rPr>
          <w:rFonts w:ascii="Georgia" w:hAnsi="Georgia"/>
          <w:sz w:val="20"/>
          <w:szCs w:val="20"/>
        </w:rPr>
        <w:t>e</w:t>
      </w:r>
      <w:r w:rsidR="00151856" w:rsidRPr="00507088">
        <w:rPr>
          <w:rFonts w:ascii="Georgia" w:hAnsi="Georgia"/>
          <w:sz w:val="20"/>
          <w:szCs w:val="20"/>
        </w:rPr>
        <w:t xml:space="preserve"> private land acquisition program on willing</w:t>
      </w:r>
      <w:r w:rsidR="00F56A56" w:rsidRPr="00507088">
        <w:rPr>
          <w:rFonts w:ascii="Georgia" w:hAnsi="Georgia"/>
          <w:sz w:val="20"/>
          <w:szCs w:val="20"/>
        </w:rPr>
        <w:t>-</w:t>
      </w:r>
      <w:r w:rsidR="00151856" w:rsidRPr="00507088">
        <w:rPr>
          <w:rFonts w:ascii="Georgia" w:hAnsi="Georgia"/>
          <w:sz w:val="20"/>
          <w:szCs w:val="20"/>
        </w:rPr>
        <w:t>seller basis</w:t>
      </w:r>
      <w:r w:rsidRPr="00507088">
        <w:rPr>
          <w:rFonts w:ascii="Georgia" w:hAnsi="Georgia"/>
          <w:sz w:val="20"/>
          <w:szCs w:val="20"/>
        </w:rPr>
        <w:t>.</w:t>
      </w:r>
    </w:p>
    <w:p w14:paraId="214659AC" w14:textId="19C2A7D8" w:rsidR="00151856" w:rsidRPr="00507088" w:rsidRDefault="00151856" w:rsidP="003737EA">
      <w:pPr>
        <w:spacing w:after="0"/>
        <w:ind w:left="1440"/>
        <w:rPr>
          <w:rFonts w:ascii="Georgia" w:hAnsi="Georgia"/>
          <w:sz w:val="20"/>
          <w:szCs w:val="20"/>
        </w:rPr>
      </w:pPr>
      <w:r w:rsidRPr="00507088">
        <w:rPr>
          <w:rFonts w:ascii="Georgia" w:hAnsi="Georgia"/>
          <w:b/>
          <w:bCs/>
          <w:sz w:val="20"/>
          <w:szCs w:val="20"/>
          <w:u w:val="single"/>
        </w:rPr>
        <w:t>Transportation</w:t>
      </w:r>
      <w:r w:rsidRPr="00507088">
        <w:rPr>
          <w:rStyle w:val="EndnoteReference"/>
          <w:rFonts w:ascii="Georgia" w:hAnsi="Georgia"/>
          <w:b/>
          <w:bCs/>
          <w:sz w:val="20"/>
          <w:szCs w:val="20"/>
          <w:u w:val="single"/>
        </w:rPr>
        <w:endnoteReference w:id="27"/>
      </w:r>
      <w:r w:rsidRPr="00507088">
        <w:rPr>
          <w:rFonts w:ascii="Georgia" w:hAnsi="Georgia"/>
          <w:sz w:val="20"/>
          <w:szCs w:val="20"/>
        </w:rPr>
        <w:t xml:space="preserve"> Canyon-specific recommendations were made, divided among the Cottonwood Canyons, Big Cottonwood to Park City, Parleys Corridor, and Millcreek Canyon.</w:t>
      </w:r>
    </w:p>
    <w:p w14:paraId="4EC5DE1A" w14:textId="5E8AE9C5" w:rsidR="00151856" w:rsidRPr="00507088" w:rsidRDefault="00151856" w:rsidP="003737EA">
      <w:pPr>
        <w:pStyle w:val="ListParagraph"/>
        <w:numPr>
          <w:ilvl w:val="0"/>
          <w:numId w:val="4"/>
        </w:numPr>
        <w:spacing w:after="0"/>
        <w:ind w:left="1800"/>
        <w:rPr>
          <w:rFonts w:ascii="Georgia" w:hAnsi="Georgia"/>
          <w:sz w:val="20"/>
          <w:szCs w:val="20"/>
        </w:rPr>
      </w:pPr>
      <w:r w:rsidRPr="00507088">
        <w:rPr>
          <w:rFonts w:ascii="Georgia" w:hAnsi="Georgia"/>
          <w:sz w:val="20"/>
          <w:szCs w:val="20"/>
          <w:u w:val="single"/>
        </w:rPr>
        <w:t>Cottonwood Canyons</w:t>
      </w:r>
      <w:r w:rsidRPr="00507088">
        <w:rPr>
          <w:rStyle w:val="EndnoteReference"/>
          <w:rFonts w:ascii="Georgia" w:hAnsi="Georgia"/>
          <w:sz w:val="20"/>
          <w:szCs w:val="20"/>
          <w:u w:val="single"/>
        </w:rPr>
        <w:endnoteReference w:id="28"/>
      </w:r>
    </w:p>
    <w:p w14:paraId="02C51A34" w14:textId="18D4FC66" w:rsidR="00151856" w:rsidRPr="00507088" w:rsidRDefault="00151856" w:rsidP="003737EA">
      <w:pPr>
        <w:pStyle w:val="ListParagraph"/>
        <w:numPr>
          <w:ilvl w:val="1"/>
          <w:numId w:val="4"/>
        </w:numPr>
        <w:spacing w:after="0"/>
        <w:ind w:left="2520"/>
        <w:rPr>
          <w:rFonts w:ascii="Georgia" w:hAnsi="Georgia"/>
          <w:sz w:val="20"/>
          <w:szCs w:val="20"/>
        </w:rPr>
      </w:pPr>
      <w:r w:rsidRPr="00507088">
        <w:rPr>
          <w:rFonts w:ascii="Georgia" w:hAnsi="Georgia"/>
          <w:sz w:val="20"/>
          <w:szCs w:val="20"/>
        </w:rPr>
        <w:t>Seek public transportation alternatives connecting Salt Lake Valley and Cottonwood Canyons through the NEPA process</w:t>
      </w:r>
      <w:r w:rsidRPr="00507088">
        <w:rPr>
          <w:rStyle w:val="EndnoteReference"/>
          <w:rFonts w:ascii="Georgia" w:hAnsi="Georgia"/>
          <w:sz w:val="20"/>
          <w:szCs w:val="20"/>
        </w:rPr>
        <w:endnoteReference w:id="29"/>
      </w:r>
    </w:p>
    <w:p w14:paraId="70F7C28D" w14:textId="5CB908D9"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Connect to regional public transit system preference</w:t>
      </w:r>
      <w:r w:rsidRPr="00507088">
        <w:rPr>
          <w:rStyle w:val="EndnoteReference"/>
          <w:rFonts w:ascii="Georgia" w:hAnsi="Georgia"/>
          <w:sz w:val="20"/>
          <w:szCs w:val="20"/>
        </w:rPr>
        <w:endnoteReference w:id="30"/>
      </w:r>
    </w:p>
    <w:p w14:paraId="41955505" w14:textId="5DD4113F"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Dis-incentivize single-occupant vehicle use and coordinate regionally</w:t>
      </w:r>
      <w:r w:rsidRPr="00507088">
        <w:rPr>
          <w:rStyle w:val="EndnoteReference"/>
          <w:rFonts w:ascii="Georgia" w:hAnsi="Georgia"/>
          <w:sz w:val="20"/>
          <w:szCs w:val="20"/>
        </w:rPr>
        <w:endnoteReference w:id="31"/>
      </w:r>
    </w:p>
    <w:p w14:paraId="253AFBA0" w14:textId="0FF68DB2"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Consider bus or rail improvements along 9400 South, Wasatch Boulevard, Fort Union, and Little Cottonwood Canyon corridors; improve year-round transit service in Big Cottonwood Canyon; consider non-auto tunnel between Big Cottonwood Canyon and Little Cottonwood Canyon; complement transit development with natural setting</w:t>
      </w:r>
      <w:r w:rsidRPr="00507088">
        <w:rPr>
          <w:rStyle w:val="EndnoteReference"/>
          <w:rFonts w:ascii="Georgia" w:hAnsi="Georgia"/>
          <w:sz w:val="20"/>
          <w:szCs w:val="20"/>
        </w:rPr>
        <w:endnoteReference w:id="32"/>
      </w:r>
    </w:p>
    <w:p w14:paraId="00A68F68" w14:textId="00329A98"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Look at full range of transit alternatives and their consequences/impacts</w:t>
      </w:r>
      <w:r w:rsidRPr="00507088">
        <w:rPr>
          <w:rStyle w:val="EndnoteReference"/>
          <w:rFonts w:ascii="Georgia" w:hAnsi="Georgia"/>
          <w:sz w:val="20"/>
          <w:szCs w:val="20"/>
        </w:rPr>
        <w:endnoteReference w:id="33"/>
      </w:r>
    </w:p>
    <w:p w14:paraId="7E4A6BBD" w14:textId="229D3A3C"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Trams, ski lifts, and other aerial modes are not recommended</w:t>
      </w:r>
      <w:r w:rsidRPr="00507088">
        <w:rPr>
          <w:rStyle w:val="EndnoteReference"/>
          <w:rFonts w:ascii="Georgia" w:hAnsi="Georgia"/>
          <w:sz w:val="20"/>
          <w:szCs w:val="20"/>
        </w:rPr>
        <w:endnoteReference w:id="34"/>
      </w:r>
    </w:p>
    <w:p w14:paraId="777C4928" w14:textId="7CF585B2"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Other Cottonwood Canyons questions: charge for single-occupancy vehicles</w:t>
      </w:r>
      <w:r w:rsidR="00FE1BCA" w:rsidRPr="00507088">
        <w:rPr>
          <w:rFonts w:ascii="Georgia" w:hAnsi="Georgia"/>
          <w:sz w:val="20"/>
          <w:szCs w:val="20"/>
        </w:rPr>
        <w:t>?</w:t>
      </w:r>
      <w:r w:rsidRPr="00507088">
        <w:rPr>
          <w:rFonts w:ascii="Georgia" w:hAnsi="Georgia"/>
          <w:sz w:val="20"/>
          <w:szCs w:val="20"/>
        </w:rPr>
        <w:t xml:space="preserve"> independent guideway vs. road alignment</w:t>
      </w:r>
      <w:r w:rsidR="00FE1BCA" w:rsidRPr="00507088">
        <w:rPr>
          <w:rFonts w:ascii="Georgia" w:hAnsi="Georgia"/>
          <w:sz w:val="20"/>
          <w:szCs w:val="20"/>
        </w:rPr>
        <w:t>?</w:t>
      </w:r>
      <w:r w:rsidRPr="00507088">
        <w:rPr>
          <w:rFonts w:ascii="Georgia" w:hAnsi="Georgia"/>
          <w:sz w:val="20"/>
          <w:szCs w:val="20"/>
        </w:rPr>
        <w:t xml:space="preserve"> avalanche protection</w:t>
      </w:r>
      <w:r w:rsidR="008E469E" w:rsidRPr="00507088">
        <w:rPr>
          <w:rFonts w:ascii="Georgia" w:hAnsi="Georgia"/>
          <w:sz w:val="20"/>
          <w:szCs w:val="20"/>
        </w:rPr>
        <w:t>?</w:t>
      </w:r>
      <w:r w:rsidRPr="00507088">
        <w:rPr>
          <w:rFonts w:ascii="Georgia" w:hAnsi="Georgia"/>
          <w:sz w:val="20"/>
          <w:szCs w:val="20"/>
        </w:rPr>
        <w:t xml:space="preserve"> reduction in parking</w:t>
      </w:r>
      <w:r w:rsidR="00FE1BCA" w:rsidRPr="00507088">
        <w:rPr>
          <w:rFonts w:ascii="Georgia" w:hAnsi="Georgia"/>
          <w:sz w:val="20"/>
          <w:szCs w:val="20"/>
        </w:rPr>
        <w:t>?</w:t>
      </w:r>
      <w:r w:rsidRPr="00507088">
        <w:rPr>
          <w:rFonts w:ascii="Georgia" w:hAnsi="Georgia"/>
          <w:sz w:val="20"/>
          <w:szCs w:val="20"/>
        </w:rPr>
        <w:t xml:space="preserve"> and convenient access and reasonable cost for users</w:t>
      </w:r>
      <w:r w:rsidR="00FE1BCA" w:rsidRPr="00507088">
        <w:rPr>
          <w:rFonts w:ascii="Georgia" w:hAnsi="Georgia"/>
          <w:sz w:val="20"/>
          <w:szCs w:val="20"/>
        </w:rPr>
        <w:t>?</w:t>
      </w:r>
      <w:r w:rsidRPr="00507088">
        <w:rPr>
          <w:rStyle w:val="EndnoteReference"/>
          <w:rFonts w:ascii="Georgia" w:hAnsi="Georgia"/>
          <w:sz w:val="20"/>
          <w:szCs w:val="20"/>
        </w:rPr>
        <w:endnoteReference w:id="35"/>
      </w:r>
    </w:p>
    <w:p w14:paraId="44AB9E28" w14:textId="6B77F7CA" w:rsidR="00151856" w:rsidRPr="00507088" w:rsidRDefault="00151856" w:rsidP="003737EA">
      <w:pPr>
        <w:pStyle w:val="ListParagraph"/>
        <w:numPr>
          <w:ilvl w:val="0"/>
          <w:numId w:val="4"/>
        </w:numPr>
        <w:ind w:left="1800"/>
        <w:rPr>
          <w:rFonts w:ascii="Georgia" w:hAnsi="Georgia"/>
          <w:sz w:val="20"/>
          <w:szCs w:val="20"/>
        </w:rPr>
      </w:pPr>
      <w:r w:rsidRPr="00507088">
        <w:rPr>
          <w:rFonts w:ascii="Georgia" w:hAnsi="Georgia"/>
          <w:sz w:val="20"/>
          <w:szCs w:val="20"/>
          <w:u w:val="single"/>
        </w:rPr>
        <w:t>Big Cottonwood Canyon to Park City</w:t>
      </w:r>
      <w:r w:rsidRPr="00507088">
        <w:rPr>
          <w:rStyle w:val="EndnoteReference"/>
          <w:rFonts w:ascii="Georgia" w:hAnsi="Georgia"/>
          <w:sz w:val="20"/>
          <w:szCs w:val="20"/>
          <w:u w:val="single"/>
        </w:rPr>
        <w:endnoteReference w:id="36"/>
      </w:r>
    </w:p>
    <w:p w14:paraId="7469E9CE" w14:textId="7FE7CE0C" w:rsidR="00151856" w:rsidRPr="00507088" w:rsidRDefault="008E469E" w:rsidP="003737EA">
      <w:pPr>
        <w:pStyle w:val="ListParagraph"/>
        <w:numPr>
          <w:ilvl w:val="1"/>
          <w:numId w:val="4"/>
        </w:numPr>
        <w:ind w:left="2520"/>
        <w:rPr>
          <w:rFonts w:ascii="Georgia" w:hAnsi="Georgia"/>
          <w:sz w:val="20"/>
          <w:szCs w:val="20"/>
        </w:rPr>
      </w:pPr>
      <w:r w:rsidRPr="00507088">
        <w:rPr>
          <w:rFonts w:ascii="Georgia" w:hAnsi="Georgia"/>
          <w:sz w:val="20"/>
          <w:szCs w:val="20"/>
        </w:rPr>
        <w:t xml:space="preserve">Study local, </w:t>
      </w:r>
      <w:r w:rsidR="00151856" w:rsidRPr="00507088">
        <w:rPr>
          <w:rFonts w:ascii="Georgia" w:hAnsi="Georgia"/>
          <w:sz w:val="20"/>
          <w:szCs w:val="20"/>
        </w:rPr>
        <w:t>non-auto-based connection between Big Cottonwood Canyon and Park City</w:t>
      </w:r>
      <w:r w:rsidR="00151856" w:rsidRPr="00507088">
        <w:rPr>
          <w:rStyle w:val="EndnoteReference"/>
          <w:rFonts w:ascii="Georgia" w:hAnsi="Georgia"/>
          <w:sz w:val="20"/>
          <w:szCs w:val="20"/>
        </w:rPr>
        <w:endnoteReference w:id="37"/>
      </w:r>
    </w:p>
    <w:p w14:paraId="7619C64E" w14:textId="6224088D"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Keep Guardsman’s Pass closed in Winter</w:t>
      </w:r>
      <w:r w:rsidRPr="00507088">
        <w:rPr>
          <w:rStyle w:val="EndnoteReference"/>
          <w:rFonts w:ascii="Georgia" w:hAnsi="Georgia"/>
          <w:sz w:val="20"/>
          <w:szCs w:val="20"/>
        </w:rPr>
        <w:endnoteReference w:id="38"/>
      </w:r>
    </w:p>
    <w:p w14:paraId="7C0B2C4B" w14:textId="0636A400" w:rsidR="00151856" w:rsidRPr="00507088" w:rsidRDefault="00151856" w:rsidP="003737EA">
      <w:pPr>
        <w:pStyle w:val="ListParagraph"/>
        <w:numPr>
          <w:ilvl w:val="0"/>
          <w:numId w:val="4"/>
        </w:numPr>
        <w:ind w:left="1800"/>
        <w:rPr>
          <w:rFonts w:ascii="Georgia" w:hAnsi="Georgia"/>
          <w:sz w:val="20"/>
          <w:szCs w:val="20"/>
        </w:rPr>
      </w:pPr>
      <w:r w:rsidRPr="00507088">
        <w:rPr>
          <w:rFonts w:ascii="Georgia" w:hAnsi="Georgia"/>
          <w:sz w:val="20"/>
          <w:szCs w:val="20"/>
          <w:u w:val="single"/>
        </w:rPr>
        <w:t>Parley’s Corridor</w:t>
      </w:r>
      <w:r w:rsidRPr="00507088">
        <w:rPr>
          <w:rStyle w:val="EndnoteReference"/>
          <w:rFonts w:ascii="Georgia" w:hAnsi="Georgia"/>
          <w:sz w:val="20"/>
          <w:szCs w:val="20"/>
          <w:u w:val="single"/>
        </w:rPr>
        <w:endnoteReference w:id="39"/>
      </w:r>
    </w:p>
    <w:p w14:paraId="793E447A" w14:textId="2393AB5F"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Analyze alternatives between Salt Lake Valley and Park City through Task Force</w:t>
      </w:r>
    </w:p>
    <w:p w14:paraId="147522D4" w14:textId="0AE0A60E" w:rsidR="00151856" w:rsidRPr="00507088" w:rsidRDefault="00151856" w:rsidP="003737EA">
      <w:pPr>
        <w:pStyle w:val="ListParagraph"/>
        <w:numPr>
          <w:ilvl w:val="1"/>
          <w:numId w:val="4"/>
        </w:numPr>
        <w:ind w:left="2520"/>
        <w:rPr>
          <w:rFonts w:ascii="Georgia" w:hAnsi="Georgia"/>
          <w:sz w:val="20"/>
          <w:szCs w:val="20"/>
        </w:rPr>
      </w:pPr>
      <w:r w:rsidRPr="00507088">
        <w:rPr>
          <w:rFonts w:ascii="Georgia" w:hAnsi="Georgia"/>
          <w:sz w:val="20"/>
          <w:szCs w:val="20"/>
        </w:rPr>
        <w:t>Seek concurrence for preferred alternative, then initiate NEPA</w:t>
      </w:r>
    </w:p>
    <w:p w14:paraId="00BF0262" w14:textId="11FFCAF8" w:rsidR="00151856" w:rsidRPr="00507088" w:rsidRDefault="00151856" w:rsidP="003737EA">
      <w:pPr>
        <w:pStyle w:val="ListParagraph"/>
        <w:numPr>
          <w:ilvl w:val="0"/>
          <w:numId w:val="4"/>
        </w:numPr>
        <w:ind w:left="1800"/>
        <w:rPr>
          <w:rFonts w:ascii="Georgia" w:hAnsi="Georgia"/>
          <w:sz w:val="20"/>
          <w:szCs w:val="20"/>
          <w:u w:val="single"/>
        </w:rPr>
      </w:pPr>
      <w:r w:rsidRPr="00507088">
        <w:rPr>
          <w:rFonts w:ascii="Georgia" w:hAnsi="Georgia"/>
          <w:sz w:val="20"/>
          <w:szCs w:val="20"/>
          <w:u w:val="single"/>
        </w:rPr>
        <w:t>Millcreek Canyon</w:t>
      </w:r>
      <w:r w:rsidRPr="00507088">
        <w:rPr>
          <w:rStyle w:val="EndnoteReference"/>
          <w:rFonts w:ascii="Georgia" w:hAnsi="Georgia"/>
          <w:sz w:val="20"/>
          <w:szCs w:val="20"/>
          <w:u w:val="single"/>
        </w:rPr>
        <w:endnoteReference w:id="40"/>
      </w:r>
    </w:p>
    <w:p w14:paraId="70CF58FE" w14:textId="3F001FD3" w:rsidR="00FE1BCA" w:rsidRPr="00507088" w:rsidRDefault="00151856" w:rsidP="00176F70">
      <w:pPr>
        <w:pStyle w:val="ListParagraph"/>
        <w:numPr>
          <w:ilvl w:val="1"/>
          <w:numId w:val="4"/>
        </w:numPr>
        <w:ind w:left="2520"/>
        <w:rPr>
          <w:rFonts w:ascii="Georgia" w:hAnsi="Georgia"/>
          <w:sz w:val="20"/>
          <w:szCs w:val="20"/>
          <w:u w:val="single"/>
        </w:rPr>
      </w:pPr>
      <w:r w:rsidRPr="00507088">
        <w:rPr>
          <w:rFonts w:ascii="Georgia" w:hAnsi="Georgia"/>
          <w:sz w:val="20"/>
          <w:szCs w:val="20"/>
        </w:rPr>
        <w:t>Support for shuttle, and seek cycling and pedestrian improvements</w:t>
      </w:r>
    </w:p>
    <w:p w14:paraId="50680F63" w14:textId="3D2A1B34" w:rsidR="00151856" w:rsidRPr="00507088" w:rsidRDefault="00151856" w:rsidP="003737EA">
      <w:pPr>
        <w:pStyle w:val="ListParagraph"/>
        <w:numPr>
          <w:ilvl w:val="0"/>
          <w:numId w:val="4"/>
        </w:numPr>
        <w:ind w:left="1800"/>
        <w:rPr>
          <w:rFonts w:ascii="Georgia" w:hAnsi="Georgia"/>
          <w:sz w:val="20"/>
          <w:szCs w:val="20"/>
          <w:u w:val="single"/>
        </w:rPr>
      </w:pPr>
      <w:r w:rsidRPr="00507088">
        <w:rPr>
          <w:rFonts w:ascii="Georgia" w:hAnsi="Georgia"/>
          <w:sz w:val="20"/>
          <w:szCs w:val="20"/>
          <w:u w:val="single"/>
        </w:rPr>
        <w:t>Trails and Cycling</w:t>
      </w:r>
      <w:r w:rsidRPr="00507088">
        <w:rPr>
          <w:rStyle w:val="EndnoteReference"/>
          <w:rFonts w:ascii="Georgia" w:hAnsi="Georgia"/>
          <w:sz w:val="20"/>
          <w:szCs w:val="20"/>
          <w:u w:val="single"/>
        </w:rPr>
        <w:endnoteReference w:id="41"/>
      </w:r>
    </w:p>
    <w:p w14:paraId="6EA331A1" w14:textId="62456172" w:rsidR="00BC79E7" w:rsidRPr="00EC0A20" w:rsidRDefault="00151856" w:rsidP="00EC0A20">
      <w:pPr>
        <w:pStyle w:val="ListParagraph"/>
        <w:numPr>
          <w:ilvl w:val="1"/>
          <w:numId w:val="4"/>
        </w:numPr>
        <w:ind w:left="2520"/>
        <w:rPr>
          <w:rFonts w:ascii="Georgia" w:hAnsi="Georgia"/>
          <w:sz w:val="20"/>
          <w:szCs w:val="20"/>
          <w:u w:val="single"/>
        </w:rPr>
      </w:pPr>
      <w:r w:rsidRPr="00507088">
        <w:rPr>
          <w:rFonts w:ascii="Georgia" w:hAnsi="Georgia"/>
          <w:sz w:val="20"/>
          <w:szCs w:val="20"/>
        </w:rPr>
        <w:t>Support trails and cycling plan for Central Wasatch Mountains, considering connections to recreation nodes and public transit, and support specific trails</w:t>
      </w:r>
      <w:r w:rsidR="00181FCD" w:rsidRPr="00507088">
        <w:rPr>
          <w:rFonts w:ascii="Georgia" w:hAnsi="Georgia"/>
          <w:sz w:val="20"/>
          <w:szCs w:val="20"/>
        </w:rPr>
        <w:t>.</w:t>
      </w:r>
    </w:p>
    <w:p w14:paraId="769E7C06" w14:textId="77777777" w:rsidR="00BC79E7" w:rsidRPr="00507088" w:rsidRDefault="00BC79E7" w:rsidP="003737EA">
      <w:pPr>
        <w:spacing w:after="0"/>
        <w:ind w:left="1080"/>
        <w:rPr>
          <w:rFonts w:ascii="Georgia" w:hAnsi="Georgia"/>
          <w:b/>
          <w:bCs/>
          <w:sz w:val="20"/>
          <w:szCs w:val="20"/>
          <w:u w:val="single"/>
        </w:rPr>
      </w:pPr>
    </w:p>
    <w:p w14:paraId="39EAEA3E" w14:textId="2891A61D" w:rsidR="00151856" w:rsidRPr="00507088" w:rsidRDefault="00151856" w:rsidP="003737EA">
      <w:pPr>
        <w:spacing w:after="0"/>
        <w:ind w:left="1080"/>
        <w:rPr>
          <w:rFonts w:ascii="Georgia" w:hAnsi="Georgia"/>
          <w:b/>
          <w:bCs/>
          <w:sz w:val="20"/>
          <w:szCs w:val="20"/>
          <w:u w:val="single"/>
        </w:rPr>
      </w:pPr>
      <w:r w:rsidRPr="00507088">
        <w:rPr>
          <w:rFonts w:ascii="Georgia" w:hAnsi="Georgia"/>
          <w:b/>
          <w:bCs/>
          <w:sz w:val="20"/>
          <w:szCs w:val="20"/>
          <w:u w:val="single"/>
        </w:rPr>
        <w:t>NEPA Process for Cottonwood Canyons</w:t>
      </w:r>
      <w:r w:rsidRPr="00507088">
        <w:rPr>
          <w:rStyle w:val="EndnoteReference"/>
          <w:rFonts w:ascii="Georgia" w:hAnsi="Georgia"/>
          <w:b/>
          <w:bCs/>
          <w:sz w:val="20"/>
          <w:szCs w:val="20"/>
          <w:u w:val="single"/>
        </w:rPr>
        <w:endnoteReference w:id="42"/>
      </w:r>
    </w:p>
    <w:p w14:paraId="223769BD" w14:textId="52920359" w:rsidR="00151856" w:rsidRPr="00507088" w:rsidRDefault="00151856" w:rsidP="003737EA">
      <w:pPr>
        <w:spacing w:after="0"/>
        <w:ind w:left="1080"/>
        <w:rPr>
          <w:rFonts w:ascii="Georgia" w:hAnsi="Georgia"/>
          <w:sz w:val="20"/>
          <w:szCs w:val="20"/>
        </w:rPr>
      </w:pPr>
      <w:r w:rsidRPr="00507088">
        <w:rPr>
          <w:rFonts w:ascii="Georgia" w:hAnsi="Georgia"/>
          <w:sz w:val="20"/>
          <w:szCs w:val="20"/>
        </w:rPr>
        <w:t xml:space="preserve">Mountain Accord proposed initiating a comprehensive NEPA process </w:t>
      </w:r>
      <w:r w:rsidR="00643B8A" w:rsidRPr="00507088">
        <w:rPr>
          <w:rFonts w:ascii="Georgia" w:hAnsi="Georgia"/>
          <w:sz w:val="20"/>
          <w:szCs w:val="20"/>
        </w:rPr>
        <w:t xml:space="preserve">immediately (2016) </w:t>
      </w:r>
      <w:r w:rsidRPr="00507088">
        <w:rPr>
          <w:rFonts w:ascii="Georgia" w:hAnsi="Georgia"/>
          <w:sz w:val="20"/>
          <w:szCs w:val="20"/>
        </w:rPr>
        <w:t xml:space="preserve">for land exchange and transportation matters that includes the natural and social capacity </w:t>
      </w:r>
      <w:r w:rsidR="00176F70" w:rsidRPr="00507088">
        <w:rPr>
          <w:rFonts w:ascii="Georgia" w:hAnsi="Georgia"/>
          <w:sz w:val="20"/>
          <w:szCs w:val="20"/>
        </w:rPr>
        <w:t>for the mountains</w:t>
      </w:r>
      <w:r w:rsidRPr="00507088">
        <w:rPr>
          <w:rFonts w:ascii="Georgia" w:hAnsi="Georgia"/>
          <w:sz w:val="20"/>
          <w:szCs w:val="20"/>
        </w:rPr>
        <w:t>.</w:t>
      </w:r>
    </w:p>
    <w:p w14:paraId="2E22C108" w14:textId="77777777" w:rsidR="00151856" w:rsidRPr="00507088" w:rsidRDefault="00151856" w:rsidP="003737EA">
      <w:pPr>
        <w:spacing w:after="0"/>
        <w:ind w:left="1080"/>
        <w:rPr>
          <w:rFonts w:ascii="Georgia" w:hAnsi="Georgia"/>
          <w:sz w:val="20"/>
          <w:szCs w:val="20"/>
        </w:rPr>
      </w:pPr>
    </w:p>
    <w:p w14:paraId="352FBF23" w14:textId="11472264" w:rsidR="00151856" w:rsidRPr="00507088" w:rsidRDefault="00151856" w:rsidP="003737EA">
      <w:pPr>
        <w:spacing w:after="0"/>
        <w:ind w:left="1080"/>
        <w:rPr>
          <w:rFonts w:ascii="Georgia" w:hAnsi="Georgia"/>
          <w:sz w:val="20"/>
          <w:szCs w:val="20"/>
          <w:u w:val="single"/>
        </w:rPr>
      </w:pPr>
      <w:r w:rsidRPr="00507088">
        <w:rPr>
          <w:rFonts w:ascii="Georgia" w:hAnsi="Georgia"/>
          <w:b/>
          <w:bCs/>
          <w:sz w:val="20"/>
          <w:szCs w:val="20"/>
          <w:u w:val="single"/>
        </w:rPr>
        <w:t>Environmental Monitoring, Adaptive Management, and Restoration</w:t>
      </w:r>
      <w:r w:rsidRPr="00507088">
        <w:rPr>
          <w:rStyle w:val="EndnoteReference"/>
          <w:rFonts w:ascii="Georgia" w:hAnsi="Georgia"/>
          <w:b/>
          <w:bCs/>
          <w:sz w:val="20"/>
          <w:szCs w:val="20"/>
          <w:u w:val="single"/>
        </w:rPr>
        <w:endnoteReference w:id="43"/>
      </w:r>
    </w:p>
    <w:p w14:paraId="6316F0A6" w14:textId="4C356C70" w:rsidR="00151856" w:rsidRPr="00507088" w:rsidRDefault="00151856" w:rsidP="003737EA">
      <w:pPr>
        <w:spacing w:after="0"/>
        <w:ind w:left="1080"/>
        <w:rPr>
          <w:rFonts w:ascii="Georgia" w:hAnsi="Georgia"/>
          <w:sz w:val="20"/>
          <w:szCs w:val="20"/>
        </w:rPr>
      </w:pPr>
      <w:r w:rsidRPr="00507088">
        <w:rPr>
          <w:rFonts w:ascii="Georgia" w:hAnsi="Georgia"/>
          <w:sz w:val="20"/>
          <w:szCs w:val="20"/>
        </w:rPr>
        <w:t>Mountain Accord recommended development of an Environmental Dashboard to service NEPA and other decision making, planning, restoration</w:t>
      </w:r>
      <w:r w:rsidR="00693DF2" w:rsidRPr="00507088">
        <w:rPr>
          <w:rFonts w:ascii="Georgia" w:hAnsi="Georgia"/>
          <w:sz w:val="20"/>
          <w:szCs w:val="20"/>
        </w:rPr>
        <w:t>,</w:t>
      </w:r>
      <w:r w:rsidRPr="00507088">
        <w:rPr>
          <w:rFonts w:ascii="Georgia" w:hAnsi="Georgia"/>
          <w:sz w:val="20"/>
          <w:szCs w:val="20"/>
        </w:rPr>
        <w:t xml:space="preserve"> and mitigation.</w:t>
      </w:r>
    </w:p>
    <w:p w14:paraId="2C0A69B6" w14:textId="26862EB4" w:rsidR="00151856" w:rsidRPr="00507088" w:rsidRDefault="00151856" w:rsidP="003737EA">
      <w:pPr>
        <w:spacing w:after="0"/>
        <w:ind w:left="1080"/>
        <w:rPr>
          <w:rFonts w:ascii="Georgia" w:hAnsi="Georgia"/>
          <w:sz w:val="20"/>
          <w:szCs w:val="20"/>
        </w:rPr>
      </w:pPr>
    </w:p>
    <w:p w14:paraId="517544AC" w14:textId="77777777" w:rsidR="00B82E0F" w:rsidRPr="00507088" w:rsidRDefault="00B82E0F" w:rsidP="004D20E4">
      <w:pPr>
        <w:spacing w:after="0"/>
        <w:rPr>
          <w:rFonts w:ascii="Georgia" w:hAnsi="Georgia"/>
          <w:b/>
          <w:bCs/>
          <w:sz w:val="20"/>
          <w:szCs w:val="20"/>
          <w:u w:val="single"/>
        </w:rPr>
      </w:pPr>
    </w:p>
    <w:p w14:paraId="04BA8317" w14:textId="3B15E169" w:rsidR="00151856" w:rsidRPr="00507088" w:rsidRDefault="00151856" w:rsidP="004D20E4">
      <w:pPr>
        <w:spacing w:after="0"/>
        <w:rPr>
          <w:rFonts w:ascii="Georgia" w:hAnsi="Georgia"/>
          <w:sz w:val="20"/>
          <w:szCs w:val="20"/>
          <w:u w:val="single"/>
        </w:rPr>
      </w:pPr>
      <w:r w:rsidRPr="00507088">
        <w:rPr>
          <w:rFonts w:ascii="Georgia" w:hAnsi="Georgia"/>
          <w:b/>
          <w:bCs/>
          <w:sz w:val="20"/>
          <w:szCs w:val="20"/>
          <w:u w:val="single"/>
        </w:rPr>
        <w:t>Governance and Funding</w:t>
      </w:r>
      <w:r w:rsidRPr="00507088">
        <w:rPr>
          <w:rStyle w:val="EndnoteReference"/>
          <w:rFonts w:ascii="Georgia" w:hAnsi="Georgia"/>
          <w:b/>
          <w:bCs/>
          <w:sz w:val="20"/>
          <w:szCs w:val="20"/>
          <w:u w:val="single"/>
        </w:rPr>
        <w:endnoteReference w:id="44"/>
      </w:r>
    </w:p>
    <w:p w14:paraId="5DC016E3" w14:textId="501F7403" w:rsidR="00151856" w:rsidRPr="00507088" w:rsidRDefault="00151856" w:rsidP="004D20E4">
      <w:pPr>
        <w:spacing w:after="0"/>
        <w:rPr>
          <w:rFonts w:ascii="Georgia" w:hAnsi="Georgia"/>
          <w:sz w:val="20"/>
          <w:szCs w:val="20"/>
        </w:rPr>
      </w:pPr>
      <w:r w:rsidRPr="00507088">
        <w:rPr>
          <w:rFonts w:ascii="Georgia" w:hAnsi="Georgia"/>
          <w:sz w:val="20"/>
          <w:szCs w:val="20"/>
        </w:rPr>
        <w:t xml:space="preserve">Consider governance structure that includes elected officials to facilitate </w:t>
      </w:r>
      <w:r w:rsidR="00693DF2" w:rsidRPr="00507088">
        <w:rPr>
          <w:rFonts w:ascii="Georgia" w:hAnsi="Georgia"/>
          <w:sz w:val="20"/>
          <w:szCs w:val="20"/>
        </w:rPr>
        <w:t>implementation</w:t>
      </w:r>
      <w:r w:rsidRPr="00507088">
        <w:rPr>
          <w:rFonts w:ascii="Georgia" w:hAnsi="Georgia"/>
          <w:sz w:val="20"/>
          <w:szCs w:val="20"/>
        </w:rPr>
        <w:t xml:space="preserve"> of Mountain Accord and adapt to changing circumstances.</w:t>
      </w:r>
      <w:r w:rsidRPr="00507088">
        <w:rPr>
          <w:rStyle w:val="EndnoteReference"/>
          <w:rFonts w:ascii="Georgia" w:hAnsi="Georgia"/>
          <w:sz w:val="20"/>
          <w:szCs w:val="20"/>
        </w:rPr>
        <w:endnoteReference w:id="45"/>
      </w:r>
      <w:r w:rsidRPr="00507088">
        <w:rPr>
          <w:rFonts w:ascii="Georgia" w:hAnsi="Georgia"/>
          <w:sz w:val="20"/>
          <w:szCs w:val="20"/>
        </w:rPr>
        <w:t xml:space="preserve"> Support municipal regulation of watersheds and regional land-use authority.</w:t>
      </w:r>
      <w:r w:rsidRPr="00507088">
        <w:rPr>
          <w:rStyle w:val="EndnoteReference"/>
          <w:rFonts w:ascii="Georgia" w:hAnsi="Georgia"/>
          <w:sz w:val="20"/>
          <w:szCs w:val="20"/>
        </w:rPr>
        <w:endnoteReference w:id="46"/>
      </w:r>
      <w:r w:rsidRPr="00507088">
        <w:rPr>
          <w:rFonts w:ascii="Georgia" w:hAnsi="Georgia"/>
          <w:sz w:val="20"/>
          <w:szCs w:val="20"/>
        </w:rPr>
        <w:t xml:space="preserve"> Analyze funding options and pursue funding to carry out Central Wasatch Mountains needs.</w:t>
      </w:r>
    </w:p>
    <w:p w14:paraId="7159C154" w14:textId="1B5AAD34" w:rsidR="00151856" w:rsidRPr="00507088" w:rsidRDefault="00151856" w:rsidP="004D20E4">
      <w:pPr>
        <w:spacing w:after="0"/>
        <w:rPr>
          <w:rFonts w:ascii="Georgia" w:hAnsi="Georgia"/>
          <w:sz w:val="20"/>
          <w:szCs w:val="20"/>
        </w:rPr>
      </w:pPr>
    </w:p>
    <w:p w14:paraId="00B356C5" w14:textId="752786E4" w:rsidR="00151856" w:rsidRPr="00507088" w:rsidRDefault="00151856" w:rsidP="004D20E4">
      <w:pPr>
        <w:spacing w:after="0"/>
        <w:rPr>
          <w:rFonts w:ascii="Georgia" w:hAnsi="Georgia"/>
          <w:sz w:val="20"/>
          <w:szCs w:val="20"/>
          <w:u w:val="single"/>
        </w:rPr>
      </w:pPr>
      <w:r w:rsidRPr="00507088">
        <w:rPr>
          <w:rFonts w:ascii="Georgia" w:hAnsi="Georgia"/>
          <w:b/>
          <w:bCs/>
          <w:sz w:val="20"/>
          <w:szCs w:val="20"/>
          <w:u w:val="single"/>
        </w:rPr>
        <w:t>Public Engagement and Transparency</w:t>
      </w:r>
      <w:r w:rsidRPr="00507088">
        <w:rPr>
          <w:rStyle w:val="EndnoteReference"/>
          <w:rFonts w:ascii="Georgia" w:hAnsi="Georgia"/>
          <w:b/>
          <w:bCs/>
          <w:sz w:val="20"/>
          <w:szCs w:val="20"/>
          <w:u w:val="single"/>
        </w:rPr>
        <w:endnoteReference w:id="47"/>
      </w:r>
    </w:p>
    <w:p w14:paraId="629FD1AA" w14:textId="1AB83D1D" w:rsidR="004F1122" w:rsidRDefault="00D07D09" w:rsidP="00643B8A">
      <w:pPr>
        <w:spacing w:after="0"/>
        <w:rPr>
          <w:rFonts w:ascii="Georgia" w:hAnsi="Georgia"/>
          <w:sz w:val="20"/>
          <w:szCs w:val="20"/>
        </w:rPr>
      </w:pPr>
      <w:r w:rsidRPr="00507088">
        <w:rPr>
          <w:rFonts w:ascii="Georgia" w:hAnsi="Georgia"/>
          <w:sz w:val="20"/>
          <w:szCs w:val="20"/>
        </w:rPr>
        <w:t>Commitment to maintain transparency and disclose conflicts of interest going forward.</w:t>
      </w:r>
      <w:bookmarkEnd w:id="0"/>
    </w:p>
    <w:p w14:paraId="290D4E30" w14:textId="7E7D5A4E" w:rsidR="00EC0A20" w:rsidRDefault="00EC0A20" w:rsidP="00643B8A">
      <w:pPr>
        <w:spacing w:after="0"/>
        <w:rPr>
          <w:rFonts w:ascii="Georgia" w:hAnsi="Georgia"/>
          <w:sz w:val="20"/>
          <w:szCs w:val="20"/>
        </w:rPr>
      </w:pPr>
    </w:p>
    <w:p w14:paraId="29FE5E7E" w14:textId="77777777" w:rsidR="00EC0A20" w:rsidRPr="00507088" w:rsidRDefault="00EC0A20" w:rsidP="00643B8A">
      <w:pPr>
        <w:spacing w:after="0"/>
        <w:rPr>
          <w:rFonts w:ascii="Georgia" w:hAnsi="Georgia"/>
          <w:sz w:val="20"/>
          <w:szCs w:val="20"/>
        </w:rPr>
      </w:pPr>
    </w:p>
    <w:p w14:paraId="71FADDE0" w14:textId="01DB4108" w:rsidR="00BC79E7" w:rsidRPr="00507088" w:rsidRDefault="00BC79E7" w:rsidP="00643B8A">
      <w:pPr>
        <w:spacing w:after="0"/>
        <w:rPr>
          <w:rFonts w:ascii="Georgia" w:hAnsi="Georgia"/>
          <w:sz w:val="20"/>
          <w:szCs w:val="20"/>
        </w:rPr>
      </w:pPr>
    </w:p>
    <w:p w14:paraId="535A7AEA" w14:textId="7176315A" w:rsidR="00BC79E7" w:rsidRPr="00507088" w:rsidRDefault="00BC79E7" w:rsidP="00643B8A">
      <w:pPr>
        <w:spacing w:after="0"/>
        <w:rPr>
          <w:rFonts w:ascii="Georgia" w:hAnsi="Georgia"/>
          <w:b/>
          <w:bCs/>
          <w:i/>
          <w:iCs/>
          <w:sz w:val="20"/>
          <w:szCs w:val="20"/>
          <w:u w:val="single"/>
        </w:rPr>
      </w:pPr>
      <w:r w:rsidRPr="00507088">
        <w:rPr>
          <w:rFonts w:ascii="Georgia" w:hAnsi="Georgia"/>
          <w:b/>
          <w:bCs/>
          <w:i/>
          <w:iCs/>
          <w:sz w:val="20"/>
          <w:szCs w:val="20"/>
          <w:u w:val="single"/>
        </w:rPr>
        <w:lastRenderedPageBreak/>
        <w:t xml:space="preserve">On November 5, </w:t>
      </w:r>
      <w:r w:rsidR="00507088" w:rsidRPr="00507088">
        <w:rPr>
          <w:rFonts w:ascii="Georgia" w:hAnsi="Georgia"/>
          <w:b/>
          <w:bCs/>
          <w:i/>
          <w:iCs/>
          <w:sz w:val="20"/>
          <w:szCs w:val="20"/>
          <w:u w:val="single"/>
        </w:rPr>
        <w:t>2021,</w:t>
      </w:r>
      <w:r w:rsidRPr="00507088">
        <w:rPr>
          <w:rFonts w:ascii="Georgia" w:hAnsi="Georgia"/>
          <w:b/>
          <w:bCs/>
          <w:i/>
          <w:iCs/>
          <w:sz w:val="20"/>
          <w:szCs w:val="20"/>
          <w:u w:val="single"/>
        </w:rPr>
        <w:t xml:space="preserve"> The Central Wasatch Commission Board of </w:t>
      </w:r>
      <w:r w:rsidR="00507088" w:rsidRPr="00507088">
        <w:rPr>
          <w:rFonts w:ascii="Georgia" w:hAnsi="Georgia"/>
          <w:b/>
          <w:bCs/>
          <w:i/>
          <w:iCs/>
          <w:sz w:val="20"/>
          <w:szCs w:val="20"/>
          <w:u w:val="single"/>
        </w:rPr>
        <w:t>Commissioners</w:t>
      </w:r>
      <w:r w:rsidRPr="00507088">
        <w:rPr>
          <w:rFonts w:ascii="Georgia" w:hAnsi="Georgia"/>
          <w:b/>
          <w:bCs/>
          <w:i/>
          <w:iCs/>
          <w:sz w:val="20"/>
          <w:szCs w:val="20"/>
          <w:u w:val="single"/>
        </w:rPr>
        <w:t xml:space="preserve"> met in retreat and determined the desire to:</w:t>
      </w:r>
    </w:p>
    <w:p w14:paraId="66E271A6" w14:textId="2A920062" w:rsidR="00BC79E7" w:rsidRPr="00507088" w:rsidRDefault="00BC79E7" w:rsidP="00BC79E7">
      <w:pPr>
        <w:pStyle w:val="ListParagraph"/>
        <w:numPr>
          <w:ilvl w:val="0"/>
          <w:numId w:val="5"/>
        </w:numPr>
        <w:spacing w:after="0"/>
        <w:rPr>
          <w:rFonts w:ascii="Georgia" w:hAnsi="Georgia"/>
          <w:b/>
          <w:bCs/>
          <w:i/>
          <w:iCs/>
          <w:sz w:val="20"/>
          <w:szCs w:val="20"/>
        </w:rPr>
      </w:pPr>
      <w:r w:rsidRPr="00507088">
        <w:rPr>
          <w:rFonts w:ascii="Georgia" w:hAnsi="Georgia"/>
          <w:b/>
          <w:bCs/>
          <w:i/>
          <w:iCs/>
          <w:sz w:val="20"/>
          <w:szCs w:val="20"/>
        </w:rPr>
        <w:t>Redefine and recertify Mountain Accord</w:t>
      </w:r>
    </w:p>
    <w:p w14:paraId="3E257177" w14:textId="0FAD891E" w:rsidR="00BC79E7" w:rsidRPr="00507088" w:rsidRDefault="00BC79E7" w:rsidP="00BC79E7">
      <w:pPr>
        <w:pStyle w:val="ListParagraph"/>
        <w:numPr>
          <w:ilvl w:val="0"/>
          <w:numId w:val="5"/>
        </w:numPr>
        <w:spacing w:after="0"/>
        <w:rPr>
          <w:rFonts w:ascii="Georgia" w:hAnsi="Georgia"/>
          <w:b/>
          <w:bCs/>
          <w:i/>
          <w:iCs/>
          <w:sz w:val="20"/>
          <w:szCs w:val="20"/>
        </w:rPr>
      </w:pPr>
      <w:r w:rsidRPr="00507088">
        <w:rPr>
          <w:rFonts w:ascii="Georgia" w:hAnsi="Georgia"/>
          <w:b/>
          <w:bCs/>
          <w:i/>
          <w:iCs/>
          <w:sz w:val="20"/>
          <w:szCs w:val="20"/>
        </w:rPr>
        <w:t>Recommit to Mountain Accord</w:t>
      </w:r>
    </w:p>
    <w:p w14:paraId="0F71F55B" w14:textId="19DD1B6D" w:rsidR="00BC79E7" w:rsidRPr="00507088" w:rsidRDefault="00BC79E7" w:rsidP="00BC79E7">
      <w:pPr>
        <w:pStyle w:val="ListParagraph"/>
        <w:numPr>
          <w:ilvl w:val="0"/>
          <w:numId w:val="5"/>
        </w:numPr>
        <w:spacing w:after="0"/>
        <w:rPr>
          <w:rFonts w:ascii="Georgia" w:hAnsi="Georgia"/>
          <w:b/>
          <w:bCs/>
          <w:i/>
          <w:iCs/>
          <w:sz w:val="20"/>
          <w:szCs w:val="20"/>
        </w:rPr>
      </w:pPr>
      <w:r w:rsidRPr="00507088">
        <w:rPr>
          <w:rFonts w:ascii="Georgia" w:hAnsi="Georgia"/>
          <w:b/>
          <w:bCs/>
          <w:i/>
          <w:iCs/>
          <w:sz w:val="20"/>
          <w:szCs w:val="20"/>
        </w:rPr>
        <w:t>Review board structure</w:t>
      </w:r>
    </w:p>
    <w:p w14:paraId="5271DFDD" w14:textId="2734E1D9" w:rsidR="00BC79E7" w:rsidRPr="00507088" w:rsidRDefault="00BC79E7" w:rsidP="00BC79E7">
      <w:pPr>
        <w:pStyle w:val="ListParagraph"/>
        <w:numPr>
          <w:ilvl w:val="0"/>
          <w:numId w:val="5"/>
        </w:numPr>
        <w:spacing w:after="0"/>
        <w:rPr>
          <w:rFonts w:ascii="Georgia" w:hAnsi="Georgia"/>
          <w:b/>
          <w:bCs/>
          <w:i/>
          <w:iCs/>
          <w:sz w:val="20"/>
          <w:szCs w:val="20"/>
        </w:rPr>
      </w:pPr>
      <w:r w:rsidRPr="00507088">
        <w:rPr>
          <w:rFonts w:ascii="Georgia" w:hAnsi="Georgia"/>
          <w:b/>
          <w:bCs/>
          <w:i/>
          <w:iCs/>
          <w:sz w:val="20"/>
          <w:szCs w:val="20"/>
        </w:rPr>
        <w:t>Review management structure</w:t>
      </w:r>
    </w:p>
    <w:p w14:paraId="32C8FE13" w14:textId="124F1196" w:rsidR="00BC79E7" w:rsidRPr="00507088" w:rsidRDefault="00BC79E7" w:rsidP="00BC79E7">
      <w:pPr>
        <w:spacing w:after="0"/>
        <w:rPr>
          <w:rFonts w:ascii="Georgia" w:hAnsi="Georgia"/>
          <w:b/>
          <w:bCs/>
          <w:i/>
          <w:iCs/>
          <w:sz w:val="20"/>
          <w:szCs w:val="20"/>
        </w:rPr>
      </w:pPr>
    </w:p>
    <w:p w14:paraId="7E625233" w14:textId="5F09F3A2" w:rsidR="00BC79E7" w:rsidRPr="00507088" w:rsidRDefault="00BC79E7" w:rsidP="00BC79E7">
      <w:pPr>
        <w:spacing w:after="0"/>
        <w:rPr>
          <w:rFonts w:ascii="Georgia" w:hAnsi="Georgia"/>
          <w:b/>
          <w:bCs/>
          <w:i/>
          <w:iCs/>
          <w:sz w:val="20"/>
          <w:szCs w:val="20"/>
        </w:rPr>
      </w:pPr>
      <w:r w:rsidRPr="00507088">
        <w:rPr>
          <w:rFonts w:ascii="Georgia" w:hAnsi="Georgia"/>
          <w:b/>
          <w:bCs/>
          <w:i/>
          <w:iCs/>
          <w:sz w:val="20"/>
          <w:szCs w:val="20"/>
        </w:rPr>
        <w:t>This Request for Proposal is based upon that request.</w:t>
      </w:r>
    </w:p>
    <w:p w14:paraId="32ECEEDB" w14:textId="1E7BE0DE" w:rsidR="00BC79E7" w:rsidRPr="00EC0A20" w:rsidRDefault="00BC79E7" w:rsidP="00643B8A">
      <w:pPr>
        <w:spacing w:after="0"/>
        <w:rPr>
          <w:rFonts w:ascii="Georgia" w:hAnsi="Georgia"/>
          <w:b/>
          <w:bCs/>
          <w:i/>
          <w:iCs/>
          <w:sz w:val="20"/>
          <w:szCs w:val="20"/>
        </w:rPr>
      </w:pPr>
      <w:r w:rsidRPr="00507088">
        <w:rPr>
          <w:rFonts w:ascii="Georgia" w:hAnsi="Georgia"/>
          <w:b/>
          <w:bCs/>
          <w:i/>
          <w:iCs/>
          <w:sz w:val="20"/>
          <w:szCs w:val="20"/>
        </w:rPr>
        <w:t>Additional information regarding Mountain Accord, The Central Wasatch Commission may be found on the Central Wasatch Commission website</w:t>
      </w:r>
      <w:r w:rsidR="003762E4" w:rsidRPr="00507088">
        <w:rPr>
          <w:rFonts w:ascii="Georgia" w:hAnsi="Georgia"/>
          <w:b/>
          <w:bCs/>
          <w:i/>
          <w:iCs/>
          <w:sz w:val="20"/>
          <w:szCs w:val="20"/>
        </w:rPr>
        <w:t xml:space="preserve">, which also includes minutes of the 11.5.2021 CWD Board Retreat. </w:t>
      </w:r>
    </w:p>
    <w:sectPr w:rsidR="00BC79E7" w:rsidRPr="00EC0A20" w:rsidSect="00905F8B">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9EEB1" w14:textId="77777777" w:rsidR="00AE28A2" w:rsidRDefault="00AE28A2" w:rsidP="006F72EA">
      <w:pPr>
        <w:spacing w:after="0" w:line="240" w:lineRule="auto"/>
      </w:pPr>
      <w:r>
        <w:separator/>
      </w:r>
    </w:p>
  </w:endnote>
  <w:endnote w:type="continuationSeparator" w:id="0">
    <w:p w14:paraId="61A432E2" w14:textId="77777777" w:rsidR="00AE28A2" w:rsidRDefault="00AE28A2" w:rsidP="006F72EA">
      <w:pPr>
        <w:spacing w:after="0" w:line="240" w:lineRule="auto"/>
      </w:pPr>
      <w:r>
        <w:continuationSeparator/>
      </w:r>
    </w:p>
  </w:endnote>
  <w:endnote w:id="1">
    <w:p w14:paraId="34B35CE5" w14:textId="3B631929" w:rsidR="00151856" w:rsidRDefault="00151856">
      <w:pPr>
        <w:pStyle w:val="EndnoteText"/>
      </w:pPr>
      <w:r>
        <w:rPr>
          <w:rStyle w:val="EndnoteReference"/>
        </w:rPr>
        <w:endnoteRef/>
      </w:r>
      <w:r>
        <w:t xml:space="preserve"> This </w:t>
      </w:r>
      <w:r w:rsidR="003530CB">
        <w:t>synopsis</w:t>
      </w:r>
      <w:r>
        <w:t xml:space="preserve"> attempts to </w:t>
      </w:r>
      <w:r w:rsidR="00643B8A">
        <w:t>condense</w:t>
      </w:r>
      <w:r>
        <w:t xml:space="preserve"> for ease of reading the agreement</w:t>
      </w:r>
      <w:r w:rsidR="003530CB">
        <w:t>:</w:t>
      </w:r>
      <w:r>
        <w:t xml:space="preserve"> Mountain Accord. Please refer to Mountain Accord specific language, </w:t>
      </w:r>
      <w:hyperlink r:id="rId1" w:history="1">
        <w:r w:rsidRPr="00BA22F3">
          <w:rPr>
            <w:rStyle w:val="Hyperlink"/>
          </w:rPr>
          <w:t>linked</w:t>
        </w:r>
      </w:hyperlink>
      <w:r>
        <w:t xml:space="preserve">, and referenced/footnoted </w:t>
      </w:r>
      <w:r w:rsidR="003A784B">
        <w:t xml:space="preserve">in this </w:t>
      </w:r>
      <w:r w:rsidR="003530CB">
        <w:t>Synopsis</w:t>
      </w:r>
      <w:r w:rsidR="003A784B">
        <w:t xml:space="preserve"> </w:t>
      </w:r>
      <w:r>
        <w:t>to each Mountain Accord section</w:t>
      </w:r>
      <w:r w:rsidR="00E905E4">
        <w:t>.</w:t>
      </w:r>
      <w:r>
        <w:t xml:space="preserve"> </w:t>
      </w:r>
    </w:p>
  </w:endnote>
  <w:endnote w:id="2">
    <w:p w14:paraId="3C58F05C" w14:textId="2CAD8707" w:rsidR="00151856" w:rsidRDefault="00151856">
      <w:pPr>
        <w:pStyle w:val="EndnoteText"/>
      </w:pPr>
      <w:r>
        <w:rPr>
          <w:rStyle w:val="EndnoteReference"/>
        </w:rPr>
        <w:endnoteRef/>
      </w:r>
      <w:r>
        <w:t xml:space="preserve"> Pages 3-4, Section 1</w:t>
      </w:r>
    </w:p>
  </w:endnote>
  <w:endnote w:id="3">
    <w:p w14:paraId="1A896E9B" w14:textId="3F33C80F" w:rsidR="00151856" w:rsidRDefault="00151856">
      <w:pPr>
        <w:pStyle w:val="EndnoteText"/>
      </w:pPr>
      <w:r>
        <w:rPr>
          <w:rStyle w:val="EndnoteReference"/>
        </w:rPr>
        <w:endnoteRef/>
      </w:r>
      <w:r>
        <w:t xml:space="preserve"> 1.1</w:t>
      </w:r>
    </w:p>
  </w:endnote>
  <w:endnote w:id="4">
    <w:p w14:paraId="45C1BC1B" w14:textId="68C80FA3" w:rsidR="00151856" w:rsidRDefault="00151856">
      <w:pPr>
        <w:pStyle w:val="EndnoteText"/>
      </w:pPr>
      <w:r>
        <w:rPr>
          <w:rStyle w:val="EndnoteReference"/>
        </w:rPr>
        <w:endnoteRef/>
      </w:r>
      <w:r>
        <w:t xml:space="preserve"> 1.2</w:t>
      </w:r>
    </w:p>
  </w:endnote>
  <w:endnote w:id="5">
    <w:p w14:paraId="7FE86289" w14:textId="45508235" w:rsidR="00151856" w:rsidRDefault="00151856">
      <w:pPr>
        <w:pStyle w:val="EndnoteText"/>
      </w:pPr>
      <w:r>
        <w:rPr>
          <w:rStyle w:val="EndnoteReference"/>
        </w:rPr>
        <w:endnoteRef/>
      </w:r>
      <w:r>
        <w:t xml:space="preserve"> 1.3</w:t>
      </w:r>
    </w:p>
  </w:endnote>
  <w:endnote w:id="6">
    <w:p w14:paraId="1B952E12" w14:textId="4072548E" w:rsidR="00151856" w:rsidRDefault="00151856">
      <w:pPr>
        <w:pStyle w:val="EndnoteText"/>
      </w:pPr>
      <w:r>
        <w:rPr>
          <w:rStyle w:val="EndnoteReference"/>
        </w:rPr>
        <w:endnoteRef/>
      </w:r>
      <w:r>
        <w:t xml:space="preserve"> 1.5</w:t>
      </w:r>
    </w:p>
  </w:endnote>
  <w:endnote w:id="7">
    <w:p w14:paraId="48E6FFA0" w14:textId="357A4484" w:rsidR="00151856" w:rsidRDefault="00151856">
      <w:pPr>
        <w:pStyle w:val="EndnoteText"/>
      </w:pPr>
      <w:r>
        <w:rPr>
          <w:rStyle w:val="EndnoteReference"/>
        </w:rPr>
        <w:endnoteRef/>
      </w:r>
      <w:r>
        <w:t xml:space="preserve"> 1.7</w:t>
      </w:r>
    </w:p>
  </w:endnote>
  <w:endnote w:id="8">
    <w:p w14:paraId="5142B4E8" w14:textId="7EB97AEB" w:rsidR="00151856" w:rsidRDefault="00151856">
      <w:pPr>
        <w:pStyle w:val="EndnoteText"/>
      </w:pPr>
      <w:r>
        <w:rPr>
          <w:rStyle w:val="EndnoteReference"/>
        </w:rPr>
        <w:endnoteRef/>
      </w:r>
      <w:r>
        <w:t xml:space="preserve"> Pages 3-4, Section 2.</w:t>
      </w:r>
    </w:p>
  </w:endnote>
  <w:endnote w:id="9">
    <w:p w14:paraId="560C825E" w14:textId="2E81AA0A" w:rsidR="00151856" w:rsidRDefault="00151856">
      <w:pPr>
        <w:pStyle w:val="EndnoteText"/>
      </w:pPr>
      <w:r>
        <w:rPr>
          <w:rStyle w:val="EndnoteReference"/>
        </w:rPr>
        <w:endnoteRef/>
      </w:r>
      <w:r>
        <w:t xml:space="preserve"> 2.1</w:t>
      </w:r>
    </w:p>
  </w:endnote>
  <w:endnote w:id="10">
    <w:p w14:paraId="1B51760E" w14:textId="51E7FDF6" w:rsidR="00151856" w:rsidRDefault="00151856">
      <w:pPr>
        <w:pStyle w:val="EndnoteText"/>
      </w:pPr>
      <w:r>
        <w:rPr>
          <w:rStyle w:val="EndnoteReference"/>
        </w:rPr>
        <w:endnoteRef/>
      </w:r>
      <w:r>
        <w:t xml:space="preserve"> 2.2</w:t>
      </w:r>
    </w:p>
  </w:endnote>
  <w:endnote w:id="11">
    <w:p w14:paraId="28C0E557" w14:textId="17804FA1" w:rsidR="00151856" w:rsidRDefault="00151856">
      <w:pPr>
        <w:pStyle w:val="EndnoteText"/>
      </w:pPr>
      <w:r>
        <w:rPr>
          <w:rStyle w:val="EndnoteReference"/>
        </w:rPr>
        <w:endnoteRef/>
      </w:r>
      <w:r>
        <w:t xml:space="preserve"> 2.3</w:t>
      </w:r>
    </w:p>
  </w:endnote>
  <w:endnote w:id="12">
    <w:p w14:paraId="0A81F7CC" w14:textId="54E050C4" w:rsidR="00151856" w:rsidRDefault="00151856">
      <w:pPr>
        <w:pStyle w:val="EndnoteText"/>
      </w:pPr>
      <w:r>
        <w:rPr>
          <w:rStyle w:val="EndnoteReference"/>
        </w:rPr>
        <w:endnoteRef/>
      </w:r>
      <w:r>
        <w:t xml:space="preserve"> 2.4</w:t>
      </w:r>
    </w:p>
  </w:endnote>
  <w:endnote w:id="13">
    <w:p w14:paraId="783FCDC0" w14:textId="37DF3E7D" w:rsidR="00151856" w:rsidRDefault="00151856">
      <w:pPr>
        <w:pStyle w:val="EndnoteText"/>
      </w:pPr>
      <w:r>
        <w:rPr>
          <w:rStyle w:val="EndnoteReference"/>
        </w:rPr>
        <w:endnoteRef/>
      </w:r>
      <w:r>
        <w:t xml:space="preserve"> 2.5</w:t>
      </w:r>
    </w:p>
  </w:endnote>
  <w:endnote w:id="14">
    <w:p w14:paraId="04FB0282" w14:textId="5A5B616A" w:rsidR="00151856" w:rsidRDefault="00151856">
      <w:pPr>
        <w:pStyle w:val="EndnoteText"/>
      </w:pPr>
      <w:r>
        <w:rPr>
          <w:rStyle w:val="EndnoteReference"/>
        </w:rPr>
        <w:endnoteRef/>
      </w:r>
      <w:r>
        <w:t xml:space="preserve"> 2.6</w:t>
      </w:r>
    </w:p>
  </w:endnote>
  <w:endnote w:id="15">
    <w:p w14:paraId="5872EFCF" w14:textId="702F15CB" w:rsidR="00151856" w:rsidRDefault="00151856">
      <w:pPr>
        <w:pStyle w:val="EndnoteText"/>
      </w:pPr>
      <w:r>
        <w:rPr>
          <w:rStyle w:val="EndnoteReference"/>
        </w:rPr>
        <w:endnoteRef/>
      </w:r>
      <w:r>
        <w:t xml:space="preserve"> 2.7</w:t>
      </w:r>
    </w:p>
  </w:endnote>
  <w:endnote w:id="16">
    <w:p w14:paraId="76B6FC61" w14:textId="6F6FAE9E" w:rsidR="00151856" w:rsidRDefault="00151856">
      <w:pPr>
        <w:pStyle w:val="EndnoteText"/>
      </w:pPr>
      <w:r>
        <w:rPr>
          <w:rStyle w:val="EndnoteReference"/>
        </w:rPr>
        <w:endnoteRef/>
      </w:r>
      <w:r>
        <w:t xml:space="preserve"> Pages 4-10,</w:t>
      </w:r>
      <w:r w:rsidR="00567D4F">
        <w:t xml:space="preserve"> </w:t>
      </w:r>
      <w:r>
        <w:t>Section 3</w:t>
      </w:r>
    </w:p>
  </w:endnote>
  <w:endnote w:id="17">
    <w:p w14:paraId="673336D6" w14:textId="7D2C3F16" w:rsidR="00151856" w:rsidRDefault="00151856">
      <w:pPr>
        <w:pStyle w:val="EndnoteText"/>
      </w:pPr>
      <w:r>
        <w:rPr>
          <w:rStyle w:val="EndnoteReference"/>
        </w:rPr>
        <w:endnoteRef/>
      </w:r>
      <w:r>
        <w:t xml:space="preserve"> 3.1</w:t>
      </w:r>
    </w:p>
  </w:endnote>
  <w:endnote w:id="18">
    <w:p w14:paraId="6EC0F8CC" w14:textId="674F2533" w:rsidR="00151856" w:rsidRDefault="00151856">
      <w:pPr>
        <w:pStyle w:val="EndnoteText"/>
      </w:pPr>
      <w:r>
        <w:rPr>
          <w:rStyle w:val="EndnoteReference"/>
        </w:rPr>
        <w:endnoteRef/>
      </w:r>
      <w:r>
        <w:t xml:space="preserve"> Pages 5-6, Section 3.2</w:t>
      </w:r>
    </w:p>
  </w:endnote>
  <w:endnote w:id="19">
    <w:p w14:paraId="443FACC8" w14:textId="7E20A6C7" w:rsidR="00151856" w:rsidRDefault="00151856">
      <w:pPr>
        <w:pStyle w:val="EndnoteText"/>
      </w:pPr>
      <w:r>
        <w:rPr>
          <w:rStyle w:val="EndnoteReference"/>
        </w:rPr>
        <w:endnoteRef/>
      </w:r>
      <w:r>
        <w:t xml:space="preserve"> 3.2.1, 3.2.4</w:t>
      </w:r>
    </w:p>
  </w:endnote>
  <w:endnote w:id="20">
    <w:p w14:paraId="14D7684C" w14:textId="3EC26692" w:rsidR="00151856" w:rsidRDefault="00151856">
      <w:pPr>
        <w:pStyle w:val="EndnoteText"/>
      </w:pPr>
      <w:r>
        <w:rPr>
          <w:rStyle w:val="EndnoteReference"/>
        </w:rPr>
        <w:endnoteRef/>
      </w:r>
      <w:r>
        <w:t xml:space="preserve"> 3.2.2</w:t>
      </w:r>
    </w:p>
  </w:endnote>
  <w:endnote w:id="21">
    <w:p w14:paraId="6B09A77C" w14:textId="3CBBB37B" w:rsidR="00151856" w:rsidRDefault="00151856">
      <w:pPr>
        <w:pStyle w:val="EndnoteText"/>
      </w:pPr>
      <w:r>
        <w:rPr>
          <w:rStyle w:val="EndnoteReference"/>
        </w:rPr>
        <w:endnoteRef/>
      </w:r>
      <w:r>
        <w:t xml:space="preserve"> 3.2.3</w:t>
      </w:r>
    </w:p>
  </w:endnote>
  <w:endnote w:id="22">
    <w:p w14:paraId="55988B0C" w14:textId="54EEE471" w:rsidR="00151856" w:rsidRDefault="00151856">
      <w:pPr>
        <w:pStyle w:val="EndnoteText"/>
      </w:pPr>
      <w:r>
        <w:rPr>
          <w:rStyle w:val="EndnoteReference"/>
        </w:rPr>
        <w:endnoteRef/>
      </w:r>
      <w:r>
        <w:t xml:space="preserve"> 3.2.5</w:t>
      </w:r>
    </w:p>
  </w:endnote>
  <w:endnote w:id="23">
    <w:p w14:paraId="2E64B7E5" w14:textId="50BBE112" w:rsidR="00151856" w:rsidRDefault="00151856">
      <w:pPr>
        <w:pStyle w:val="EndnoteText"/>
      </w:pPr>
      <w:r>
        <w:rPr>
          <w:rStyle w:val="EndnoteReference"/>
        </w:rPr>
        <w:endnoteRef/>
      </w:r>
      <w:r>
        <w:t xml:space="preserve"> 3.2.6</w:t>
      </w:r>
    </w:p>
  </w:endnote>
  <w:endnote w:id="24">
    <w:p w14:paraId="39672674" w14:textId="66006FA8" w:rsidR="00151856" w:rsidRDefault="00151856">
      <w:pPr>
        <w:pStyle w:val="EndnoteText"/>
      </w:pPr>
      <w:r>
        <w:rPr>
          <w:rStyle w:val="EndnoteReference"/>
        </w:rPr>
        <w:endnoteRef/>
      </w:r>
      <w:r>
        <w:t xml:space="preserve"> 3.2.7</w:t>
      </w:r>
    </w:p>
  </w:endnote>
  <w:endnote w:id="25">
    <w:p w14:paraId="314E2BC7" w14:textId="340EDD3A" w:rsidR="00151856" w:rsidRDefault="00151856">
      <w:pPr>
        <w:pStyle w:val="EndnoteText"/>
      </w:pPr>
      <w:r>
        <w:rPr>
          <w:rStyle w:val="EndnoteReference"/>
        </w:rPr>
        <w:endnoteRef/>
      </w:r>
      <w:r>
        <w:t xml:space="preserve"> Pages 6-10, Section 3.3</w:t>
      </w:r>
    </w:p>
  </w:endnote>
  <w:endnote w:id="26">
    <w:p w14:paraId="6EF1291F" w14:textId="03D35E34" w:rsidR="00151856" w:rsidRDefault="00151856">
      <w:pPr>
        <w:pStyle w:val="EndnoteText"/>
      </w:pPr>
      <w:r>
        <w:rPr>
          <w:rStyle w:val="EndnoteReference"/>
        </w:rPr>
        <w:endnoteRef/>
      </w:r>
      <w:r>
        <w:t xml:space="preserve"> Page 10, Section 3.8</w:t>
      </w:r>
    </w:p>
  </w:endnote>
  <w:endnote w:id="27">
    <w:p w14:paraId="67ECB4AC" w14:textId="1901E2D3" w:rsidR="00151856" w:rsidRDefault="00151856">
      <w:pPr>
        <w:pStyle w:val="EndnoteText"/>
      </w:pPr>
      <w:r>
        <w:rPr>
          <w:rStyle w:val="EndnoteReference"/>
        </w:rPr>
        <w:endnoteRef/>
      </w:r>
      <w:r>
        <w:t xml:space="preserve"> Page 10-13, Section 3.9-3.13</w:t>
      </w:r>
    </w:p>
  </w:endnote>
  <w:endnote w:id="28">
    <w:p w14:paraId="12372335" w14:textId="290BAEDF" w:rsidR="00151856" w:rsidRDefault="00151856">
      <w:pPr>
        <w:pStyle w:val="EndnoteText"/>
      </w:pPr>
      <w:r>
        <w:rPr>
          <w:rStyle w:val="EndnoteReference"/>
        </w:rPr>
        <w:endnoteRef/>
      </w:r>
      <w:r>
        <w:t xml:space="preserve"> 3.10 Pages 11-12</w:t>
      </w:r>
    </w:p>
  </w:endnote>
  <w:endnote w:id="29">
    <w:p w14:paraId="4B660567" w14:textId="4069C2A5" w:rsidR="00151856" w:rsidRDefault="00151856">
      <w:pPr>
        <w:pStyle w:val="EndnoteText"/>
      </w:pPr>
      <w:r>
        <w:rPr>
          <w:rStyle w:val="EndnoteReference"/>
        </w:rPr>
        <w:endnoteRef/>
      </w:r>
      <w:r>
        <w:t xml:space="preserve"> 3.10.1, Page 11</w:t>
      </w:r>
    </w:p>
  </w:endnote>
  <w:endnote w:id="30">
    <w:p w14:paraId="3998ACDF" w14:textId="2818DBE8" w:rsidR="00151856" w:rsidRDefault="00151856">
      <w:pPr>
        <w:pStyle w:val="EndnoteText"/>
      </w:pPr>
      <w:r>
        <w:rPr>
          <w:rStyle w:val="EndnoteReference"/>
        </w:rPr>
        <w:endnoteRef/>
      </w:r>
      <w:r>
        <w:t xml:space="preserve"> 3.10.3 Page 11</w:t>
      </w:r>
    </w:p>
  </w:endnote>
  <w:endnote w:id="31">
    <w:p w14:paraId="0F5CB8D3" w14:textId="030593F2" w:rsidR="00151856" w:rsidRDefault="00151856">
      <w:pPr>
        <w:pStyle w:val="EndnoteText"/>
      </w:pPr>
      <w:r>
        <w:rPr>
          <w:rStyle w:val="EndnoteReference"/>
        </w:rPr>
        <w:endnoteRef/>
      </w:r>
      <w:r>
        <w:t xml:space="preserve"> 3.10.4, Page 11</w:t>
      </w:r>
    </w:p>
  </w:endnote>
  <w:endnote w:id="32">
    <w:p w14:paraId="0A762D6F" w14:textId="02158E09" w:rsidR="00151856" w:rsidRDefault="00151856">
      <w:pPr>
        <w:pStyle w:val="EndnoteText"/>
      </w:pPr>
      <w:r>
        <w:rPr>
          <w:rStyle w:val="EndnoteReference"/>
        </w:rPr>
        <w:endnoteRef/>
      </w:r>
      <w:r>
        <w:t xml:space="preserve"> 3.10.5, Page 11</w:t>
      </w:r>
    </w:p>
  </w:endnote>
  <w:endnote w:id="33">
    <w:p w14:paraId="51515DC3" w14:textId="18691922" w:rsidR="00151856" w:rsidRDefault="00151856">
      <w:pPr>
        <w:pStyle w:val="EndnoteText"/>
      </w:pPr>
      <w:r>
        <w:rPr>
          <w:rStyle w:val="EndnoteReference"/>
        </w:rPr>
        <w:endnoteRef/>
      </w:r>
      <w:r>
        <w:t xml:space="preserve"> 3.10.6, Page 11</w:t>
      </w:r>
    </w:p>
  </w:endnote>
  <w:endnote w:id="34">
    <w:p w14:paraId="273830C1" w14:textId="264A276A" w:rsidR="00151856" w:rsidRDefault="00151856">
      <w:pPr>
        <w:pStyle w:val="EndnoteText"/>
      </w:pPr>
      <w:r>
        <w:rPr>
          <w:rStyle w:val="EndnoteReference"/>
        </w:rPr>
        <w:endnoteRef/>
      </w:r>
      <w:r>
        <w:t xml:space="preserve"> 3.10.7, Page 12</w:t>
      </w:r>
    </w:p>
  </w:endnote>
  <w:endnote w:id="35">
    <w:p w14:paraId="10396BB7" w14:textId="421E8B7B" w:rsidR="00151856" w:rsidRDefault="00151856">
      <w:pPr>
        <w:pStyle w:val="EndnoteText"/>
      </w:pPr>
      <w:r>
        <w:rPr>
          <w:rStyle w:val="EndnoteReference"/>
        </w:rPr>
        <w:endnoteRef/>
      </w:r>
      <w:r>
        <w:t xml:space="preserve"> 3.10.8, Page 12</w:t>
      </w:r>
    </w:p>
  </w:endnote>
  <w:endnote w:id="36">
    <w:p w14:paraId="2384193E" w14:textId="15E0C87C" w:rsidR="00151856" w:rsidRDefault="00151856">
      <w:pPr>
        <w:pStyle w:val="EndnoteText"/>
      </w:pPr>
      <w:r>
        <w:rPr>
          <w:rStyle w:val="EndnoteReference"/>
        </w:rPr>
        <w:endnoteRef/>
      </w:r>
      <w:r>
        <w:t xml:space="preserve"> 3.11, Page 12</w:t>
      </w:r>
    </w:p>
  </w:endnote>
  <w:endnote w:id="37">
    <w:p w14:paraId="183C6A8A" w14:textId="061FEC76" w:rsidR="00151856" w:rsidRDefault="00151856">
      <w:pPr>
        <w:pStyle w:val="EndnoteText"/>
      </w:pPr>
      <w:r>
        <w:rPr>
          <w:rStyle w:val="EndnoteReference"/>
        </w:rPr>
        <w:endnoteRef/>
      </w:r>
      <w:r>
        <w:t xml:space="preserve"> 3.11.1 &amp; 3.11.3, Page 12</w:t>
      </w:r>
    </w:p>
  </w:endnote>
  <w:endnote w:id="38">
    <w:p w14:paraId="1B68E6BC" w14:textId="147D6AC8" w:rsidR="00151856" w:rsidRDefault="00151856">
      <w:pPr>
        <w:pStyle w:val="EndnoteText"/>
      </w:pPr>
      <w:r>
        <w:rPr>
          <w:rStyle w:val="EndnoteReference"/>
        </w:rPr>
        <w:endnoteRef/>
      </w:r>
      <w:r>
        <w:t xml:space="preserve"> 3.11.4, Page 12</w:t>
      </w:r>
    </w:p>
  </w:endnote>
  <w:endnote w:id="39">
    <w:p w14:paraId="1EDC1AE7" w14:textId="7BA50ED3" w:rsidR="00151856" w:rsidRDefault="00151856">
      <w:pPr>
        <w:pStyle w:val="EndnoteText"/>
      </w:pPr>
      <w:r>
        <w:rPr>
          <w:rStyle w:val="EndnoteReference"/>
        </w:rPr>
        <w:endnoteRef/>
      </w:r>
      <w:r>
        <w:t xml:space="preserve"> 3.12, Pages 12-13</w:t>
      </w:r>
    </w:p>
  </w:endnote>
  <w:endnote w:id="40">
    <w:p w14:paraId="3B3E1C7A" w14:textId="527C9F80" w:rsidR="00151856" w:rsidRDefault="00151856">
      <w:pPr>
        <w:pStyle w:val="EndnoteText"/>
      </w:pPr>
      <w:r>
        <w:rPr>
          <w:rStyle w:val="EndnoteReference"/>
        </w:rPr>
        <w:endnoteRef/>
      </w:r>
      <w:r>
        <w:t xml:space="preserve"> 3.13, Page 13</w:t>
      </w:r>
    </w:p>
  </w:endnote>
  <w:endnote w:id="41">
    <w:p w14:paraId="0C28C7D3" w14:textId="6EB8A8A1" w:rsidR="00151856" w:rsidRDefault="00151856">
      <w:pPr>
        <w:pStyle w:val="EndnoteText"/>
      </w:pPr>
      <w:r>
        <w:rPr>
          <w:rStyle w:val="EndnoteReference"/>
        </w:rPr>
        <w:endnoteRef/>
      </w:r>
      <w:r>
        <w:t xml:space="preserve"> 3.13, Page 13</w:t>
      </w:r>
    </w:p>
  </w:endnote>
  <w:endnote w:id="42">
    <w:p w14:paraId="17E2083E" w14:textId="4938F4E6" w:rsidR="00151856" w:rsidRDefault="00151856">
      <w:pPr>
        <w:pStyle w:val="EndnoteText"/>
      </w:pPr>
      <w:r>
        <w:rPr>
          <w:rStyle w:val="EndnoteReference"/>
        </w:rPr>
        <w:endnoteRef/>
      </w:r>
      <w:r>
        <w:t xml:space="preserve"> 3.15, Page 14</w:t>
      </w:r>
    </w:p>
  </w:endnote>
  <w:endnote w:id="43">
    <w:p w14:paraId="4F015186" w14:textId="76CB4B63" w:rsidR="00151856" w:rsidRDefault="00151856">
      <w:pPr>
        <w:pStyle w:val="EndnoteText"/>
      </w:pPr>
      <w:r>
        <w:rPr>
          <w:rStyle w:val="EndnoteReference"/>
        </w:rPr>
        <w:endnoteRef/>
      </w:r>
      <w:r>
        <w:t xml:space="preserve"> 3.16, Page 14</w:t>
      </w:r>
    </w:p>
  </w:endnote>
  <w:endnote w:id="44">
    <w:p w14:paraId="351D2B64" w14:textId="57CC9A51" w:rsidR="00151856" w:rsidRDefault="00151856">
      <w:pPr>
        <w:pStyle w:val="EndnoteText"/>
      </w:pPr>
      <w:r>
        <w:rPr>
          <w:rStyle w:val="EndnoteReference"/>
        </w:rPr>
        <w:endnoteRef/>
      </w:r>
      <w:r>
        <w:t xml:space="preserve"> 3.17, Page 14-15</w:t>
      </w:r>
    </w:p>
  </w:endnote>
  <w:endnote w:id="45">
    <w:p w14:paraId="79C5D99C" w14:textId="54CD867E" w:rsidR="00151856" w:rsidRDefault="00151856">
      <w:pPr>
        <w:pStyle w:val="EndnoteText"/>
      </w:pPr>
      <w:r>
        <w:rPr>
          <w:rStyle w:val="EndnoteReference"/>
        </w:rPr>
        <w:endnoteRef/>
      </w:r>
      <w:r>
        <w:t xml:space="preserve"> 3.17.1, Page 14-15</w:t>
      </w:r>
    </w:p>
  </w:endnote>
  <w:endnote w:id="46">
    <w:p w14:paraId="59B60BAF" w14:textId="510C773C" w:rsidR="00151856" w:rsidRDefault="00151856">
      <w:pPr>
        <w:pStyle w:val="EndnoteText"/>
      </w:pPr>
    </w:p>
  </w:endnote>
  <w:endnote w:id="47">
    <w:p w14:paraId="6606BACD" w14:textId="0E2DF0E0" w:rsidR="00151856" w:rsidRDefault="0015185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62AB" w14:textId="77777777" w:rsidR="00AA0B5A" w:rsidRDefault="00AA0B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6"/>
      </w:rPr>
      <w:id w:val="-1825959339"/>
      <w:docPartObj>
        <w:docPartGallery w:val="Page Numbers (Bottom of Page)"/>
        <w:docPartUnique/>
      </w:docPartObj>
    </w:sdtPr>
    <w:sdtEndPr>
      <w:rPr>
        <w:noProof/>
      </w:rPr>
    </w:sdtEndPr>
    <w:sdtContent>
      <w:p w14:paraId="2912096A" w14:textId="77777777" w:rsidR="00151856" w:rsidRPr="00151856" w:rsidRDefault="00151856" w:rsidP="00151856">
        <w:pPr>
          <w:pStyle w:val="Footer"/>
          <w:jc w:val="center"/>
          <w:rPr>
            <w:sz w:val="18"/>
            <w:szCs w:val="16"/>
          </w:rPr>
        </w:pPr>
        <w:r w:rsidRPr="00151856">
          <w:rPr>
            <w:sz w:val="18"/>
            <w:szCs w:val="16"/>
          </w:rPr>
          <w:fldChar w:fldCharType="begin"/>
        </w:r>
        <w:r w:rsidRPr="00151856">
          <w:rPr>
            <w:sz w:val="18"/>
            <w:szCs w:val="16"/>
          </w:rPr>
          <w:instrText xml:space="preserve"> PAGE   \* MERGEFORMAT </w:instrText>
        </w:r>
        <w:r w:rsidRPr="00151856">
          <w:rPr>
            <w:sz w:val="18"/>
            <w:szCs w:val="16"/>
          </w:rPr>
          <w:fldChar w:fldCharType="separate"/>
        </w:r>
        <w:r w:rsidRPr="00151856">
          <w:rPr>
            <w:noProof/>
            <w:sz w:val="18"/>
            <w:szCs w:val="16"/>
          </w:rPr>
          <w:t>2</w:t>
        </w:r>
        <w:r w:rsidRPr="00151856">
          <w:rPr>
            <w:noProof/>
            <w:sz w:val="18"/>
            <w:szCs w:val="16"/>
          </w:rPr>
          <w:fldChar w:fldCharType="end"/>
        </w:r>
      </w:p>
    </w:sdtContent>
  </w:sdt>
  <w:p w14:paraId="187903AF" w14:textId="77777777" w:rsidR="002A6955" w:rsidRDefault="002A69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9DBA0" w14:textId="77777777" w:rsidR="00AA0B5A" w:rsidRDefault="00AA0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20938" w14:textId="77777777" w:rsidR="00AE28A2" w:rsidRDefault="00AE28A2" w:rsidP="006F72EA">
      <w:pPr>
        <w:spacing w:after="0" w:line="240" w:lineRule="auto"/>
      </w:pPr>
      <w:r>
        <w:separator/>
      </w:r>
    </w:p>
  </w:footnote>
  <w:footnote w:type="continuationSeparator" w:id="0">
    <w:p w14:paraId="5C6CCDC2" w14:textId="77777777" w:rsidR="00AE28A2" w:rsidRDefault="00AE28A2" w:rsidP="006F7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B9D1" w14:textId="77777777" w:rsidR="00AA0B5A" w:rsidRDefault="00AA0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0DE2" w14:textId="4313D2CE" w:rsidR="002A6955" w:rsidRDefault="002A69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A15C" w14:textId="77777777" w:rsidR="00AA0B5A" w:rsidRDefault="00AA0B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01C1"/>
    <w:multiLevelType w:val="hybridMultilevel"/>
    <w:tmpl w:val="13089D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E36315"/>
    <w:multiLevelType w:val="hybridMultilevel"/>
    <w:tmpl w:val="63147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0D248A"/>
    <w:multiLevelType w:val="hybridMultilevel"/>
    <w:tmpl w:val="1502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B73729"/>
    <w:multiLevelType w:val="hybridMultilevel"/>
    <w:tmpl w:val="C6FA1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D0276C"/>
    <w:multiLevelType w:val="hybridMultilevel"/>
    <w:tmpl w:val="28A82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F76"/>
    <w:rsid w:val="000050DA"/>
    <w:rsid w:val="00046E2E"/>
    <w:rsid w:val="00070FDB"/>
    <w:rsid w:val="00074AAB"/>
    <w:rsid w:val="000A340A"/>
    <w:rsid w:val="000E6ED9"/>
    <w:rsid w:val="00105AF1"/>
    <w:rsid w:val="001244C7"/>
    <w:rsid w:val="00141EDF"/>
    <w:rsid w:val="00151856"/>
    <w:rsid w:val="00176F70"/>
    <w:rsid w:val="00181FCD"/>
    <w:rsid w:val="001855B2"/>
    <w:rsid w:val="001943DC"/>
    <w:rsid w:val="00197FE5"/>
    <w:rsid w:val="001B11DC"/>
    <w:rsid w:val="0022610F"/>
    <w:rsid w:val="002326B6"/>
    <w:rsid w:val="002448DB"/>
    <w:rsid w:val="00255F49"/>
    <w:rsid w:val="002768FA"/>
    <w:rsid w:val="002A6955"/>
    <w:rsid w:val="002B19E0"/>
    <w:rsid w:val="002E74F5"/>
    <w:rsid w:val="002F5C43"/>
    <w:rsid w:val="00322F3B"/>
    <w:rsid w:val="00337CF1"/>
    <w:rsid w:val="00341667"/>
    <w:rsid w:val="00341B41"/>
    <w:rsid w:val="00341EB6"/>
    <w:rsid w:val="003530CB"/>
    <w:rsid w:val="003675C2"/>
    <w:rsid w:val="003737EA"/>
    <w:rsid w:val="003762E4"/>
    <w:rsid w:val="003977FD"/>
    <w:rsid w:val="00397FBD"/>
    <w:rsid w:val="003A784B"/>
    <w:rsid w:val="003F72E2"/>
    <w:rsid w:val="00440419"/>
    <w:rsid w:val="004565F7"/>
    <w:rsid w:val="00471F88"/>
    <w:rsid w:val="004A20EF"/>
    <w:rsid w:val="004D20E4"/>
    <w:rsid w:val="004F1122"/>
    <w:rsid w:val="004F1F54"/>
    <w:rsid w:val="00507088"/>
    <w:rsid w:val="005618AE"/>
    <w:rsid w:val="005644F5"/>
    <w:rsid w:val="00567D4F"/>
    <w:rsid w:val="0057311D"/>
    <w:rsid w:val="005F1CC2"/>
    <w:rsid w:val="0060077D"/>
    <w:rsid w:val="0060340D"/>
    <w:rsid w:val="006130DD"/>
    <w:rsid w:val="00616FB4"/>
    <w:rsid w:val="00617BB1"/>
    <w:rsid w:val="00643B8A"/>
    <w:rsid w:val="006462E9"/>
    <w:rsid w:val="00656E87"/>
    <w:rsid w:val="00682ED3"/>
    <w:rsid w:val="00693DF2"/>
    <w:rsid w:val="006A4807"/>
    <w:rsid w:val="006A4E4F"/>
    <w:rsid w:val="006B7882"/>
    <w:rsid w:val="006F4CBE"/>
    <w:rsid w:val="006F72EA"/>
    <w:rsid w:val="0071067B"/>
    <w:rsid w:val="007178B5"/>
    <w:rsid w:val="00717C49"/>
    <w:rsid w:val="00727D87"/>
    <w:rsid w:val="00742642"/>
    <w:rsid w:val="00753130"/>
    <w:rsid w:val="00770FA5"/>
    <w:rsid w:val="00797B1D"/>
    <w:rsid w:val="007A6AEF"/>
    <w:rsid w:val="007D39E8"/>
    <w:rsid w:val="007E3C30"/>
    <w:rsid w:val="00802F79"/>
    <w:rsid w:val="0081435E"/>
    <w:rsid w:val="008358AF"/>
    <w:rsid w:val="00842D95"/>
    <w:rsid w:val="0087120E"/>
    <w:rsid w:val="00874F76"/>
    <w:rsid w:val="0089161A"/>
    <w:rsid w:val="00897AB6"/>
    <w:rsid w:val="008A2B53"/>
    <w:rsid w:val="008A6495"/>
    <w:rsid w:val="008E469E"/>
    <w:rsid w:val="008E69FE"/>
    <w:rsid w:val="00905F8B"/>
    <w:rsid w:val="00906794"/>
    <w:rsid w:val="00914ECD"/>
    <w:rsid w:val="00934B31"/>
    <w:rsid w:val="0098480B"/>
    <w:rsid w:val="00997D47"/>
    <w:rsid w:val="009A242C"/>
    <w:rsid w:val="009A2F0C"/>
    <w:rsid w:val="009D1961"/>
    <w:rsid w:val="009E66A2"/>
    <w:rsid w:val="009E7F67"/>
    <w:rsid w:val="009F107C"/>
    <w:rsid w:val="00A10E42"/>
    <w:rsid w:val="00A1330F"/>
    <w:rsid w:val="00A32138"/>
    <w:rsid w:val="00A50A9E"/>
    <w:rsid w:val="00AA0B5A"/>
    <w:rsid w:val="00AE28A2"/>
    <w:rsid w:val="00AF4DD6"/>
    <w:rsid w:val="00B0019E"/>
    <w:rsid w:val="00B079E6"/>
    <w:rsid w:val="00B24108"/>
    <w:rsid w:val="00B32DD9"/>
    <w:rsid w:val="00B42CFB"/>
    <w:rsid w:val="00B42E85"/>
    <w:rsid w:val="00B4785A"/>
    <w:rsid w:val="00B55D82"/>
    <w:rsid w:val="00B665B2"/>
    <w:rsid w:val="00B769E0"/>
    <w:rsid w:val="00B82E0F"/>
    <w:rsid w:val="00BA22F3"/>
    <w:rsid w:val="00BB04FF"/>
    <w:rsid w:val="00BB642E"/>
    <w:rsid w:val="00BC65E6"/>
    <w:rsid w:val="00BC79E7"/>
    <w:rsid w:val="00BF22CC"/>
    <w:rsid w:val="00BF2897"/>
    <w:rsid w:val="00C10F45"/>
    <w:rsid w:val="00C12198"/>
    <w:rsid w:val="00C57850"/>
    <w:rsid w:val="00D07D09"/>
    <w:rsid w:val="00D4160D"/>
    <w:rsid w:val="00DF0BB6"/>
    <w:rsid w:val="00E3541A"/>
    <w:rsid w:val="00E51BD0"/>
    <w:rsid w:val="00E905E4"/>
    <w:rsid w:val="00EA78CE"/>
    <w:rsid w:val="00EC0A20"/>
    <w:rsid w:val="00EE257E"/>
    <w:rsid w:val="00F000A2"/>
    <w:rsid w:val="00F13BEF"/>
    <w:rsid w:val="00F25E5E"/>
    <w:rsid w:val="00F50637"/>
    <w:rsid w:val="00F56A56"/>
    <w:rsid w:val="00F616B6"/>
    <w:rsid w:val="00F66B10"/>
    <w:rsid w:val="00F72EB2"/>
    <w:rsid w:val="00F9357D"/>
    <w:rsid w:val="00FA7EB3"/>
    <w:rsid w:val="00FB6C73"/>
    <w:rsid w:val="00FD2AF3"/>
    <w:rsid w:val="00FE1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B5AA0"/>
  <w15:docId w15:val="{B1A12C3E-63D4-4023-A274-F013504AF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F72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72EA"/>
    <w:rPr>
      <w:sz w:val="20"/>
      <w:szCs w:val="20"/>
    </w:rPr>
  </w:style>
  <w:style w:type="character" w:styleId="FootnoteReference">
    <w:name w:val="footnote reference"/>
    <w:basedOn w:val="DefaultParagraphFont"/>
    <w:uiPriority w:val="99"/>
    <w:semiHidden/>
    <w:unhideWhenUsed/>
    <w:rsid w:val="006F72EA"/>
    <w:rPr>
      <w:vertAlign w:val="superscript"/>
    </w:rPr>
  </w:style>
  <w:style w:type="character" w:styleId="Hyperlink">
    <w:name w:val="Hyperlink"/>
    <w:basedOn w:val="DefaultParagraphFont"/>
    <w:uiPriority w:val="99"/>
    <w:unhideWhenUsed/>
    <w:rsid w:val="00BA22F3"/>
    <w:rPr>
      <w:color w:val="0563C1" w:themeColor="hyperlink"/>
      <w:u w:val="single"/>
    </w:rPr>
  </w:style>
  <w:style w:type="character" w:styleId="UnresolvedMention">
    <w:name w:val="Unresolved Mention"/>
    <w:basedOn w:val="DefaultParagraphFont"/>
    <w:uiPriority w:val="99"/>
    <w:semiHidden/>
    <w:unhideWhenUsed/>
    <w:rsid w:val="00BA22F3"/>
    <w:rPr>
      <w:color w:val="605E5C"/>
      <w:shd w:val="clear" w:color="auto" w:fill="E1DFDD"/>
    </w:rPr>
  </w:style>
  <w:style w:type="paragraph" w:styleId="ListParagraph">
    <w:name w:val="List Paragraph"/>
    <w:basedOn w:val="Normal"/>
    <w:uiPriority w:val="34"/>
    <w:qFormat/>
    <w:rsid w:val="00616FB4"/>
    <w:pPr>
      <w:ind w:left="720"/>
      <w:contextualSpacing/>
    </w:pPr>
  </w:style>
  <w:style w:type="paragraph" w:styleId="Header">
    <w:name w:val="header"/>
    <w:basedOn w:val="Normal"/>
    <w:link w:val="HeaderChar"/>
    <w:uiPriority w:val="99"/>
    <w:unhideWhenUsed/>
    <w:rsid w:val="002A69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955"/>
  </w:style>
  <w:style w:type="paragraph" w:styleId="Footer">
    <w:name w:val="footer"/>
    <w:basedOn w:val="Normal"/>
    <w:link w:val="FooterChar"/>
    <w:uiPriority w:val="99"/>
    <w:unhideWhenUsed/>
    <w:rsid w:val="002A69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955"/>
  </w:style>
  <w:style w:type="paragraph" w:styleId="EndnoteText">
    <w:name w:val="endnote text"/>
    <w:basedOn w:val="Normal"/>
    <w:link w:val="EndnoteTextChar"/>
    <w:uiPriority w:val="99"/>
    <w:semiHidden/>
    <w:unhideWhenUsed/>
    <w:rsid w:val="0015185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1856"/>
    <w:rPr>
      <w:sz w:val="20"/>
      <w:szCs w:val="20"/>
    </w:rPr>
  </w:style>
  <w:style w:type="character" w:styleId="EndnoteReference">
    <w:name w:val="endnote reference"/>
    <w:basedOn w:val="DefaultParagraphFont"/>
    <w:uiPriority w:val="99"/>
    <w:semiHidden/>
    <w:unhideWhenUsed/>
    <w:rsid w:val="00151856"/>
    <w:rPr>
      <w:vertAlign w:val="superscript"/>
    </w:rPr>
  </w:style>
  <w:style w:type="paragraph" w:styleId="Revision">
    <w:name w:val="Revision"/>
    <w:hidden/>
    <w:uiPriority w:val="99"/>
    <w:semiHidden/>
    <w:rsid w:val="00567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cwc.utah.gov/mountainacco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EE716-AC08-4B94-B7E0-675394DD9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967</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Becker</dc:creator>
  <cp:keywords/>
  <dc:description/>
  <cp:lastModifiedBy>Kaye MICKELSON</cp:lastModifiedBy>
  <cp:revision>6</cp:revision>
  <cp:lastPrinted>2021-11-08T23:27:00Z</cp:lastPrinted>
  <dcterms:created xsi:type="dcterms:W3CDTF">2021-11-30T23:20:00Z</dcterms:created>
  <dcterms:modified xsi:type="dcterms:W3CDTF">2021-12-01T17:35:00Z</dcterms:modified>
</cp:coreProperties>
</file>