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3017520" cy="876300"/>
            <wp:effectExtent b="0" l="0" r="0" t="0"/>
            <wp:docPr descr="Text  Description automatically generated  " id="2" name="image1.png"/>
            <a:graphic>
              <a:graphicData uri="http://schemas.openxmlformats.org/drawingml/2006/picture">
                <pic:pic>
                  <pic:nvPicPr>
                    <pic:cNvPr descr="Text  Description automatically generated  " id="0" name="image1.png"/>
                    <pic:cNvPicPr preferRelativeResize="0"/>
                  </pic:nvPicPr>
                  <pic:blipFill>
                    <a:blip r:embed="rId7"/>
                    <a:srcRect b="0" l="0" r="0" t="0"/>
                    <a:stretch>
                      <a:fillRect/>
                    </a:stretch>
                  </pic:blipFill>
                  <pic:spPr>
                    <a:xfrm>
                      <a:off x="0" y="0"/>
                      <a:ext cx="3017520"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Central Wasatch Commission</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Executive Committee Meeting Agenda</w:t>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Monday, November 15, 2021</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3:30 p.m. – 4:30 p.m.</w:t>
      </w:r>
    </w:p>
    <w:p w:rsidR="00000000" w:rsidDel="00000000" w:rsidP="00000000" w:rsidRDefault="00000000" w:rsidRPr="00000000" w14:paraId="00000007">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Notice is hereby given that the Central Wasatch Commission will hold an Executive Committee meeting at approximately 3:30 P.M., or soon thereafter, on Monday, November 12, 2021. In view of the current Covid-19 pandemic, this meeting will occur electronically, without a physical anchor location, as authorized by UTAH CODE ANN. 52-4-207(4). </w:t>
      </w:r>
      <w:r w:rsidDel="00000000" w:rsidR="00000000" w:rsidRPr="00000000">
        <w:rPr>
          <w:rFonts w:ascii="Times New Roman" w:cs="Times New Roman" w:eastAsia="Times New Roman" w:hAnsi="Times New Roman"/>
          <w:b w:val="1"/>
          <w:sz w:val="24"/>
          <w:szCs w:val="24"/>
          <w:u w:val="single"/>
          <w:rtl w:val="0"/>
        </w:rPr>
        <w:t xml:space="preserve">The public may register for the meeting through the following link. Once registered, meeting attendees will receive an email with a personal meeting access link. </w:t>
      </w:r>
    </w:p>
    <w:p w:rsidR="00000000" w:rsidDel="00000000" w:rsidP="00000000" w:rsidRDefault="00000000" w:rsidRPr="00000000" w14:paraId="00000008">
      <w:pPr>
        <w:spacing w:after="240" w:before="240" w:lineRule="auto"/>
        <w:rPr>
          <w:rFonts w:ascii="Times New Roman" w:cs="Times New Roman" w:eastAsia="Times New Roman" w:hAnsi="Times New Roman"/>
          <w:color w:val="0563c1"/>
          <w:sz w:val="24"/>
          <w:szCs w:val="24"/>
          <w:u w:val="single"/>
        </w:rPr>
      </w:pPr>
      <w:hyperlink r:id="rId8">
        <w:r w:rsidDel="00000000" w:rsidR="00000000" w:rsidRPr="00000000">
          <w:rPr>
            <w:rFonts w:ascii="Times New Roman" w:cs="Times New Roman" w:eastAsia="Times New Roman" w:hAnsi="Times New Roman"/>
            <w:color w:val="0563c1"/>
            <w:sz w:val="24"/>
            <w:szCs w:val="24"/>
            <w:u w:val="single"/>
            <w:rtl w:val="0"/>
          </w:rPr>
          <w:t xml:space="preserve">https://us06web.zoom.us/meeting/register/tZUudeGsqTktHNwgnSY1xIz9VBM5id1_j8E6</w:t>
        </w:r>
      </w:hyperlink>
      <w:r w:rsidDel="00000000" w:rsidR="00000000" w:rsidRPr="00000000">
        <w:rPr>
          <w:rtl w:val="0"/>
        </w:rPr>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take notice that a quorum of the Board of Commissioners (the “Board”) of the Central Wasatch Commission (the “CWC”) may attend the meeting of the Board’s Executive Committee Scheduled for Monday, 15 November 2021; beginning at 3:30 p.m. virtually. The agenda for that meeting of the Committee is accessible here: Utah Public Notice Website, The Salt Lake Tribune, and Deseret News.</w:t>
      </w:r>
    </w:p>
    <w:p w:rsidR="00000000" w:rsidDel="00000000" w:rsidP="00000000" w:rsidRDefault="00000000" w:rsidRPr="00000000" w14:paraId="0000000A">
      <w:pPr>
        <w:spacing w:after="240" w:before="240" w:lineRule="auto"/>
        <w:rPr>
          <w:rFonts w:ascii="Times New Roman" w:cs="Times New Roman" w:eastAsia="Times New Roman" w:hAnsi="Times New Roman"/>
          <w:color w:val="2f5496"/>
          <w:sz w:val="24"/>
          <w:szCs w:val="24"/>
        </w:rPr>
      </w:pPr>
      <w:r w:rsidDel="00000000" w:rsidR="00000000" w:rsidRPr="00000000">
        <w:rPr>
          <w:rFonts w:ascii="Times New Roman" w:cs="Times New Roman" w:eastAsia="Times New Roman" w:hAnsi="Times New Roman"/>
          <w:b w:val="1"/>
          <w:color w:val="2f5496"/>
          <w:sz w:val="24"/>
          <w:szCs w:val="24"/>
          <w:rtl w:val="0"/>
        </w:rPr>
        <w:t xml:space="preserve">Civility and decorum should be applied in all discussions and debate. </w:t>
      </w:r>
      <w:r w:rsidDel="00000000" w:rsidR="00000000" w:rsidRPr="00000000">
        <w:rPr>
          <w:rFonts w:ascii="Times New Roman" w:cs="Times New Roman" w:eastAsia="Times New Roman" w:hAnsi="Times New Roman"/>
          <w:color w:val="2f5496"/>
          <w:sz w:val="24"/>
          <w:szCs w:val="24"/>
          <w:rtl w:val="0"/>
        </w:rPr>
        <w:t xml:space="preserve">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rsidR="00000000" w:rsidDel="00000000" w:rsidP="00000000" w:rsidRDefault="00000000" w:rsidRPr="00000000" w14:paraId="0000000B">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3:30 P.M.</w:t>
        <w:tab/>
      </w:r>
      <w:r w:rsidDel="00000000" w:rsidR="00000000" w:rsidRPr="00000000">
        <w:rPr>
          <w:rFonts w:ascii="Times New Roman" w:cs="Times New Roman" w:eastAsia="Times New Roman" w:hAnsi="Times New Roman"/>
          <w:b w:val="1"/>
          <w:sz w:val="24"/>
          <w:szCs w:val="24"/>
          <w:u w:val="single"/>
          <w:rtl w:val="0"/>
        </w:rPr>
        <w:t xml:space="preserve">Opening</w:t>
      </w:r>
      <w:r w:rsidDel="00000000" w:rsidR="00000000" w:rsidRPr="00000000">
        <w:rPr>
          <w:rtl w:val="0"/>
        </w:rPr>
      </w:r>
    </w:p>
    <w:p w:rsidR="00000000" w:rsidDel="00000000" w:rsidP="00000000" w:rsidRDefault="00000000" w:rsidRPr="00000000" w14:paraId="0000000C">
      <w:pPr>
        <w:numPr>
          <w:ilvl w:val="0"/>
          <w:numId w:val="6"/>
        </w:numPr>
        <w:spacing w:after="0" w:before="24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of the Board Christopher F. Robinson will open the CWC Executive Committee Meeting plus commenting on the electronic meeting, no anchor location, as noted above.</w:t>
      </w:r>
    </w:p>
    <w:p w:rsidR="00000000" w:rsidDel="00000000" w:rsidP="00000000" w:rsidRDefault="00000000" w:rsidRPr="00000000" w14:paraId="0000000D">
      <w:pPr>
        <w:spacing w:after="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240" w:before="24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3:30 P.M.</w:t>
        <w:tab/>
      </w:r>
      <w:r w:rsidDel="00000000" w:rsidR="00000000" w:rsidRPr="00000000">
        <w:rPr>
          <w:rFonts w:ascii="Times New Roman" w:cs="Times New Roman" w:eastAsia="Times New Roman" w:hAnsi="Times New Roman"/>
          <w:b w:val="1"/>
          <w:sz w:val="24"/>
          <w:szCs w:val="24"/>
          <w:u w:val="single"/>
          <w:rtl w:val="0"/>
        </w:rPr>
        <w:t xml:space="preserve">State Appropriation Discussion</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36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will provide an update on the implementation of funded projects</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Request for new state appropriations</w:t>
      </w:r>
      <w:r w:rsidDel="00000000" w:rsidR="00000000" w:rsidRPr="00000000">
        <w:rPr>
          <w:rtl w:val="0"/>
        </w:rPr>
      </w:r>
    </w:p>
    <w:p w:rsidR="00000000" w:rsidDel="00000000" w:rsidP="00000000" w:rsidRDefault="00000000" w:rsidRPr="00000000" w14:paraId="00000013">
      <w:pPr>
        <w:spacing w:after="240" w:before="24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3:45 P.M.</w:t>
        <w:tab/>
      </w:r>
      <w:r w:rsidDel="00000000" w:rsidR="00000000" w:rsidRPr="00000000">
        <w:rPr>
          <w:rFonts w:ascii="Times New Roman" w:cs="Times New Roman" w:eastAsia="Times New Roman" w:hAnsi="Times New Roman"/>
          <w:b w:val="1"/>
          <w:sz w:val="24"/>
          <w:szCs w:val="24"/>
          <w:u w:val="single"/>
          <w:rtl w:val="0"/>
        </w:rPr>
        <w:t xml:space="preserve">Mountain Accord Situational Assessment Request for Proposal </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36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will provide the RFP: Mountain Accord  Situational Assessment to the Executive Committee for review and approval</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RFP will be presented to the Commission for approval at the December Board meeting.</w:t>
      </w:r>
      <w:r w:rsidDel="00000000" w:rsidR="00000000" w:rsidRPr="00000000">
        <w:rPr>
          <w:rtl w:val="0"/>
        </w:rPr>
      </w:r>
    </w:p>
    <w:p w:rsidR="00000000" w:rsidDel="00000000" w:rsidP="00000000" w:rsidRDefault="00000000" w:rsidRPr="00000000" w14:paraId="00000016">
      <w:pPr>
        <w:spacing w:after="240" w:before="24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4:00 P.M.</w:t>
        <w:tab/>
      </w:r>
      <w:r w:rsidDel="00000000" w:rsidR="00000000" w:rsidRPr="00000000">
        <w:rPr>
          <w:rFonts w:ascii="Times New Roman" w:cs="Times New Roman" w:eastAsia="Times New Roman" w:hAnsi="Times New Roman"/>
          <w:b w:val="1"/>
          <w:sz w:val="24"/>
          <w:szCs w:val="24"/>
          <w:u w:val="single"/>
          <w:rtl w:val="0"/>
        </w:rPr>
        <w:t xml:space="preserve">Information: Metropolitan Water District of Salt Lake and Sandy</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Resolution and request for action will be on the December 6, 2021 Board meeting agenda adding the Metropolitan District of Salt Lake and Sandy as an Ex Officio Board member to provide input pertinent to the CWC’s goals or objectives.</w:t>
      </w:r>
    </w:p>
    <w:p w:rsidR="00000000" w:rsidDel="00000000" w:rsidP="00000000" w:rsidRDefault="00000000" w:rsidRPr="00000000" w14:paraId="0000001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Metropolitan District of Salt Lake and Sandy will contribute $15,000 for the 2021/2022 fiscal year budget.</w:t>
      </w:r>
    </w:p>
    <w:p w:rsidR="00000000" w:rsidDel="00000000" w:rsidP="00000000" w:rsidRDefault="00000000" w:rsidRPr="00000000" w14:paraId="0000001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 Officio Commissioner may participate in Board discussions but may not vote on any matters.</w:t>
      </w:r>
      <w:r w:rsidDel="00000000" w:rsidR="00000000" w:rsidRPr="00000000">
        <w:rPr>
          <w:rtl w:val="0"/>
        </w:rPr>
      </w:r>
    </w:p>
    <w:p w:rsidR="00000000" w:rsidDel="00000000" w:rsidP="00000000" w:rsidRDefault="00000000" w:rsidRPr="00000000" w14:paraId="0000001A">
      <w:pPr>
        <w:spacing w:after="240" w:before="24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4:10 P.M.</w:t>
        <w:tab/>
      </w:r>
      <w:r w:rsidDel="00000000" w:rsidR="00000000" w:rsidRPr="00000000">
        <w:rPr>
          <w:rFonts w:ascii="Times New Roman" w:cs="Times New Roman" w:eastAsia="Times New Roman" w:hAnsi="Times New Roman"/>
          <w:b w:val="1"/>
          <w:sz w:val="24"/>
          <w:szCs w:val="24"/>
          <w:u w:val="single"/>
          <w:rtl w:val="0"/>
        </w:rPr>
        <w:t xml:space="preserve">Information: Scheduling Board Meetings for 2022 </w:t>
      </w:r>
    </w:p>
    <w:p w:rsidR="00000000" w:rsidDel="00000000" w:rsidP="00000000" w:rsidRDefault="00000000" w:rsidRPr="00000000" w14:paraId="0000001B">
      <w:pPr>
        <w:numPr>
          <w:ilvl w:val="0"/>
          <w:numId w:val="5"/>
        </w:numP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Resolution and request for action will be on the December 6, 2021, Board meeting agenda for 2022 Board and Stakeholders Council meeting location and dates </w:t>
      </w:r>
    </w:p>
    <w:p w:rsidR="00000000" w:rsidDel="00000000" w:rsidP="00000000" w:rsidRDefault="00000000" w:rsidRPr="00000000" w14:paraId="0000001C">
      <w:pPr>
        <w:numPr>
          <w:ilvl w:val="1"/>
          <w:numId w:val="5"/>
        </w:numP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2022 CWC Board meetings: Millcreek City Hall chambers (or virtual) will take place the first Monday each month, 3:30 p.m. – 5:30 p.m.</w:t>
      </w:r>
    </w:p>
    <w:p w:rsidR="00000000" w:rsidDel="00000000" w:rsidP="00000000" w:rsidRDefault="00000000" w:rsidRPr="00000000" w14:paraId="0000001D">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January 10, 2022 (second Monday) </w:t>
      </w:r>
    </w:p>
    <w:p w:rsidR="00000000" w:rsidDel="00000000" w:rsidP="00000000" w:rsidRDefault="00000000" w:rsidRPr="00000000" w14:paraId="0000001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February 7, 2022</w:t>
      </w:r>
    </w:p>
    <w:p w:rsidR="00000000" w:rsidDel="00000000" w:rsidP="00000000" w:rsidRDefault="00000000" w:rsidRPr="00000000" w14:paraId="0000001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7, 2022</w:t>
      </w:r>
    </w:p>
    <w:p w:rsidR="00000000" w:rsidDel="00000000" w:rsidP="00000000" w:rsidRDefault="00000000" w:rsidRPr="00000000" w14:paraId="0000002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4, 2022</w:t>
      </w:r>
    </w:p>
    <w:p w:rsidR="00000000" w:rsidDel="00000000" w:rsidP="00000000" w:rsidRDefault="00000000" w:rsidRPr="00000000" w14:paraId="0000002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2, 2022</w:t>
      </w:r>
    </w:p>
    <w:p w:rsidR="00000000" w:rsidDel="00000000" w:rsidP="00000000" w:rsidRDefault="00000000" w:rsidRPr="00000000" w14:paraId="0000002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June 6, 2022</w:t>
      </w:r>
    </w:p>
    <w:p w:rsidR="00000000" w:rsidDel="00000000" w:rsidP="00000000" w:rsidRDefault="00000000" w:rsidRPr="00000000" w14:paraId="0000002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proposes cancelling the July meeting due to summer holidays</w:t>
      </w:r>
    </w:p>
    <w:p w:rsidR="00000000" w:rsidDel="00000000" w:rsidP="00000000" w:rsidRDefault="00000000" w:rsidRPr="00000000" w14:paraId="0000002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August 1, 2022</w:t>
      </w:r>
    </w:p>
    <w:p w:rsidR="00000000" w:rsidDel="00000000" w:rsidP="00000000" w:rsidRDefault="00000000" w:rsidRPr="00000000" w14:paraId="00000025">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September 12, 2022 (second Monday) </w:t>
      </w:r>
    </w:p>
    <w:p w:rsidR="00000000" w:rsidDel="00000000" w:rsidP="00000000" w:rsidRDefault="00000000" w:rsidRPr="00000000" w14:paraId="00000026">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October 3, 2022</w:t>
      </w:r>
    </w:p>
    <w:p w:rsidR="00000000" w:rsidDel="00000000" w:rsidP="00000000" w:rsidRDefault="00000000" w:rsidRPr="00000000" w14:paraId="0000002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November 7, 2022</w:t>
      </w:r>
    </w:p>
    <w:p w:rsidR="00000000" w:rsidDel="00000000" w:rsidP="00000000" w:rsidRDefault="00000000" w:rsidRPr="00000000" w14:paraId="00000028">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December 5, 2022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240" w:before="24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4:30 P.M.</w:t>
        <w:tab/>
      </w:r>
      <w:r w:rsidDel="00000000" w:rsidR="00000000" w:rsidRPr="00000000">
        <w:rPr>
          <w:rFonts w:ascii="Times New Roman" w:cs="Times New Roman" w:eastAsia="Times New Roman" w:hAnsi="Times New Roman"/>
          <w:b w:val="1"/>
          <w:sz w:val="24"/>
          <w:szCs w:val="24"/>
          <w:u w:val="single"/>
          <w:rtl w:val="0"/>
        </w:rPr>
        <w:t xml:space="preserve">Adjourn Committee Meeting</w:t>
      </w:r>
    </w:p>
    <w:p w:rsidR="00000000" w:rsidDel="00000000" w:rsidP="00000000" w:rsidRDefault="00000000" w:rsidRPr="00000000" w14:paraId="00000031">
      <w:pPr>
        <w:numPr>
          <w:ilvl w:val="0"/>
          <w:numId w:val="1"/>
        </w:numPr>
        <w:spacing w:after="0" w:before="24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of the Board Christopher F. Robinson will close the CWC Executive Committee Meeting.</w:t>
      </w:r>
    </w:p>
    <w:p w:rsidR="00000000" w:rsidDel="00000000" w:rsidP="00000000" w:rsidRDefault="00000000" w:rsidRPr="00000000" w14:paraId="00000032">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w:t>
      </w:r>
    </w:p>
    <w:p w:rsidR="00000000" w:rsidDel="00000000" w:rsidP="00000000" w:rsidRDefault="00000000" w:rsidRPr="00000000" w14:paraId="00000033">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CERTIFICATE OF POSTING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widowControl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or before 3:30 p.m. on November 12, 2021, the undersigned hereby certifies that the above notice and agenda was:</w:t>
      </w:r>
    </w:p>
    <w:p w:rsidR="00000000" w:rsidDel="00000000" w:rsidP="00000000" w:rsidRDefault="00000000" w:rsidRPr="00000000" w14:paraId="0000003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Posted on the Utah Public Notice Website created under UTAH CODE ANN. 63F-1-70; and</w:t>
      </w:r>
    </w:p>
    <w:p w:rsidR="00000000" w:rsidDel="00000000" w:rsidP="00000000" w:rsidRDefault="00000000" w:rsidRPr="00000000" w14:paraId="0000003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Provided to the Salt Lake Tribune and/or Deseret News and to a local media correspondent. </w:t>
      </w:r>
    </w:p>
    <w:p w:rsidR="00000000" w:rsidDel="00000000" w:rsidP="00000000" w:rsidRDefault="00000000" w:rsidRPr="00000000" w14:paraId="00000037">
      <w:pPr>
        <w:widowControl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meeting is being conducted only electronically without a physical location as authorized (see Letter of Determination of the Chair of the Board of the Central Wasatch Commission following). The audio recording and transcript of the meeting will be posted for public review. Members of the Commission will/may participate electronically. Meetings may be closed for reasons allowed by statute.</w:t>
      </w:r>
    </w:p>
    <w:p w:rsidR="00000000" w:rsidDel="00000000" w:rsidP="00000000" w:rsidRDefault="00000000" w:rsidRPr="00000000" w14:paraId="00000038">
      <w:pPr>
        <w:widowControl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Final action may be taken in relation to any topic listed on the agenda, including but not limited to adoption, rejection, amendment, addition of conditions and variations of options discussed. </w:t>
      </w:r>
    </w:p>
    <w:p w:rsidR="00000000" w:rsidDel="00000000" w:rsidP="00000000" w:rsidRDefault="00000000" w:rsidRPr="00000000" w14:paraId="00000039">
      <w:pPr>
        <w:widowControl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compliance with the Americans with Disabilities Act, individuals needing special accommodations or assistance during this meeting shall notify the CWC’s administrator at (801)230-2506 at least 24 hours prior to the meeting. TDD number is (801)270-2425 or call Relay Utah at #711. </w:t>
      </w:r>
    </w:p>
    <w:p w:rsidR="00000000" w:rsidDel="00000000" w:rsidP="00000000" w:rsidRDefault="00000000" w:rsidRPr="00000000" w14:paraId="0000003A">
      <w:pPr>
        <w:widowControl w:val="0"/>
        <w:pBdr>
          <w:bottom w:color="000000" w:space="1" w:sz="12" w:val="singl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Kaye Mickelson: Central Wasatch Commission Administrator </w:t>
      </w:r>
    </w:p>
    <w:p w:rsidR="00000000" w:rsidDel="00000000" w:rsidP="00000000" w:rsidRDefault="00000000" w:rsidRPr="00000000" w14:paraId="0000003B">
      <w:pPr>
        <w:widowControl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widowControl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widowControl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widowControl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widowControl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widowControl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widowControl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widowControl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widowControl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widowControl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widowControl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6">
      <w:pPr>
        <w:widowControl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widowControl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widowControl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Determination of the Chair of the Board of the Central Wasatch Commission </w:t>
      </w:r>
    </w:p>
    <w:p w:rsidR="00000000" w:rsidDel="00000000" w:rsidP="00000000" w:rsidRDefault="00000000" w:rsidRPr="00000000" w14:paraId="0000004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Concerning an Electronic Meeting Anchor Location</w:t>
      </w:r>
    </w:p>
    <w:p w:rsidR="00000000" w:rsidDel="00000000" w:rsidP="00000000" w:rsidRDefault="00000000" w:rsidRPr="00000000" w14:paraId="0000004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PURSUANT TO </w:t>
      </w:r>
      <w:r w:rsidDel="00000000" w:rsidR="00000000" w:rsidRPr="00000000">
        <w:rPr>
          <w:rFonts w:ascii="Times New Roman" w:cs="Times New Roman" w:eastAsia="Times New Roman" w:hAnsi="Times New Roman"/>
          <w:smallCaps w:val="1"/>
          <w:sz w:val="24"/>
          <w:szCs w:val="24"/>
          <w:rtl w:val="0"/>
        </w:rPr>
        <w:t xml:space="preserve">Utah Code Ann.</w:t>
      </w:r>
      <w:r w:rsidDel="00000000" w:rsidR="00000000" w:rsidRPr="00000000">
        <w:rPr>
          <w:rFonts w:ascii="Times New Roman" w:cs="Times New Roman" w:eastAsia="Times New Roman" w:hAnsi="Times New Roman"/>
          <w:sz w:val="24"/>
          <w:szCs w:val="24"/>
          <w:rtl w:val="0"/>
        </w:rPr>
        <w:t xml:space="preserve"> 52-4-207(4), I, as the Chair of the Board of Commissioners (the “</w:t>
      </w:r>
      <w:r w:rsidDel="00000000" w:rsidR="00000000" w:rsidRPr="00000000">
        <w:rPr>
          <w:rFonts w:ascii="Times New Roman" w:cs="Times New Roman" w:eastAsia="Times New Roman" w:hAnsi="Times New Roman"/>
          <w:i w:val="1"/>
          <w:sz w:val="24"/>
          <w:szCs w:val="24"/>
          <w:rtl w:val="0"/>
        </w:rPr>
        <w:t xml:space="preserve">Board</w:t>
      </w:r>
      <w:r w:rsidDel="00000000" w:rsidR="00000000" w:rsidRPr="00000000">
        <w:rPr>
          <w:rFonts w:ascii="Times New Roman" w:cs="Times New Roman" w:eastAsia="Times New Roman" w:hAnsi="Times New Roman"/>
          <w:sz w:val="24"/>
          <w:szCs w:val="24"/>
          <w:rtl w:val="0"/>
        </w:rPr>
        <w:t xml:space="preserve">”) of the Central Wasatch Commission (“</w:t>
      </w:r>
      <w:r w:rsidDel="00000000" w:rsidR="00000000" w:rsidRPr="00000000">
        <w:rPr>
          <w:rFonts w:ascii="Times New Roman" w:cs="Times New Roman" w:eastAsia="Times New Roman" w:hAnsi="Times New Roman"/>
          <w:i w:val="1"/>
          <w:sz w:val="24"/>
          <w:szCs w:val="24"/>
          <w:rtl w:val="0"/>
        </w:rPr>
        <w:t xml:space="preserve">CWC</w:t>
      </w:r>
      <w:r w:rsidDel="00000000" w:rsidR="00000000" w:rsidRPr="00000000">
        <w:rPr>
          <w:rFonts w:ascii="Times New Roman" w:cs="Times New Roman" w:eastAsia="Times New Roman" w:hAnsi="Times New Roman"/>
          <w:sz w:val="24"/>
          <w:szCs w:val="24"/>
          <w:rtl w:val="0"/>
        </w:rPr>
        <w:t xml:space="preserve">”), hereby determine that conducting Board or Committee meetings at any time during the next 30 days at an anchor location presents a substantial risk to the health and safety of those who may be present at the anchor location. Although the overall incidence of COVID-19 cases has diminished somewhat over the past several months, the pandemic remains and the recent rise of more infectious variants of the virus merits continued vigilance to avoid another surge in cases which could again threaten to overwhelm Utah’s healthcare system.</w:t>
      </w:r>
    </w:p>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DATED November 15, 2021 </w:t>
      </w:r>
    </w:p>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Fonts w:ascii="Pacifico" w:cs="Pacifico" w:eastAsia="Pacifico" w:hAnsi="Pacifico"/>
          <w:sz w:val="36"/>
          <w:szCs w:val="36"/>
          <w:rtl w:val="0"/>
        </w:rPr>
        <w:t xml:space="preserve">Christopher F. Robinson</w:t>
      </w:r>
      <w:r w:rsidDel="00000000" w:rsidR="00000000" w:rsidRPr="00000000">
        <w:rPr>
          <w:rFonts w:ascii="Times New Roman" w:cs="Times New Roman" w:eastAsia="Times New Roman" w:hAnsi="Times New Roman"/>
          <w:sz w:val="24"/>
          <w:szCs w:val="24"/>
          <w:rtl w:val="0"/>
        </w:rPr>
        <w:t xml:space="preserve">: Christopher F. Robinson: Central Wasatch Commission Board Chair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Pacifico">
    <w:embedRegular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sz w:val="24"/>
        <w:szCs w:val="24"/>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sz w:val="24"/>
        <w:szCs w:val="24"/>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9A07D5"/>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9A07D5"/>
    <w:rPr>
      <w:color w:val="0563c1" w:themeColor="hyperlink"/>
      <w:u w:val="single"/>
    </w:rPr>
  </w:style>
  <w:style w:type="paragraph" w:styleId="BodyText">
    <w:name w:val="Body Text"/>
    <w:basedOn w:val="Normal"/>
    <w:link w:val="BodyTextChar"/>
    <w:uiPriority w:val="1"/>
    <w:semiHidden w:val="1"/>
    <w:unhideWhenUsed w:val="1"/>
    <w:qFormat w:val="1"/>
    <w:rsid w:val="009A07D5"/>
    <w:pPr>
      <w:widowControl w:val="0"/>
      <w:autoSpaceDE w:val="0"/>
      <w:autoSpaceDN w:val="0"/>
      <w:spacing w:after="0" w:line="240" w:lineRule="auto"/>
    </w:pPr>
    <w:rPr>
      <w:rFonts w:ascii="Times New Roman" w:cs="Times New Roman" w:eastAsia="Times New Roman" w:hAnsi="Times New Roman"/>
      <w:sz w:val="24"/>
      <w:szCs w:val="24"/>
    </w:rPr>
  </w:style>
  <w:style w:type="character" w:styleId="BodyTextChar" w:customStyle="1">
    <w:name w:val="Body Text Char"/>
    <w:basedOn w:val="DefaultParagraphFont"/>
    <w:link w:val="BodyText"/>
    <w:uiPriority w:val="1"/>
    <w:semiHidden w:val="1"/>
    <w:rsid w:val="009A07D5"/>
    <w:rPr>
      <w:rFonts w:ascii="Times New Roman" w:cs="Times New Roman" w:eastAsia="Times New Roman" w:hAnsi="Times New Roman"/>
      <w:sz w:val="24"/>
      <w:szCs w:val="24"/>
    </w:rPr>
  </w:style>
  <w:style w:type="paragraph" w:styleId="ListParagraph">
    <w:name w:val="List Paragraph"/>
    <w:basedOn w:val="Normal"/>
    <w:uiPriority w:val="34"/>
    <w:qFormat w:val="1"/>
    <w:rsid w:val="009A07D5"/>
    <w:pPr>
      <w:spacing w:after="0" w:line="276" w:lineRule="auto"/>
      <w:ind w:left="720"/>
      <w:contextualSpacing w:val="1"/>
    </w:pPr>
    <w:rPr>
      <w:rFonts w:ascii="Arial" w:cs="Arial" w:eastAsia="Arial" w:hAnsi="Arial"/>
      <w:lang w:val="e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us06web.zoom.us/meeting/register/tZUudeGsqTktHNwgnSY1xIz9VBM5id1_j8E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f5tYeQIlSUyEymj3snkB3lO0xA==">AMUW2mXcO+BgSHbygp332OVVHAxZVOw7giWBuLQ21RYAGC0A1OUZaXR4EZTvRrK/Di39TxDOKGNqj9kq5EwzxDgZcUOfS/mrytyQe6UWxvGTRl+rHISrO/Q=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2021-11-09T17:02:00Z</dcterms:created>
  <dc:creator>Lindsey</dc:creator>
</cp:coreProperties>
</file>