
<file path=[Content_Types].xml><?xml version="1.0" encoding="utf-8"?>
<Types xmlns="http://schemas.openxmlformats.org/package/2006/content-types">
  <Default ContentType="image/gif" Extension="gif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14300" distT="114300" distL="114300" distR="114300">
            <wp:extent cx="1171575" cy="1171575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Information for Budget Finance Committee Meeting: October 20, 2021</w:t>
      </w:r>
    </w:p>
    <w:p w:rsidR="00000000" w:rsidDel="00000000" w:rsidP="00000000" w:rsidRDefault="00000000" w:rsidRPr="00000000" w14:paraId="00000006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following email  information provides you with the facts behind this expenditure: Councilor Bradley can add additional detail as needed. We were careful not to set a precedent of short term project requestors being able to receive funding when the committee has taken other action.</w:t>
      </w:r>
    </w:p>
    <w:p w:rsidR="00000000" w:rsidDel="00000000" w:rsidP="00000000" w:rsidRDefault="00000000" w:rsidRPr="00000000" w14:paraId="00000008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Staff would recommend we do the following: (a two step process sounds more cumbersome than it really is):  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Do a budget line item move of $1,500 from the “$20,000 contingency” to Short Term Projects which increase that amount to $51,500 and leave $18,500 in contingency.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Pay the project from Short Term Projects. (just didn’t want to reduce funds available for short term projects for 20-21-2022). </w:t>
      </w:r>
    </w:p>
    <w:p w:rsidR="00000000" w:rsidDel="00000000" w:rsidP="00000000" w:rsidRDefault="00000000" w:rsidRPr="00000000" w14:paraId="0000000C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We are awaiting an invoice from Patrick Nelson SLC/PU in order to pay this requested amount.</w:t>
      </w:r>
    </w:p>
    <w:p w:rsidR="00000000" w:rsidDel="00000000" w:rsidP="00000000" w:rsidRDefault="00000000" w:rsidRPr="00000000" w14:paraId="0000000E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59.999999999998" w:type="dxa"/>
        <w:jc w:val="left"/>
        <w:tblInd w:w="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57.251184834123"/>
        <w:gridCol w:w="2731.8483412322275"/>
        <w:gridCol w:w="147.86729857819904"/>
        <w:gridCol w:w="1523.03317535545"/>
        <w:tblGridChange w:id="0">
          <w:tblGrid>
            <w:gridCol w:w="4957.251184834123"/>
            <w:gridCol w:w="2731.8483412322275"/>
            <w:gridCol w:w="147.86729857819904"/>
            <w:gridCol w:w="1523.033175355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rtl w:val="0"/>
              </w:rPr>
              <w:t xml:space="preserve">Copy of Email: October 4, 2021 </w:t>
            </w:r>
          </w:p>
          <w:tbl>
            <w:tblPr>
              <w:tblStyle w:val="Table2"/>
              <w:tblW w:w="3665.076705374991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3665.076705374991"/>
              <w:tblGridChange w:id="0">
                <w:tblGrid>
                  <w:gridCol w:w="3665.076705374991"/>
                </w:tblGrid>
              </w:tblGridChange>
            </w:tblGrid>
            <w:tr>
              <w:trPr>
                <w:cantSplit w:val="0"/>
                <w:trHeight w:val="50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9">
                  <w:pPr>
                    <w:pStyle w:val="Heading3"/>
                    <w:keepNext w:val="0"/>
                    <w:keepLines w:val="0"/>
                    <w:spacing w:before="280" w:line="276.9230769230769" w:lineRule="auto"/>
                    <w:rPr>
                      <w:rFonts w:ascii="Roboto" w:cs="Roboto" w:eastAsia="Roboto" w:hAnsi="Roboto"/>
                      <w:b w:val="1"/>
                      <w:color w:val="202124"/>
                      <w:sz w:val="26"/>
                      <w:szCs w:val="26"/>
                    </w:rPr>
                  </w:pPr>
                  <w:bookmarkStart w:colFirst="0" w:colLast="0" w:name="_7464lrykkwq6" w:id="0"/>
                  <w:bookmarkEnd w:id="0"/>
                  <w:r w:rsidDel="00000000" w:rsidR="00000000" w:rsidRPr="00000000">
                    <w:rPr>
                      <w:rFonts w:ascii="Roboto" w:cs="Roboto" w:eastAsia="Roboto" w:hAnsi="Roboto"/>
                      <w:b w:val="1"/>
                      <w:color w:val="202124"/>
                      <w:sz w:val="26"/>
                      <w:szCs w:val="26"/>
                      <w:rtl w:val="0"/>
                    </w:rPr>
                    <w:t xml:space="preserve">Lindsey Nielsen</w:t>
                  </w:r>
                </w:p>
              </w:tc>
            </w:tr>
          </w:tbl>
          <w:p w:rsidR="00000000" w:rsidDel="00000000" w:rsidP="00000000" w:rsidRDefault="00000000" w:rsidRPr="00000000" w14:paraId="0000002A">
            <w:pPr>
              <w:spacing w:line="327.27272727272725" w:lineRule="auto"/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27.27272727272725" w:lineRule="auto"/>
              <w:jc w:val="right"/>
              <w:rPr>
                <w:rFonts w:ascii="Roboto" w:cs="Roboto" w:eastAsia="Roboto" w:hAnsi="Roboto"/>
                <w:color w:val="5f636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jc w:val="right"/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jc w:val="right"/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2509.724957528429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2509.724957528429"/>
              <w:tblGridChange w:id="0">
                <w:tblGrid>
                  <w:gridCol w:w="2509.724957528429"/>
                </w:tblGrid>
              </w:tblGridChange>
            </w:tblGrid>
            <w:tr>
              <w:trPr>
                <w:cantSplit w:val="0"/>
                <w:trHeight w:val="50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F">
                  <w:pPr>
                    <w:spacing w:line="327.27272727272725" w:lineRule="auto"/>
                    <w:rPr>
                      <w:rFonts w:ascii="Roboto" w:cs="Roboto" w:eastAsia="Roboto" w:hAnsi="Roboto"/>
                      <w:color w:val="222222"/>
                    </w:rPr>
                  </w:pPr>
                  <w:r w:rsidDel="00000000" w:rsidR="00000000" w:rsidRPr="00000000">
                    <w:rPr>
                      <w:rFonts w:ascii="Roboto" w:cs="Roboto" w:eastAsia="Roboto" w:hAnsi="Roboto"/>
                      <w:color w:val="5f6368"/>
                      <w:rtl w:val="0"/>
                    </w:rPr>
                    <w:t xml:space="preserve">to Max, Marci, Jim, Ralph, Blake, me, Robert, jim, Marci</w:t>
                  </w:r>
                  <w:r w:rsidDel="00000000" w:rsidR="00000000" w:rsidRPr="00000000">
                    <w:rPr>
                      <w:rFonts w:ascii="Roboto" w:cs="Roboto" w:eastAsia="Roboto" w:hAnsi="Roboto"/>
                      <w:color w:val="5f6368"/>
                    </w:rPr>
                    <w:drawing>
                      <wp:inline distB="114300" distT="114300" distL="114300" distR="114300">
                        <wp:extent cx="190500" cy="190500"/>
                        <wp:effectExtent b="0" l="0" r="0" t="0"/>
                        <wp:docPr id="1" name="image1.gif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1.gif"/>
                                <pic:cNvPicPr preferRelativeResize="0"/>
                              </pic:nvPicPr>
                              <pic:blipFill>
                                <a:blip r:embed="rId7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00" cy="190500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0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rFonts w:ascii="Roboto" w:cs="Roboto" w:eastAsia="Roboto" w:hAnsi="Roboto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hd w:fill="ffffff" w:val="clear"/>
        <w:spacing w:before="120" w:line="36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Commissioner Bradley, Houseman, and Doilney,</w:t>
      </w:r>
    </w:p>
    <w:p w:rsidR="00000000" w:rsidDel="00000000" w:rsidP="00000000" w:rsidRDefault="00000000" w:rsidRPr="00000000" w14:paraId="00000035">
      <w:pPr>
        <w:shd w:fill="ffffff" w:val="clear"/>
        <w:spacing w:before="120" w:line="360" w:lineRule="auto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spacing w:before="120" w:line="36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I've now updated you all on the update for the Beaver Analog Dam project submitted during the 20/21 Short-Term Projects funding cycle. As you recall, the Committee was excited about the project proposal, but ultimately did not elect to fund the project at the requested $6,000 price point because the necessary work permits were not in place at the time the proposal was submitted. </w:t>
      </w:r>
    </w:p>
    <w:p w:rsidR="00000000" w:rsidDel="00000000" w:rsidP="00000000" w:rsidRDefault="00000000" w:rsidRPr="00000000" w14:paraId="00000037">
      <w:pPr>
        <w:shd w:fill="ffffff" w:val="clear"/>
        <w:spacing w:before="120" w:line="36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As you know, the project lead recently got in touch because both the work permit has been procured, and the project material cost has been discounted from $6,000 to $1,500. Because of these updates and per each of your approvals, staff will proceed with disbursing $1,500 to complete the construction of the beaver analog dams.</w:t>
      </w:r>
    </w:p>
    <w:p w:rsidR="00000000" w:rsidDel="00000000" w:rsidP="00000000" w:rsidRDefault="00000000" w:rsidRPr="00000000" w14:paraId="00000038">
      <w:pPr>
        <w:shd w:fill="ffffff" w:val="clear"/>
        <w:spacing w:before="120" w:line="36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This email serves as your reference.</w:t>
      </w:r>
    </w:p>
    <w:p w:rsidR="00000000" w:rsidDel="00000000" w:rsidP="00000000" w:rsidRDefault="00000000" w:rsidRPr="00000000" w14:paraId="00000039">
      <w:pPr>
        <w:shd w:fill="ffffff" w:val="clear"/>
        <w:spacing w:before="120" w:line="36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Thank you all for your work,</w:t>
      </w:r>
    </w:p>
    <w:p w:rsidR="00000000" w:rsidDel="00000000" w:rsidP="00000000" w:rsidRDefault="00000000" w:rsidRPr="00000000" w14:paraId="0000003A">
      <w:pPr>
        <w:shd w:fill="ffffff" w:val="clear"/>
        <w:spacing w:before="120" w:line="360" w:lineRule="auto"/>
        <w:rPr>
          <w:color w:val="888888"/>
        </w:rPr>
      </w:pPr>
      <w:r w:rsidDel="00000000" w:rsidR="00000000" w:rsidRPr="00000000">
        <w:rPr>
          <w:color w:val="222222"/>
          <w:rtl w:val="0"/>
        </w:rPr>
        <w:t xml:space="preserve">Lindsey</w:t>
      </w:r>
      <w:r w:rsidDel="00000000" w:rsidR="00000000" w:rsidRPr="00000000">
        <w:rPr>
          <w:color w:val="888888"/>
          <w:rtl w:val="0"/>
        </w:rPr>
        <w:t xml:space="preserve">-</w:t>
      </w:r>
    </w:p>
    <w:p w:rsidR="00000000" w:rsidDel="00000000" w:rsidP="00000000" w:rsidRDefault="00000000" w:rsidRPr="00000000" w14:paraId="0000003B">
      <w:pPr>
        <w:shd w:fill="ffffff" w:val="clear"/>
        <w:spacing w:before="120" w:line="360" w:lineRule="auto"/>
        <w:rPr>
          <w:b w:val="1"/>
          <w:color w:val="2e4a45"/>
        </w:rPr>
      </w:pPr>
      <w:r w:rsidDel="00000000" w:rsidR="00000000" w:rsidRPr="00000000">
        <w:rPr>
          <w:b w:val="1"/>
          <w:color w:val="2e4a45"/>
          <w:rtl w:val="0"/>
        </w:rPr>
        <w:t xml:space="preserve">Lindsey Nielsen</w:t>
      </w:r>
    </w:p>
    <w:p w:rsidR="00000000" w:rsidDel="00000000" w:rsidP="00000000" w:rsidRDefault="00000000" w:rsidRPr="00000000" w14:paraId="0000003C">
      <w:pPr>
        <w:shd w:fill="ffffff" w:val="clear"/>
        <w:spacing w:before="120" w:line="360" w:lineRule="auto"/>
        <w:rPr>
          <w:color w:val="00a879"/>
        </w:rPr>
      </w:pP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Central Wasatch Commission</w:t>
        </w:r>
      </w:hyperlink>
      <w:r w:rsidDel="00000000" w:rsidR="00000000" w:rsidRPr="00000000">
        <w:rPr>
          <w:b w:val="1"/>
          <w:color w:val="2e4a45"/>
          <w:rtl w:val="0"/>
        </w:rPr>
        <w:t xml:space="preserve"> </w:t>
      </w:r>
      <w:r w:rsidDel="00000000" w:rsidR="00000000" w:rsidRPr="00000000">
        <w:rPr>
          <w:b w:val="1"/>
          <w:color w:val="00a879"/>
          <w:rtl w:val="0"/>
        </w:rPr>
        <w:t xml:space="preserve">::</w:t>
      </w:r>
      <w:r w:rsidDel="00000000" w:rsidR="00000000" w:rsidRPr="00000000">
        <w:rPr>
          <w:color w:val="2e4a45"/>
          <w:rtl w:val="0"/>
        </w:rPr>
        <w:t xml:space="preserve"> </w:t>
      </w:r>
      <w:r w:rsidDel="00000000" w:rsidR="00000000" w:rsidRPr="00000000">
        <w:rPr>
          <w:color w:val="00a879"/>
          <w:rtl w:val="0"/>
        </w:rPr>
        <w:t xml:space="preserve">Associate Director</w:t>
      </w:r>
    </w:p>
    <w:p w:rsidR="00000000" w:rsidDel="00000000" w:rsidP="00000000" w:rsidRDefault="00000000" w:rsidRPr="00000000" w14:paraId="0000003D">
      <w:pPr>
        <w:shd w:fill="ffffff" w:val="clear"/>
        <w:spacing w:before="120" w:line="360" w:lineRule="auto"/>
        <w:rPr>
          <w:b w:val="1"/>
          <w:color w:val="2e4a45"/>
        </w:rPr>
      </w:pPr>
      <w:r w:rsidDel="00000000" w:rsidR="00000000" w:rsidRPr="00000000">
        <w:rPr>
          <w:color w:val="1155cc"/>
          <w:rtl w:val="0"/>
        </w:rPr>
        <w:t xml:space="preserve">Lindsey@cwc.utah.gov</w:t>
      </w:r>
      <w:r w:rsidDel="00000000" w:rsidR="00000000" w:rsidRPr="00000000">
        <w:rPr>
          <w:color w:val="888888"/>
          <w:rtl w:val="0"/>
        </w:rPr>
        <w:t xml:space="preserve"> </w:t>
      </w:r>
      <w:r w:rsidDel="00000000" w:rsidR="00000000" w:rsidRPr="00000000">
        <w:rPr>
          <w:b w:val="1"/>
          <w:color w:val="00a879"/>
          <w:rtl w:val="0"/>
        </w:rPr>
        <w:t xml:space="preserve">::</w:t>
      </w:r>
      <w:r w:rsidDel="00000000" w:rsidR="00000000" w:rsidRPr="00000000">
        <w:rPr>
          <w:color w:val="2e4a45"/>
          <w:rtl w:val="0"/>
        </w:rPr>
        <w:t xml:space="preserve"> </w:t>
      </w:r>
      <w:r w:rsidDel="00000000" w:rsidR="00000000" w:rsidRPr="00000000">
        <w:rPr>
          <w:b w:val="1"/>
          <w:color w:val="2e4a45"/>
          <w:rtl w:val="0"/>
        </w:rPr>
        <w:t xml:space="preserve">801.706.1004</w:t>
      </w:r>
    </w:p>
    <w:p w:rsidR="00000000" w:rsidDel="00000000" w:rsidP="00000000" w:rsidRDefault="00000000" w:rsidRPr="00000000" w14:paraId="0000003E">
      <w:pPr>
        <w:shd w:fill="ffffff" w:val="clear"/>
        <w:spacing w:before="120" w:line="360" w:lineRule="auto"/>
        <w:rPr>
          <w:b w:val="1"/>
          <w:color w:val="1155cc"/>
          <w:u w:val="single"/>
        </w:rPr>
      </w:pPr>
      <w:r w:rsidDel="00000000" w:rsidR="00000000" w:rsidRPr="00000000">
        <w:rPr>
          <w:b w:val="1"/>
          <w:color w:val="2e4a45"/>
          <w:rtl w:val="0"/>
        </w:rPr>
        <w:t xml:space="preserve">pronouns: she / they </w:t>
      </w: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(about pronouns)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mypronouns.org/what-and-why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gif"/><Relationship Id="rId8" Type="http://schemas.openxmlformats.org/officeDocument/2006/relationships/hyperlink" Target="http://cwc.utah.gov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