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3EFAB860" w:rsidR="00061C33" w:rsidRPr="006A5C33" w:rsidRDefault="00591980"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October 12</w:t>
      </w:r>
      <w:r w:rsidR="00D76C7C">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FFA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0531AB27" w14:textId="615C8F22"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67868A62"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6A3EA7A6" w14:textId="77777777" w:rsidR="0093229A" w:rsidRDefault="0093229A"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C1D5DA4" w14:textId="13922FC0"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002A8212" w14:textId="77777777" w:rsidR="00591980" w:rsidRDefault="00591980" w:rsidP="0069330F">
      <w:pPr>
        <w:ind w:left="360" w:right="360" w:hanging="360"/>
        <w:jc w:val="both"/>
        <w:rPr>
          <w:rFonts w:ascii="Arial" w:hAnsi="Arial" w:cs="Arial"/>
          <w:sz w:val="22"/>
          <w:szCs w:val="22"/>
        </w:rPr>
      </w:pPr>
      <w:r>
        <w:rPr>
          <w:rFonts w:ascii="Arial" w:hAnsi="Arial" w:cs="Arial"/>
          <w:sz w:val="22"/>
          <w:szCs w:val="22"/>
        </w:rPr>
        <w:t>Representative Steve Handy</w:t>
      </w:r>
    </w:p>
    <w:p w14:paraId="03B0CC9D" w14:textId="0CED217D" w:rsidR="006C016B" w:rsidRDefault="006C016B" w:rsidP="0069330F">
      <w:pPr>
        <w:ind w:left="360" w:right="360" w:hanging="360"/>
        <w:jc w:val="both"/>
        <w:rPr>
          <w:rFonts w:ascii="Arial" w:hAnsi="Arial" w:cs="Arial"/>
          <w:sz w:val="22"/>
          <w:szCs w:val="22"/>
        </w:rPr>
      </w:pPr>
      <w:r>
        <w:rPr>
          <w:rFonts w:ascii="Arial" w:hAnsi="Arial" w:cs="Arial"/>
          <w:sz w:val="22"/>
          <w:szCs w:val="22"/>
        </w:rPr>
        <w:t>Mayor Troy Walker</w:t>
      </w:r>
    </w:p>
    <w:p w14:paraId="5B00BD41" w14:textId="73B4CE9C" w:rsidR="004A163E" w:rsidRDefault="004A163E" w:rsidP="0069330F">
      <w:pPr>
        <w:ind w:left="360" w:right="360" w:hanging="360"/>
        <w:jc w:val="both"/>
        <w:rPr>
          <w:rFonts w:ascii="Arial" w:hAnsi="Arial" w:cs="Arial"/>
          <w:sz w:val="22"/>
          <w:szCs w:val="22"/>
        </w:rPr>
      </w:pPr>
      <w:r>
        <w:rPr>
          <w:rFonts w:ascii="Arial" w:hAnsi="Arial" w:cs="Arial"/>
          <w:sz w:val="22"/>
          <w:szCs w:val="22"/>
        </w:rPr>
        <w:t>Mayor Dawn Ramsey</w:t>
      </w:r>
    </w:p>
    <w:p w14:paraId="7A673898" w14:textId="51EE705A" w:rsidR="00182526" w:rsidRDefault="00182526" w:rsidP="0069330F">
      <w:pPr>
        <w:ind w:left="360" w:right="360" w:hanging="360"/>
        <w:jc w:val="both"/>
        <w:rPr>
          <w:rFonts w:ascii="Arial" w:hAnsi="Arial" w:cs="Arial"/>
          <w:sz w:val="22"/>
          <w:szCs w:val="22"/>
        </w:rPr>
      </w:pPr>
      <w:r>
        <w:rPr>
          <w:rFonts w:ascii="Arial" w:hAnsi="Arial" w:cs="Arial"/>
          <w:sz w:val="22"/>
          <w:szCs w:val="22"/>
        </w:rPr>
        <w:t>Senator Jerry Stevenson</w:t>
      </w:r>
    </w:p>
    <w:p w14:paraId="40DEA87F" w14:textId="0444FC3C"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092CCE0" w14:textId="77777777" w:rsidR="0093229A" w:rsidRDefault="0093229A" w:rsidP="000F1BE1">
      <w:pPr>
        <w:pStyle w:val="BodyText3"/>
        <w:widowControl/>
        <w:rPr>
          <w:sz w:val="22"/>
          <w:szCs w:val="22"/>
        </w:rPr>
      </w:pPr>
      <w:r>
        <w:rPr>
          <w:sz w:val="22"/>
          <w:szCs w:val="22"/>
        </w:rPr>
        <w:t>Mike Mower</w:t>
      </w:r>
      <w:r>
        <w:rPr>
          <w:sz w:val="22"/>
          <w:szCs w:val="22"/>
        </w:rPr>
        <w:tab/>
      </w:r>
      <w:r>
        <w:rPr>
          <w:sz w:val="22"/>
          <w:szCs w:val="22"/>
        </w:rPr>
        <w:tab/>
      </w:r>
      <w:r>
        <w:rPr>
          <w:sz w:val="22"/>
          <w:szCs w:val="22"/>
        </w:rPr>
        <w:tab/>
      </w:r>
      <w:r>
        <w:rPr>
          <w:sz w:val="22"/>
          <w:szCs w:val="22"/>
        </w:rPr>
        <w:tab/>
        <w:t>Governor’s Office</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672A28B3"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sidR="00C00C84">
        <w:rPr>
          <w:sz w:val="22"/>
          <w:szCs w:val="22"/>
        </w:rPr>
        <w:tab/>
      </w:r>
      <w:r w:rsidR="003E6B04">
        <w:rPr>
          <w:sz w:val="22"/>
          <w:szCs w:val="22"/>
        </w:rPr>
        <w:t>Ballard Spahr</w:t>
      </w:r>
    </w:p>
    <w:p w14:paraId="1A0E4D19" w14:textId="0BF25B9A" w:rsidR="004A163E" w:rsidRDefault="004A163E" w:rsidP="000F1BE1">
      <w:pPr>
        <w:pStyle w:val="BodyText3"/>
        <w:widowControl/>
        <w:rPr>
          <w:sz w:val="22"/>
          <w:szCs w:val="22"/>
        </w:rPr>
      </w:pPr>
      <w:r>
        <w:rPr>
          <w:sz w:val="22"/>
          <w:szCs w:val="22"/>
        </w:rPr>
        <w:t>David Dobbins</w:t>
      </w:r>
      <w:r w:rsidR="009F6C82">
        <w:rPr>
          <w:sz w:val="22"/>
          <w:szCs w:val="22"/>
        </w:rPr>
        <w:tab/>
      </w:r>
      <w:r w:rsidR="009F6C82">
        <w:rPr>
          <w:sz w:val="22"/>
          <w:szCs w:val="22"/>
        </w:rPr>
        <w:tab/>
      </w:r>
      <w:r w:rsidR="009F6C82">
        <w:rPr>
          <w:sz w:val="22"/>
          <w:szCs w:val="22"/>
        </w:rPr>
        <w:tab/>
      </w:r>
      <w:r w:rsidR="009F6C82">
        <w:rPr>
          <w:sz w:val="22"/>
          <w:szCs w:val="22"/>
        </w:rPr>
        <w:tab/>
        <w:t>Draper City</w:t>
      </w:r>
    </w:p>
    <w:p w14:paraId="56D9B465" w14:textId="3BFC83A3" w:rsidR="0093229A" w:rsidRDefault="004C68DC" w:rsidP="000F1BE1">
      <w:pPr>
        <w:pStyle w:val="BodyText3"/>
        <w:widowControl/>
        <w:rPr>
          <w:sz w:val="22"/>
          <w:szCs w:val="22"/>
        </w:rPr>
      </w:pPr>
      <w:r>
        <w:rPr>
          <w:sz w:val="22"/>
          <w:szCs w:val="22"/>
        </w:rPr>
        <w:t>John Dougall</w:t>
      </w:r>
      <w:r>
        <w:rPr>
          <w:sz w:val="22"/>
          <w:szCs w:val="22"/>
        </w:rPr>
        <w:tab/>
      </w:r>
      <w:r>
        <w:rPr>
          <w:sz w:val="22"/>
          <w:szCs w:val="22"/>
        </w:rPr>
        <w:tab/>
      </w:r>
      <w:r>
        <w:rPr>
          <w:sz w:val="22"/>
          <w:szCs w:val="22"/>
        </w:rPr>
        <w:tab/>
      </w:r>
      <w:r>
        <w:rPr>
          <w:sz w:val="22"/>
          <w:szCs w:val="22"/>
        </w:rPr>
        <w:tab/>
        <w:t>Utah State Auditor</w:t>
      </w:r>
    </w:p>
    <w:p w14:paraId="6152EB2A" w14:textId="620C07B0" w:rsidR="004C68DC" w:rsidRDefault="004C68DC" w:rsidP="000F1BE1">
      <w:pPr>
        <w:pStyle w:val="BodyText3"/>
        <w:widowControl/>
        <w:rPr>
          <w:sz w:val="22"/>
          <w:szCs w:val="22"/>
        </w:rPr>
      </w:pPr>
      <w:r>
        <w:rPr>
          <w:sz w:val="22"/>
          <w:szCs w:val="22"/>
        </w:rPr>
        <w:t>Jason Allen</w:t>
      </w:r>
      <w:r>
        <w:rPr>
          <w:sz w:val="22"/>
          <w:szCs w:val="22"/>
        </w:rPr>
        <w:tab/>
      </w:r>
      <w:r>
        <w:rPr>
          <w:sz w:val="22"/>
          <w:szCs w:val="22"/>
        </w:rPr>
        <w:tab/>
      </w:r>
      <w:r>
        <w:rPr>
          <w:sz w:val="22"/>
          <w:szCs w:val="22"/>
        </w:rPr>
        <w:tab/>
      </w:r>
      <w:r>
        <w:rPr>
          <w:sz w:val="22"/>
          <w:szCs w:val="22"/>
        </w:rPr>
        <w:tab/>
        <w:t>Utah State Auditor’s Office</w:t>
      </w:r>
    </w:p>
    <w:p w14:paraId="028FCE39" w14:textId="77158AE2" w:rsidR="004C68DC" w:rsidRDefault="004C68DC"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13FD6E73" w14:textId="77777777" w:rsidR="008C7635" w:rsidRDefault="008C7635" w:rsidP="009B0FF3">
      <w:pPr>
        <w:ind w:right="484"/>
        <w:rPr>
          <w:rFonts w:ascii="Arial" w:hAnsi="Arial" w:cs="Arial"/>
          <w:sz w:val="22"/>
          <w:szCs w:val="22"/>
        </w:rPr>
      </w:pPr>
    </w:p>
    <w:p w14:paraId="73004205" w14:textId="2E4EDE45" w:rsidR="001E628F" w:rsidRDefault="001E628F" w:rsidP="001E628F">
      <w:pPr>
        <w:ind w:right="484"/>
        <w:rPr>
          <w:rFonts w:ascii="Arial" w:hAnsi="Arial" w:cs="Arial"/>
          <w:snapToGrid/>
          <w:sz w:val="22"/>
          <w:szCs w:val="22"/>
        </w:rPr>
      </w:pPr>
      <w:r>
        <w:rPr>
          <w:rFonts w:ascii="Arial" w:hAnsi="Arial" w:cs="Arial"/>
          <w:sz w:val="22"/>
          <w:szCs w:val="22"/>
        </w:rPr>
        <w:t xml:space="preserve">On Tuesday, October 12, 2021 the Point of the Mountain State Land Authority Board held a meeting in the Senate Building, Room 210 at the Utah State Capitol Complex. A virtual meeting option was available for those who attended remotely via the Zoom Meeting platform: </w:t>
      </w:r>
    </w:p>
    <w:p w14:paraId="4797D968" w14:textId="5EBEAB12" w:rsidR="00EC40FB" w:rsidRPr="00F10C8B" w:rsidRDefault="008C03D4"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3AB21CFA" w14:textId="77777777" w:rsidR="00591980" w:rsidRDefault="00591980" w:rsidP="00591980">
      <w:pPr>
        <w:shd w:val="clear" w:color="auto" w:fill="FFFFFF"/>
        <w:ind w:right="484"/>
        <w:rPr>
          <w:rFonts w:ascii="Arial" w:hAnsi="Arial" w:cs="Arial"/>
          <w:sz w:val="22"/>
          <w:szCs w:val="22"/>
        </w:rPr>
      </w:pPr>
      <w:r>
        <w:rPr>
          <w:rFonts w:ascii="Arial" w:hAnsi="Arial" w:cs="Arial"/>
          <w:sz w:val="22"/>
          <w:szCs w:val="22"/>
        </w:rPr>
        <w:t xml:space="preserve">A video of the meeting can be found on The Point’s </w:t>
      </w:r>
      <w:r w:rsidRPr="000A0BEC">
        <w:rPr>
          <w:rFonts w:ascii="Arial" w:hAnsi="Arial" w:cs="Arial"/>
          <w:sz w:val="22"/>
          <w:szCs w:val="22"/>
        </w:rPr>
        <w:t>YouTube</w:t>
      </w:r>
      <w:r>
        <w:rPr>
          <w:rFonts w:ascii="Arial" w:hAnsi="Arial" w:cs="Arial"/>
          <w:sz w:val="22"/>
          <w:szCs w:val="22"/>
        </w:rPr>
        <w:t xml:space="preserve"> channel:</w:t>
      </w:r>
    </w:p>
    <w:p w14:paraId="5E0E7AC9" w14:textId="77777777" w:rsidR="00591980" w:rsidRPr="007E64EC" w:rsidRDefault="008C03D4" w:rsidP="00591980">
      <w:pPr>
        <w:shd w:val="clear" w:color="auto" w:fill="FFFFFF"/>
        <w:ind w:right="484"/>
        <w:rPr>
          <w:rStyle w:val="Hyperlink"/>
        </w:rPr>
      </w:pPr>
      <w:hyperlink r:id="rId10" w:tgtFrame="_blank" w:history="1">
        <w:r w:rsidR="00591980" w:rsidRPr="007E64EC">
          <w:rPr>
            <w:rStyle w:val="Hyperlink"/>
            <w:szCs w:val="24"/>
          </w:rPr>
          <w:t>bit.ly/</w:t>
        </w:r>
        <w:proofErr w:type="spellStart"/>
        <w:r w:rsidR="00591980" w:rsidRPr="007E64EC">
          <w:rPr>
            <w:rStyle w:val="Hyperlink"/>
            <w:szCs w:val="24"/>
          </w:rPr>
          <w:t>thepointyoutube</w:t>
        </w:r>
        <w:proofErr w:type="spellEnd"/>
      </w:hyperlink>
    </w:p>
    <w:p w14:paraId="6C89544C" w14:textId="77777777" w:rsidR="00591980" w:rsidRPr="001B3B7E" w:rsidRDefault="00591980" w:rsidP="00591980">
      <w:pPr>
        <w:shd w:val="clear" w:color="auto" w:fill="FFFFFF"/>
        <w:ind w:right="484"/>
        <w:rPr>
          <w:rFonts w:ascii="Arial" w:hAnsi="Arial" w:cs="Arial"/>
          <w:szCs w:val="24"/>
        </w:rPr>
      </w:pPr>
    </w:p>
    <w:p w14:paraId="6B73DB4C" w14:textId="0474DAB8" w:rsidR="00591980" w:rsidRDefault="00591980" w:rsidP="00591980">
      <w:pPr>
        <w:pStyle w:val="BodyText"/>
        <w:tabs>
          <w:tab w:val="left" w:pos="860"/>
        </w:tabs>
        <w:jc w:val="both"/>
        <w:rPr>
          <w:rFonts w:ascii="Arial" w:hAnsi="Arial" w:cs="Arial"/>
          <w:sz w:val="22"/>
          <w:szCs w:val="22"/>
        </w:rPr>
      </w:pPr>
      <w:r>
        <w:rPr>
          <w:rFonts w:ascii="Arial" w:hAnsi="Arial" w:cs="Arial"/>
          <w:sz w:val="22"/>
          <w:szCs w:val="22"/>
        </w:rPr>
        <w:t>The meeting was called to order at 9:0</w:t>
      </w:r>
      <w:r w:rsidR="00DD3D37">
        <w:rPr>
          <w:rFonts w:ascii="Arial" w:hAnsi="Arial" w:cs="Arial"/>
          <w:sz w:val="22"/>
          <w:szCs w:val="22"/>
        </w:rPr>
        <w:t>6</w:t>
      </w:r>
      <w:r w:rsidRPr="00C70ED0">
        <w:rPr>
          <w:rFonts w:ascii="Arial" w:hAnsi="Arial" w:cs="Arial"/>
          <w:sz w:val="22"/>
          <w:szCs w:val="22"/>
        </w:rPr>
        <w:t xml:space="preserve"> </w:t>
      </w:r>
      <w:r>
        <w:rPr>
          <w:rFonts w:ascii="Arial" w:hAnsi="Arial" w:cs="Arial"/>
          <w:sz w:val="22"/>
          <w:szCs w:val="22"/>
        </w:rPr>
        <w:t>a</w:t>
      </w:r>
      <w:r w:rsidRPr="00C70ED0">
        <w:rPr>
          <w:rFonts w:ascii="Arial" w:hAnsi="Arial" w:cs="Arial"/>
          <w:sz w:val="22"/>
          <w:szCs w:val="22"/>
        </w:rPr>
        <w:t>m.</w:t>
      </w:r>
    </w:p>
    <w:p w14:paraId="11F777A6" w14:textId="5DB5D4A0" w:rsidR="0071566C" w:rsidRDefault="0071566C" w:rsidP="0059198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591EE41A" w14:textId="6BE9D360" w:rsidR="001C47EB" w:rsidRDefault="009966E9" w:rsidP="001C47EB">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w:t>
      </w:r>
      <w:r w:rsidR="00056835">
        <w:rPr>
          <w:sz w:val="22"/>
          <w:szCs w:val="22"/>
        </w:rPr>
        <w:t>d</w:t>
      </w:r>
      <w:r>
        <w:rPr>
          <w:sz w:val="22"/>
          <w:szCs w:val="22"/>
        </w:rPr>
        <w:t xml:space="preserve"> board</w:t>
      </w:r>
      <w:r w:rsidR="00056835">
        <w:rPr>
          <w:sz w:val="22"/>
          <w:szCs w:val="22"/>
        </w:rPr>
        <w:t xml:space="preserve"> members </w:t>
      </w:r>
      <w:r w:rsidR="001C47EB">
        <w:rPr>
          <w:sz w:val="22"/>
          <w:szCs w:val="22"/>
        </w:rPr>
        <w:t xml:space="preserve">and the public </w:t>
      </w:r>
      <w:r w:rsidR="00A371C2">
        <w:rPr>
          <w:sz w:val="22"/>
          <w:szCs w:val="22"/>
        </w:rPr>
        <w:t xml:space="preserve">to the meeting and </w:t>
      </w:r>
      <w:r w:rsidR="004C68DC">
        <w:rPr>
          <w:sz w:val="22"/>
          <w:szCs w:val="22"/>
        </w:rPr>
        <w:t xml:space="preserve">excused </w:t>
      </w:r>
      <w:r w:rsidR="001C47EB">
        <w:rPr>
          <w:sz w:val="22"/>
          <w:szCs w:val="22"/>
        </w:rPr>
        <w:t xml:space="preserve">Co-Chair </w:t>
      </w:r>
      <w:r w:rsidR="00F52F43">
        <w:rPr>
          <w:sz w:val="22"/>
          <w:szCs w:val="22"/>
        </w:rPr>
        <w:t>Lt</w:t>
      </w:r>
      <w:r w:rsidR="001C47EB">
        <w:rPr>
          <w:sz w:val="22"/>
          <w:szCs w:val="22"/>
        </w:rPr>
        <w:t>.</w:t>
      </w:r>
      <w:r w:rsidR="00F52F43">
        <w:rPr>
          <w:sz w:val="22"/>
          <w:szCs w:val="22"/>
        </w:rPr>
        <w:t xml:space="preserve"> Gov. Henderson </w:t>
      </w:r>
      <w:r w:rsidR="001C47EB">
        <w:rPr>
          <w:sz w:val="22"/>
          <w:szCs w:val="22"/>
        </w:rPr>
        <w:t>who is attending to other duties of her office</w:t>
      </w:r>
      <w:r w:rsidR="00F52F43">
        <w:rPr>
          <w:sz w:val="22"/>
          <w:szCs w:val="22"/>
        </w:rPr>
        <w:t xml:space="preserve">.  </w:t>
      </w:r>
      <w:r w:rsidR="001C47EB">
        <w:rPr>
          <w:sz w:val="22"/>
          <w:szCs w:val="22"/>
        </w:rPr>
        <w:t xml:space="preserve">The Chair gave an overview of board activities for the month and expressed appreciation to the board for their efforts to move the work forward.  </w:t>
      </w:r>
    </w:p>
    <w:p w14:paraId="045EF553" w14:textId="2A34570A" w:rsidR="0071566C" w:rsidRDefault="0071566C" w:rsidP="001C47EB">
      <w:pPr>
        <w:pStyle w:val="BodyText3"/>
        <w:widowControl/>
        <w:rPr>
          <w:sz w:val="22"/>
          <w:szCs w:val="22"/>
        </w:rPr>
      </w:pPr>
    </w:p>
    <w:p w14:paraId="34FBE82F" w14:textId="77777777" w:rsidR="004C265F" w:rsidRDefault="004C265F" w:rsidP="001C47EB">
      <w:pPr>
        <w:pStyle w:val="BodyText3"/>
        <w:widowControl/>
        <w:rPr>
          <w:sz w:val="22"/>
          <w:szCs w:val="22"/>
        </w:rPr>
      </w:pPr>
    </w:p>
    <w:p w14:paraId="278E1AA0" w14:textId="7CE35210" w:rsidR="00591980" w:rsidRDefault="00591980" w:rsidP="00591980">
      <w:pPr>
        <w:numPr>
          <w:ilvl w:val="0"/>
          <w:numId w:val="1"/>
        </w:numPr>
        <w:tabs>
          <w:tab w:val="right" w:leader="dot" w:pos="9360"/>
        </w:tabs>
        <w:jc w:val="both"/>
        <w:rPr>
          <w:rFonts w:ascii="Arial" w:hAnsi="Arial"/>
          <w:b/>
          <w:sz w:val="22"/>
          <w:szCs w:val="22"/>
        </w:rPr>
      </w:pPr>
      <w:bookmarkStart w:id="0" w:name="OLE_LINK1"/>
      <w:r>
        <w:rPr>
          <w:rFonts w:ascii="Arial" w:hAnsi="Arial"/>
          <w:b/>
          <w:sz w:val="22"/>
          <w:szCs w:val="22"/>
        </w:rPr>
        <w:t>PUBLIC COMMENT</w:t>
      </w:r>
    </w:p>
    <w:p w14:paraId="49C05056" w14:textId="49F636E9" w:rsidR="00591980" w:rsidRDefault="00591980" w:rsidP="00591980">
      <w:pPr>
        <w:tabs>
          <w:tab w:val="left" w:pos="3240"/>
        </w:tabs>
      </w:pPr>
      <w:r>
        <w:rPr>
          <w:rFonts w:ascii="Arial" w:hAnsi="Arial"/>
          <w:sz w:val="22"/>
          <w:szCs w:val="22"/>
        </w:rPr>
        <w:t>Members of the public who would like to speak were invited to comment subject to the board’s procedure and rules. There were no comments.</w:t>
      </w:r>
      <w:r w:rsidRPr="00C70ED0">
        <w:t xml:space="preserve"> </w:t>
      </w:r>
    </w:p>
    <w:p w14:paraId="65CB836C" w14:textId="3F072CD7" w:rsidR="00591980" w:rsidRDefault="00591980" w:rsidP="00591980">
      <w:pPr>
        <w:tabs>
          <w:tab w:val="left" w:pos="3240"/>
        </w:tabs>
      </w:pPr>
    </w:p>
    <w:p w14:paraId="114FFED0" w14:textId="77777777" w:rsidR="004C265F" w:rsidRDefault="004C265F" w:rsidP="00591980">
      <w:pPr>
        <w:tabs>
          <w:tab w:val="left" w:pos="3240"/>
        </w:tabs>
      </w:pPr>
    </w:p>
    <w:p w14:paraId="017875C1" w14:textId="77777777" w:rsidR="00F52F43" w:rsidRDefault="00F52F43" w:rsidP="00F52F4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FY21 AUDIT REPORT</w:t>
      </w:r>
    </w:p>
    <w:p w14:paraId="21D6073C" w14:textId="77AF391F" w:rsidR="00C633C3" w:rsidRDefault="00F52F43" w:rsidP="00F52F43">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State Auditor John Dougall and Jason Allen from the Utah State Auditor’s Office provided a report on their audit of the </w:t>
      </w:r>
      <w:r w:rsidR="003422D6">
        <w:rPr>
          <w:rFonts w:ascii="Arial" w:hAnsi="Arial"/>
          <w:sz w:val="22"/>
          <w:szCs w:val="22"/>
        </w:rPr>
        <w:t xml:space="preserve">Point of the Mountain State </w:t>
      </w:r>
      <w:r>
        <w:rPr>
          <w:rFonts w:ascii="Arial" w:hAnsi="Arial"/>
          <w:sz w:val="22"/>
          <w:szCs w:val="22"/>
        </w:rPr>
        <w:t xml:space="preserve">Land Authority for FY21.  The </w:t>
      </w:r>
      <w:r w:rsidR="001C47EB">
        <w:rPr>
          <w:rFonts w:ascii="Arial" w:hAnsi="Arial"/>
          <w:sz w:val="22"/>
          <w:szCs w:val="22"/>
        </w:rPr>
        <w:t xml:space="preserve">audit </w:t>
      </w:r>
      <w:r w:rsidR="00C633C3">
        <w:rPr>
          <w:rFonts w:ascii="Arial" w:hAnsi="Arial"/>
          <w:sz w:val="22"/>
          <w:szCs w:val="22"/>
        </w:rPr>
        <w:t>reviewed</w:t>
      </w:r>
      <w:r w:rsidR="001C47EB">
        <w:rPr>
          <w:rFonts w:ascii="Arial" w:hAnsi="Arial"/>
          <w:sz w:val="22"/>
          <w:szCs w:val="22"/>
        </w:rPr>
        <w:t xml:space="preserve"> the</w:t>
      </w:r>
      <w:r w:rsidR="00C633C3">
        <w:rPr>
          <w:rFonts w:ascii="Arial" w:hAnsi="Arial"/>
          <w:sz w:val="22"/>
          <w:szCs w:val="22"/>
        </w:rPr>
        <w:t xml:space="preserve"> following items.</w:t>
      </w:r>
    </w:p>
    <w:p w14:paraId="6A77584D" w14:textId="505A6430" w:rsidR="00C633C3" w:rsidRDefault="00C633C3" w:rsidP="00C633C3">
      <w:pPr>
        <w:pStyle w:val="ListParagraph"/>
        <w:numPr>
          <w:ilvl w:val="0"/>
          <w:numId w:val="14"/>
        </w:numPr>
        <w:tabs>
          <w:tab w:val="left" w:leader="dot" w:pos="-1080"/>
          <w:tab w:val="left" w:pos="-360"/>
          <w:tab w:val="left" w:pos="540"/>
          <w:tab w:val="right" w:leader="dot" w:pos="9360"/>
        </w:tabs>
        <w:ind w:left="900"/>
        <w:jc w:val="both"/>
        <w:rPr>
          <w:rFonts w:ascii="Arial" w:hAnsi="Arial"/>
          <w:sz w:val="22"/>
          <w:szCs w:val="22"/>
        </w:rPr>
      </w:pPr>
      <w:r>
        <w:rPr>
          <w:rFonts w:ascii="Arial" w:hAnsi="Arial"/>
          <w:sz w:val="22"/>
          <w:szCs w:val="22"/>
        </w:rPr>
        <w:t xml:space="preserve">The </w:t>
      </w:r>
      <w:r w:rsidR="00F52F43" w:rsidRPr="00C633C3">
        <w:rPr>
          <w:rFonts w:ascii="Arial" w:hAnsi="Arial"/>
          <w:sz w:val="22"/>
          <w:szCs w:val="22"/>
        </w:rPr>
        <w:t xml:space="preserve">Authority’s posting of </w:t>
      </w:r>
      <w:r w:rsidRPr="00C633C3">
        <w:rPr>
          <w:rFonts w:ascii="Arial" w:hAnsi="Arial"/>
          <w:sz w:val="22"/>
          <w:szCs w:val="22"/>
        </w:rPr>
        <w:t xml:space="preserve">financial information on transparency </w:t>
      </w:r>
      <w:r w:rsidR="00F52F43" w:rsidRPr="00C633C3">
        <w:rPr>
          <w:rFonts w:ascii="Arial" w:hAnsi="Arial"/>
          <w:sz w:val="22"/>
          <w:szCs w:val="22"/>
        </w:rPr>
        <w:t xml:space="preserve">website </w:t>
      </w:r>
      <w:r w:rsidRPr="00C633C3">
        <w:rPr>
          <w:rFonts w:ascii="Arial" w:hAnsi="Arial"/>
          <w:sz w:val="22"/>
          <w:szCs w:val="22"/>
        </w:rPr>
        <w:t>to ensure the</w:t>
      </w:r>
      <w:r>
        <w:rPr>
          <w:rFonts w:ascii="Arial" w:hAnsi="Arial"/>
          <w:sz w:val="22"/>
          <w:szCs w:val="22"/>
        </w:rPr>
        <w:t xml:space="preserve"> </w:t>
      </w:r>
      <w:r w:rsidRPr="00C633C3">
        <w:rPr>
          <w:rFonts w:ascii="Arial" w:hAnsi="Arial"/>
          <w:sz w:val="22"/>
          <w:szCs w:val="22"/>
        </w:rPr>
        <w:t>transaction level of detail is included</w:t>
      </w:r>
      <w:r w:rsidR="003E08EC">
        <w:rPr>
          <w:rFonts w:ascii="Arial" w:hAnsi="Arial"/>
          <w:sz w:val="22"/>
          <w:szCs w:val="22"/>
        </w:rPr>
        <w:t>.</w:t>
      </w:r>
    </w:p>
    <w:p w14:paraId="153C7EB4" w14:textId="4262C3AF" w:rsidR="00C633C3" w:rsidRDefault="00C633C3" w:rsidP="00C633C3">
      <w:pPr>
        <w:pStyle w:val="ListParagraph"/>
        <w:numPr>
          <w:ilvl w:val="0"/>
          <w:numId w:val="14"/>
        </w:numPr>
        <w:tabs>
          <w:tab w:val="left" w:leader="dot" w:pos="-1080"/>
          <w:tab w:val="left" w:pos="-360"/>
          <w:tab w:val="left" w:pos="540"/>
          <w:tab w:val="right" w:leader="dot" w:pos="9360"/>
        </w:tabs>
        <w:ind w:left="900"/>
        <w:jc w:val="both"/>
        <w:rPr>
          <w:rFonts w:ascii="Arial" w:hAnsi="Arial"/>
          <w:sz w:val="22"/>
          <w:szCs w:val="22"/>
        </w:rPr>
      </w:pPr>
      <w:r>
        <w:rPr>
          <w:rFonts w:ascii="Arial" w:hAnsi="Arial"/>
          <w:sz w:val="22"/>
          <w:szCs w:val="22"/>
        </w:rPr>
        <w:t>Fifteen disbursements, which represent 10% of total transactions</w:t>
      </w:r>
      <w:r w:rsidR="00AB3330">
        <w:rPr>
          <w:rFonts w:ascii="Arial" w:hAnsi="Arial"/>
          <w:sz w:val="22"/>
          <w:szCs w:val="22"/>
        </w:rPr>
        <w:t>,</w:t>
      </w:r>
      <w:r>
        <w:rPr>
          <w:rFonts w:ascii="Arial" w:hAnsi="Arial"/>
          <w:sz w:val="22"/>
          <w:szCs w:val="22"/>
        </w:rPr>
        <w:t xml:space="preserve"> to make sure they are consistent with the Authority’s purpose</w:t>
      </w:r>
      <w:r w:rsidR="003422D6">
        <w:rPr>
          <w:rFonts w:ascii="Arial" w:hAnsi="Arial"/>
          <w:sz w:val="22"/>
          <w:szCs w:val="22"/>
        </w:rPr>
        <w:t xml:space="preserve">, </w:t>
      </w:r>
      <w:r w:rsidR="003E08EC">
        <w:rPr>
          <w:rFonts w:ascii="Arial" w:hAnsi="Arial"/>
          <w:sz w:val="22"/>
          <w:szCs w:val="22"/>
        </w:rPr>
        <w:t>provided</w:t>
      </w:r>
      <w:r>
        <w:rPr>
          <w:rFonts w:ascii="Arial" w:hAnsi="Arial"/>
          <w:sz w:val="22"/>
          <w:szCs w:val="22"/>
        </w:rPr>
        <w:t xml:space="preserve"> adequate supporting documentation and followed all policies and procedures</w:t>
      </w:r>
      <w:r w:rsidR="003E08EC">
        <w:rPr>
          <w:rFonts w:ascii="Arial" w:hAnsi="Arial"/>
          <w:sz w:val="22"/>
          <w:szCs w:val="22"/>
        </w:rPr>
        <w:t>.</w:t>
      </w:r>
    </w:p>
    <w:p w14:paraId="16650588" w14:textId="378C2371" w:rsidR="00C633C3" w:rsidRPr="00C633C3" w:rsidRDefault="00C633C3" w:rsidP="00C633C3">
      <w:pPr>
        <w:pStyle w:val="ListParagraph"/>
        <w:numPr>
          <w:ilvl w:val="0"/>
          <w:numId w:val="14"/>
        </w:numPr>
        <w:tabs>
          <w:tab w:val="left" w:leader="dot" w:pos="-1080"/>
          <w:tab w:val="left" w:pos="-360"/>
          <w:tab w:val="left" w:pos="540"/>
          <w:tab w:val="right" w:leader="dot" w:pos="9360"/>
        </w:tabs>
        <w:ind w:left="900"/>
        <w:jc w:val="both"/>
        <w:rPr>
          <w:rFonts w:ascii="Arial" w:hAnsi="Arial"/>
          <w:sz w:val="22"/>
          <w:szCs w:val="22"/>
        </w:rPr>
      </w:pPr>
      <w:r>
        <w:rPr>
          <w:rFonts w:ascii="Arial" w:hAnsi="Arial"/>
          <w:sz w:val="22"/>
          <w:szCs w:val="22"/>
        </w:rPr>
        <w:t>One month of purchasing card transactions to make sure receipts were accounted for and reconciled to the actual statement.</w:t>
      </w:r>
    </w:p>
    <w:p w14:paraId="054A180D" w14:textId="5D9CA168" w:rsidR="00F52F43" w:rsidRDefault="00C633C3" w:rsidP="00C633C3">
      <w:pPr>
        <w:tabs>
          <w:tab w:val="left" w:leader="dot" w:pos="-1080"/>
          <w:tab w:val="left" w:pos="-360"/>
          <w:tab w:val="left" w:pos="540"/>
          <w:tab w:val="left" w:pos="1080"/>
          <w:tab w:val="right" w:leader="dot" w:pos="9360"/>
        </w:tabs>
        <w:jc w:val="both"/>
        <w:rPr>
          <w:rFonts w:ascii="Arial" w:hAnsi="Arial"/>
          <w:sz w:val="22"/>
          <w:szCs w:val="22"/>
        </w:rPr>
      </w:pPr>
      <w:r>
        <w:rPr>
          <w:rFonts w:ascii="Arial" w:hAnsi="Arial"/>
          <w:sz w:val="22"/>
          <w:szCs w:val="22"/>
        </w:rPr>
        <w:t>The auditors reported they found no exceptions as a result of these procedures</w:t>
      </w:r>
      <w:r w:rsidR="00AB3330">
        <w:rPr>
          <w:rFonts w:ascii="Arial" w:hAnsi="Arial"/>
          <w:sz w:val="22"/>
          <w:szCs w:val="22"/>
        </w:rPr>
        <w:t xml:space="preserve"> and all records appear to be in order</w:t>
      </w:r>
      <w:r w:rsidR="00F52F43">
        <w:rPr>
          <w:rFonts w:ascii="Arial" w:hAnsi="Arial"/>
          <w:sz w:val="22"/>
          <w:szCs w:val="22"/>
        </w:rPr>
        <w:t xml:space="preserve">.  </w:t>
      </w:r>
    </w:p>
    <w:p w14:paraId="33447A0E" w14:textId="650B33EA" w:rsidR="00F52F43" w:rsidRDefault="00F52F43" w:rsidP="00F52F43">
      <w:pPr>
        <w:tabs>
          <w:tab w:val="left" w:leader="dot" w:pos="-1080"/>
          <w:tab w:val="left" w:pos="-360"/>
          <w:tab w:val="right" w:leader="dot" w:pos="9360"/>
        </w:tabs>
        <w:jc w:val="both"/>
        <w:rPr>
          <w:rFonts w:ascii="Arial" w:hAnsi="Arial"/>
          <w:sz w:val="22"/>
          <w:szCs w:val="22"/>
        </w:rPr>
      </w:pPr>
    </w:p>
    <w:p w14:paraId="3F99DE58" w14:textId="355E199B" w:rsidR="00F52F43" w:rsidRDefault="00F52F43" w:rsidP="00F52F43">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Mayor Troy Walker moved to </w:t>
      </w:r>
      <w:r w:rsidR="00E6145E">
        <w:rPr>
          <w:rFonts w:cs="Arial"/>
          <w:b w:val="0"/>
          <w:sz w:val="22"/>
          <w:szCs w:val="22"/>
        </w:rPr>
        <w:t>a</w:t>
      </w:r>
      <w:r w:rsidR="00AB3330">
        <w:rPr>
          <w:rFonts w:cs="Arial"/>
          <w:b w:val="0"/>
          <w:sz w:val="22"/>
          <w:szCs w:val="22"/>
        </w:rPr>
        <w:t>dopt</w:t>
      </w:r>
      <w:r>
        <w:rPr>
          <w:rFonts w:cs="Arial"/>
          <w:b w:val="0"/>
          <w:sz w:val="22"/>
          <w:szCs w:val="22"/>
        </w:rPr>
        <w:t xml:space="preserve"> the report from the state auditor.  The motion was seconded by </w:t>
      </w:r>
      <w:r w:rsidR="00E6145E">
        <w:rPr>
          <w:rFonts w:cs="Arial"/>
          <w:b w:val="0"/>
          <w:sz w:val="22"/>
          <w:szCs w:val="22"/>
        </w:rPr>
        <w:t xml:space="preserve">Senator Jerry Stevenson </w:t>
      </w:r>
      <w:r>
        <w:rPr>
          <w:rFonts w:cs="Arial"/>
          <w:b w:val="0"/>
          <w:sz w:val="22"/>
          <w:szCs w:val="22"/>
        </w:rPr>
        <w:t>and approved unanimously.</w:t>
      </w:r>
    </w:p>
    <w:p w14:paraId="797BE316" w14:textId="73E1485D" w:rsidR="00F52F43" w:rsidRDefault="00F52F43" w:rsidP="00F52F43">
      <w:pPr>
        <w:pStyle w:val="Heading2"/>
        <w:tabs>
          <w:tab w:val="clear" w:pos="9360"/>
          <w:tab w:val="left" w:pos="900"/>
        </w:tabs>
        <w:ind w:left="2160" w:hanging="2160"/>
        <w:jc w:val="both"/>
        <w:rPr>
          <w:rFonts w:cs="Arial"/>
          <w:b w:val="0"/>
          <w:sz w:val="22"/>
          <w:szCs w:val="22"/>
        </w:rPr>
      </w:pPr>
    </w:p>
    <w:p w14:paraId="24A21EBC" w14:textId="77777777" w:rsidR="004C265F" w:rsidRPr="004C265F" w:rsidRDefault="004C265F" w:rsidP="004C265F"/>
    <w:p w14:paraId="595E069A" w14:textId="5805370D" w:rsidR="00591980" w:rsidRPr="002D0780" w:rsidRDefault="00591980" w:rsidP="00591980">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 SEPTEMBER 14, 2021 and SEPTEMBER 23, 2021 MEETINGS</w:t>
      </w:r>
    </w:p>
    <w:p w14:paraId="0730193E" w14:textId="17C30F5C" w:rsidR="00591980" w:rsidRDefault="00591980" w:rsidP="00591980">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w:t>
      </w:r>
      <w:r>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3C6E9613" w14:textId="77777777" w:rsidR="004C265F" w:rsidRDefault="004C265F" w:rsidP="00F52F43">
      <w:pPr>
        <w:pStyle w:val="Heading2"/>
        <w:tabs>
          <w:tab w:val="clear" w:pos="9360"/>
          <w:tab w:val="left" w:pos="900"/>
        </w:tabs>
        <w:ind w:left="2160" w:hanging="2160"/>
        <w:jc w:val="both"/>
        <w:rPr>
          <w:rFonts w:cs="Arial"/>
          <w:sz w:val="22"/>
          <w:szCs w:val="22"/>
        </w:rPr>
      </w:pPr>
    </w:p>
    <w:p w14:paraId="3B6D1579" w14:textId="409F5AE3" w:rsidR="00F52F43" w:rsidRDefault="00F52F43" w:rsidP="00F52F43">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E6145E">
        <w:rPr>
          <w:rFonts w:cs="Arial"/>
          <w:b w:val="0"/>
          <w:sz w:val="22"/>
          <w:szCs w:val="22"/>
        </w:rPr>
        <w:t>Commissioner David Woolstenhulme</w:t>
      </w:r>
      <w:r>
        <w:rPr>
          <w:rFonts w:cs="Arial"/>
          <w:b w:val="0"/>
          <w:sz w:val="22"/>
          <w:szCs w:val="22"/>
        </w:rPr>
        <w:t xml:space="preserve"> moved to approve </w:t>
      </w:r>
      <w:r w:rsidR="00E6145E">
        <w:rPr>
          <w:rFonts w:cs="Arial"/>
          <w:b w:val="0"/>
          <w:sz w:val="22"/>
          <w:szCs w:val="22"/>
        </w:rPr>
        <w:t>the minutes collectively</w:t>
      </w:r>
      <w:r>
        <w:rPr>
          <w:rFonts w:cs="Arial"/>
          <w:b w:val="0"/>
          <w:sz w:val="22"/>
          <w:szCs w:val="22"/>
        </w:rPr>
        <w:t xml:space="preserve">.  The motion was seconded by </w:t>
      </w:r>
      <w:r w:rsidR="00E6145E">
        <w:rPr>
          <w:rFonts w:cs="Arial"/>
          <w:b w:val="0"/>
          <w:sz w:val="22"/>
          <w:szCs w:val="22"/>
        </w:rPr>
        <w:t xml:space="preserve">April Cooper </w:t>
      </w:r>
      <w:r>
        <w:rPr>
          <w:rFonts w:cs="Arial"/>
          <w:b w:val="0"/>
          <w:sz w:val="22"/>
          <w:szCs w:val="22"/>
        </w:rPr>
        <w:t>and approved unanimously.</w:t>
      </w:r>
    </w:p>
    <w:p w14:paraId="5B01113C" w14:textId="7A81CB04" w:rsidR="00591980" w:rsidRDefault="00591980" w:rsidP="00591980">
      <w:pPr>
        <w:tabs>
          <w:tab w:val="left" w:leader="dot" w:pos="-1080"/>
          <w:tab w:val="left" w:pos="-360"/>
          <w:tab w:val="right" w:leader="dot" w:pos="9360"/>
        </w:tabs>
        <w:jc w:val="both"/>
        <w:rPr>
          <w:rFonts w:ascii="Arial" w:hAnsi="Arial"/>
          <w:b/>
          <w:sz w:val="22"/>
          <w:szCs w:val="22"/>
        </w:rPr>
      </w:pPr>
    </w:p>
    <w:p w14:paraId="6056458C" w14:textId="77777777" w:rsidR="004C265F" w:rsidRDefault="004C265F" w:rsidP="00591980">
      <w:pPr>
        <w:tabs>
          <w:tab w:val="left" w:leader="dot" w:pos="-1080"/>
          <w:tab w:val="left" w:pos="-360"/>
          <w:tab w:val="right" w:leader="dot" w:pos="9360"/>
        </w:tabs>
        <w:jc w:val="both"/>
        <w:rPr>
          <w:rFonts w:ascii="Arial" w:hAnsi="Arial"/>
          <w:b/>
          <w:sz w:val="22"/>
          <w:szCs w:val="22"/>
        </w:rPr>
      </w:pPr>
    </w:p>
    <w:p w14:paraId="1045E382" w14:textId="4CE28236" w:rsidR="00591980" w:rsidRDefault="005D3199" w:rsidP="00591980">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ANNUAL OPEN AND PUBLIC MEETING ACT TRAINING</w:t>
      </w:r>
    </w:p>
    <w:p w14:paraId="2E841055" w14:textId="12CD5C07" w:rsidR="00591980" w:rsidRDefault="005D3199" w:rsidP="00591980">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Jacey Skinner, </w:t>
      </w:r>
      <w:r w:rsidR="00A07DFA">
        <w:rPr>
          <w:rFonts w:ascii="Arial" w:hAnsi="Arial"/>
          <w:sz w:val="22"/>
          <w:szCs w:val="22"/>
        </w:rPr>
        <w:t>c</w:t>
      </w:r>
      <w:r>
        <w:rPr>
          <w:rFonts w:ascii="Arial" w:hAnsi="Arial"/>
          <w:sz w:val="22"/>
          <w:szCs w:val="22"/>
        </w:rPr>
        <w:t xml:space="preserve">ounsel to the </w:t>
      </w:r>
      <w:r w:rsidR="00A07DFA">
        <w:rPr>
          <w:rFonts w:ascii="Arial" w:hAnsi="Arial"/>
          <w:sz w:val="22"/>
          <w:szCs w:val="22"/>
        </w:rPr>
        <w:t>b</w:t>
      </w:r>
      <w:r>
        <w:rPr>
          <w:rFonts w:ascii="Arial" w:hAnsi="Arial"/>
          <w:sz w:val="22"/>
          <w:szCs w:val="22"/>
        </w:rPr>
        <w:t>oard</w:t>
      </w:r>
      <w:r w:rsidR="0024505D">
        <w:rPr>
          <w:rFonts w:ascii="Arial" w:hAnsi="Arial"/>
          <w:sz w:val="22"/>
          <w:szCs w:val="22"/>
        </w:rPr>
        <w:t>,</w:t>
      </w:r>
      <w:r>
        <w:rPr>
          <w:rFonts w:ascii="Arial" w:hAnsi="Arial"/>
          <w:sz w:val="22"/>
          <w:szCs w:val="22"/>
        </w:rPr>
        <w:t xml:space="preserve"> provided the annual training on the requirements of the Open and Public Meeting Act.</w:t>
      </w:r>
      <w:r w:rsidR="00E6145E">
        <w:rPr>
          <w:rFonts w:ascii="Arial" w:hAnsi="Arial"/>
          <w:sz w:val="22"/>
          <w:szCs w:val="22"/>
        </w:rPr>
        <w:t xml:space="preserve"> </w:t>
      </w:r>
      <w:r w:rsidR="00AB3330">
        <w:rPr>
          <w:rFonts w:ascii="Arial" w:hAnsi="Arial"/>
          <w:sz w:val="22"/>
          <w:szCs w:val="22"/>
        </w:rPr>
        <w:t>Ms</w:t>
      </w:r>
      <w:r w:rsidR="00BC412E">
        <w:rPr>
          <w:rFonts w:ascii="Arial" w:hAnsi="Arial"/>
          <w:sz w:val="22"/>
          <w:szCs w:val="22"/>
        </w:rPr>
        <w:t>.</w:t>
      </w:r>
      <w:r w:rsidR="00AB3330">
        <w:rPr>
          <w:rFonts w:ascii="Arial" w:hAnsi="Arial"/>
          <w:sz w:val="22"/>
          <w:szCs w:val="22"/>
        </w:rPr>
        <w:t xml:space="preserve"> Skinner explained that t</w:t>
      </w:r>
      <w:r w:rsidR="00E6145E">
        <w:rPr>
          <w:rFonts w:ascii="Arial" w:hAnsi="Arial"/>
          <w:sz w:val="22"/>
          <w:szCs w:val="22"/>
        </w:rPr>
        <w:t xml:space="preserve">he purpose of the training is to insure </w:t>
      </w:r>
      <w:r w:rsidR="00E6145E">
        <w:rPr>
          <w:rFonts w:ascii="Arial" w:hAnsi="Arial"/>
          <w:sz w:val="22"/>
          <w:szCs w:val="22"/>
        </w:rPr>
        <w:lastRenderedPageBreak/>
        <w:t xml:space="preserve">the public’s business is conducted openly.  </w:t>
      </w:r>
      <w:r w:rsidR="00BC412E">
        <w:rPr>
          <w:rFonts w:ascii="Arial" w:hAnsi="Arial"/>
          <w:sz w:val="22"/>
          <w:szCs w:val="22"/>
        </w:rPr>
        <w:t>At the conclusion of the presentation, b</w:t>
      </w:r>
      <w:r w:rsidR="00AB3330">
        <w:rPr>
          <w:rFonts w:ascii="Arial" w:hAnsi="Arial"/>
          <w:sz w:val="22"/>
          <w:szCs w:val="22"/>
        </w:rPr>
        <w:t>oard members expressed appreciation for the training and the work performed by Ms</w:t>
      </w:r>
      <w:r w:rsidR="00BC412E">
        <w:rPr>
          <w:rFonts w:ascii="Arial" w:hAnsi="Arial"/>
          <w:sz w:val="22"/>
          <w:szCs w:val="22"/>
        </w:rPr>
        <w:t>.</w:t>
      </w:r>
      <w:r w:rsidR="00AB3330">
        <w:rPr>
          <w:rFonts w:ascii="Arial" w:hAnsi="Arial"/>
          <w:sz w:val="22"/>
          <w:szCs w:val="22"/>
        </w:rPr>
        <w:t xml:space="preserve"> Skinner and her organization in order to keep the work of the board transparent.  </w:t>
      </w:r>
    </w:p>
    <w:p w14:paraId="4913878E" w14:textId="68B6F7AE" w:rsidR="004C265F" w:rsidRDefault="004C265F" w:rsidP="00591980">
      <w:pPr>
        <w:tabs>
          <w:tab w:val="left" w:leader="dot" w:pos="-1080"/>
          <w:tab w:val="left" w:pos="-360"/>
          <w:tab w:val="right" w:leader="dot" w:pos="9360"/>
        </w:tabs>
        <w:jc w:val="both"/>
        <w:rPr>
          <w:rFonts w:ascii="Arial" w:hAnsi="Arial"/>
          <w:b/>
          <w:sz w:val="22"/>
          <w:szCs w:val="22"/>
        </w:rPr>
      </w:pPr>
    </w:p>
    <w:p w14:paraId="4E48B6A9" w14:textId="77777777" w:rsidR="004C265F" w:rsidRDefault="004C265F" w:rsidP="00591980">
      <w:pPr>
        <w:tabs>
          <w:tab w:val="left" w:leader="dot" w:pos="-1080"/>
          <w:tab w:val="left" w:pos="-360"/>
          <w:tab w:val="right" w:leader="dot" w:pos="9360"/>
        </w:tabs>
        <w:jc w:val="both"/>
        <w:rPr>
          <w:rFonts w:ascii="Arial" w:hAnsi="Arial"/>
          <w:b/>
          <w:sz w:val="22"/>
          <w:szCs w:val="22"/>
        </w:rPr>
      </w:pPr>
    </w:p>
    <w:p w14:paraId="7C8C94BE" w14:textId="6118DE57" w:rsidR="00591980" w:rsidRDefault="005D3199" w:rsidP="00591980">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ADVISORY COMMITTEE RECOMMENDATIONS ON DEVELOPMENT APPROACH</w:t>
      </w:r>
    </w:p>
    <w:p w14:paraId="21A81DC6" w14:textId="7B480983" w:rsidR="004E2592" w:rsidRDefault="005D3199" w:rsidP="004E2592">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Director Alan Matheson presented </w:t>
      </w:r>
      <w:r w:rsidR="0024505D">
        <w:rPr>
          <w:rFonts w:ascii="Arial" w:hAnsi="Arial"/>
          <w:sz w:val="22"/>
          <w:szCs w:val="22"/>
        </w:rPr>
        <w:t xml:space="preserve">an overview of the process the board and </w:t>
      </w:r>
      <w:r w:rsidR="00F1655E">
        <w:rPr>
          <w:rFonts w:ascii="Arial" w:hAnsi="Arial"/>
          <w:sz w:val="22"/>
          <w:szCs w:val="22"/>
        </w:rPr>
        <w:t>a</w:t>
      </w:r>
      <w:r>
        <w:rPr>
          <w:rFonts w:ascii="Arial" w:hAnsi="Arial"/>
          <w:sz w:val="22"/>
          <w:szCs w:val="22"/>
        </w:rPr>
        <w:t xml:space="preserve">dvisory </w:t>
      </w:r>
      <w:r w:rsidR="00F1655E">
        <w:rPr>
          <w:rFonts w:ascii="Arial" w:hAnsi="Arial"/>
          <w:sz w:val="22"/>
          <w:szCs w:val="22"/>
        </w:rPr>
        <w:t>c</w:t>
      </w:r>
      <w:r>
        <w:rPr>
          <w:rFonts w:ascii="Arial" w:hAnsi="Arial"/>
          <w:sz w:val="22"/>
          <w:szCs w:val="22"/>
        </w:rPr>
        <w:t xml:space="preserve">ommittee </w:t>
      </w:r>
      <w:r w:rsidR="0024505D">
        <w:rPr>
          <w:rFonts w:ascii="Arial" w:hAnsi="Arial"/>
          <w:sz w:val="22"/>
          <w:szCs w:val="22"/>
        </w:rPr>
        <w:t xml:space="preserve">have taken to arrive at a recommended development </w:t>
      </w:r>
      <w:r>
        <w:rPr>
          <w:rFonts w:ascii="Arial" w:hAnsi="Arial"/>
          <w:sz w:val="22"/>
          <w:szCs w:val="22"/>
        </w:rPr>
        <w:t xml:space="preserve">approach </w:t>
      </w:r>
      <w:r w:rsidR="00BC40E8">
        <w:rPr>
          <w:rFonts w:ascii="Arial" w:hAnsi="Arial"/>
          <w:sz w:val="22"/>
          <w:szCs w:val="22"/>
        </w:rPr>
        <w:t>at The Point</w:t>
      </w:r>
      <w:r>
        <w:rPr>
          <w:rFonts w:ascii="Arial" w:hAnsi="Arial"/>
          <w:sz w:val="22"/>
          <w:szCs w:val="22"/>
        </w:rPr>
        <w:t xml:space="preserve">.  </w:t>
      </w:r>
      <w:r w:rsidR="004E2592">
        <w:rPr>
          <w:rFonts w:ascii="Arial" w:hAnsi="Arial"/>
          <w:sz w:val="22"/>
          <w:szCs w:val="22"/>
        </w:rPr>
        <w:t xml:space="preserve">The general direction from </w:t>
      </w:r>
      <w:r w:rsidR="0024505D">
        <w:rPr>
          <w:rFonts w:ascii="Arial" w:hAnsi="Arial"/>
          <w:sz w:val="22"/>
          <w:szCs w:val="22"/>
        </w:rPr>
        <w:t xml:space="preserve">the board to </w:t>
      </w:r>
      <w:r w:rsidR="004E2592">
        <w:rPr>
          <w:rFonts w:ascii="Arial" w:hAnsi="Arial"/>
          <w:sz w:val="22"/>
          <w:szCs w:val="22"/>
        </w:rPr>
        <w:t xml:space="preserve">the advisory committee </w:t>
      </w:r>
      <w:r w:rsidR="0024505D">
        <w:rPr>
          <w:rFonts w:ascii="Arial" w:hAnsi="Arial"/>
          <w:sz w:val="22"/>
          <w:szCs w:val="22"/>
        </w:rPr>
        <w:t>has been</w:t>
      </w:r>
      <w:r w:rsidR="004E2592">
        <w:rPr>
          <w:rFonts w:ascii="Arial" w:hAnsi="Arial"/>
          <w:sz w:val="22"/>
          <w:szCs w:val="22"/>
        </w:rPr>
        <w:t xml:space="preserve"> to:</w:t>
      </w:r>
    </w:p>
    <w:p w14:paraId="565F9A1B" w14:textId="5A00F1E6" w:rsidR="00FB4B17" w:rsidRPr="004E2592" w:rsidRDefault="004E2592" w:rsidP="004E2592">
      <w:pPr>
        <w:pStyle w:val="ListParagraph"/>
        <w:numPr>
          <w:ilvl w:val="0"/>
          <w:numId w:val="13"/>
        </w:numPr>
        <w:tabs>
          <w:tab w:val="left" w:leader="dot" w:pos="-1080"/>
          <w:tab w:val="left" w:pos="-360"/>
          <w:tab w:val="right" w:leader="dot" w:pos="9360"/>
        </w:tabs>
        <w:jc w:val="both"/>
        <w:rPr>
          <w:rFonts w:ascii="Arial" w:hAnsi="Arial"/>
          <w:sz w:val="22"/>
          <w:szCs w:val="22"/>
        </w:rPr>
      </w:pPr>
      <w:r>
        <w:rPr>
          <w:rFonts w:ascii="Arial" w:hAnsi="Arial"/>
          <w:sz w:val="22"/>
          <w:szCs w:val="22"/>
        </w:rPr>
        <w:t>Have t</w:t>
      </w:r>
      <w:r w:rsidR="00FB4B17" w:rsidRPr="004E2592">
        <w:rPr>
          <w:rFonts w:ascii="Arial" w:hAnsi="Arial"/>
          <w:sz w:val="22"/>
          <w:szCs w:val="22"/>
        </w:rPr>
        <w:t>he board maintain control of this project long enough that the vision is</w:t>
      </w:r>
      <w:r>
        <w:rPr>
          <w:rFonts w:ascii="Arial" w:hAnsi="Arial"/>
          <w:sz w:val="22"/>
          <w:szCs w:val="22"/>
        </w:rPr>
        <w:t xml:space="preserve"> realized</w:t>
      </w:r>
      <w:r w:rsidR="00B145BD">
        <w:rPr>
          <w:rFonts w:ascii="Arial" w:hAnsi="Arial"/>
          <w:sz w:val="22"/>
          <w:szCs w:val="22"/>
        </w:rPr>
        <w:t>.</w:t>
      </w:r>
    </w:p>
    <w:p w14:paraId="2CA7DCE5" w14:textId="1241DB00" w:rsidR="00FB4B17" w:rsidRDefault="004E2592" w:rsidP="00A84EE1">
      <w:pPr>
        <w:pStyle w:val="ListParagraph"/>
        <w:numPr>
          <w:ilvl w:val="0"/>
          <w:numId w:val="13"/>
        </w:numPr>
        <w:tabs>
          <w:tab w:val="left" w:leader="dot" w:pos="-1080"/>
          <w:tab w:val="left" w:pos="-360"/>
          <w:tab w:val="right" w:leader="dot" w:pos="9360"/>
        </w:tabs>
        <w:jc w:val="both"/>
        <w:rPr>
          <w:rFonts w:ascii="Arial" w:hAnsi="Arial"/>
          <w:sz w:val="22"/>
          <w:szCs w:val="22"/>
        </w:rPr>
      </w:pPr>
      <w:r>
        <w:rPr>
          <w:rFonts w:ascii="Arial" w:hAnsi="Arial"/>
          <w:sz w:val="22"/>
          <w:szCs w:val="22"/>
        </w:rPr>
        <w:t xml:space="preserve">Ensure that </w:t>
      </w:r>
      <w:r w:rsidR="0024505D">
        <w:rPr>
          <w:rFonts w:ascii="Arial" w:hAnsi="Arial"/>
          <w:sz w:val="22"/>
          <w:szCs w:val="22"/>
        </w:rPr>
        <w:t xml:space="preserve">there is healthy competition by not allowing </w:t>
      </w:r>
      <w:r>
        <w:rPr>
          <w:rFonts w:ascii="Arial" w:hAnsi="Arial"/>
          <w:sz w:val="22"/>
          <w:szCs w:val="22"/>
        </w:rPr>
        <w:t xml:space="preserve">one developer </w:t>
      </w:r>
      <w:r w:rsidR="0024505D">
        <w:rPr>
          <w:rFonts w:ascii="Arial" w:hAnsi="Arial"/>
          <w:sz w:val="22"/>
          <w:szCs w:val="22"/>
        </w:rPr>
        <w:t>to</w:t>
      </w:r>
      <w:r>
        <w:rPr>
          <w:rFonts w:ascii="Arial" w:hAnsi="Arial"/>
          <w:sz w:val="22"/>
          <w:szCs w:val="22"/>
        </w:rPr>
        <w:t xml:space="preserve"> build the entire project.  A master developer should be brought in to oversee </w:t>
      </w:r>
      <w:r w:rsidR="0024505D">
        <w:rPr>
          <w:rFonts w:ascii="Arial" w:hAnsi="Arial"/>
          <w:sz w:val="22"/>
          <w:szCs w:val="22"/>
        </w:rPr>
        <w:t xml:space="preserve">backbone infrastructure </w:t>
      </w:r>
      <w:r>
        <w:rPr>
          <w:rFonts w:ascii="Arial" w:hAnsi="Arial"/>
          <w:sz w:val="22"/>
          <w:szCs w:val="22"/>
        </w:rPr>
        <w:t xml:space="preserve">development </w:t>
      </w:r>
      <w:r w:rsidR="0024505D">
        <w:rPr>
          <w:rFonts w:ascii="Arial" w:hAnsi="Arial"/>
          <w:sz w:val="22"/>
          <w:szCs w:val="22"/>
        </w:rPr>
        <w:t xml:space="preserve">while opportunities are provided for </w:t>
      </w:r>
      <w:r>
        <w:rPr>
          <w:rFonts w:ascii="Arial" w:hAnsi="Arial"/>
          <w:sz w:val="22"/>
          <w:szCs w:val="22"/>
        </w:rPr>
        <w:t>various developers</w:t>
      </w:r>
      <w:r w:rsidR="00FB4B17">
        <w:rPr>
          <w:rFonts w:ascii="Arial" w:hAnsi="Arial"/>
          <w:sz w:val="22"/>
          <w:szCs w:val="22"/>
        </w:rPr>
        <w:t xml:space="preserve">.  </w:t>
      </w:r>
    </w:p>
    <w:p w14:paraId="3ED203ED" w14:textId="31C1EFBA" w:rsidR="00FB4B17" w:rsidRDefault="004E2592" w:rsidP="00A84EE1">
      <w:pPr>
        <w:pStyle w:val="ListParagraph"/>
        <w:numPr>
          <w:ilvl w:val="0"/>
          <w:numId w:val="13"/>
        </w:numPr>
        <w:tabs>
          <w:tab w:val="left" w:leader="dot" w:pos="-1080"/>
          <w:tab w:val="left" w:pos="-360"/>
          <w:tab w:val="right" w:leader="dot" w:pos="9360"/>
        </w:tabs>
        <w:jc w:val="both"/>
        <w:rPr>
          <w:rFonts w:ascii="Arial" w:hAnsi="Arial"/>
          <w:sz w:val="22"/>
          <w:szCs w:val="22"/>
        </w:rPr>
      </w:pPr>
      <w:r>
        <w:rPr>
          <w:rFonts w:ascii="Arial" w:hAnsi="Arial"/>
          <w:sz w:val="22"/>
          <w:szCs w:val="22"/>
        </w:rPr>
        <w:t xml:space="preserve">Refrain from </w:t>
      </w:r>
      <w:r w:rsidR="0024505D">
        <w:rPr>
          <w:rFonts w:ascii="Arial" w:hAnsi="Arial"/>
          <w:sz w:val="22"/>
          <w:szCs w:val="22"/>
        </w:rPr>
        <w:t>building a large staff operation</w:t>
      </w:r>
      <w:r w:rsidR="00B145BD">
        <w:rPr>
          <w:rFonts w:ascii="Arial" w:hAnsi="Arial"/>
          <w:sz w:val="22"/>
          <w:szCs w:val="22"/>
        </w:rPr>
        <w:t>.  A small staff should be used to review the work and ensure our partners are acting in the public interest and conforming to the direction of the board.</w:t>
      </w:r>
    </w:p>
    <w:p w14:paraId="164E6EE5" w14:textId="50424E36" w:rsidR="00B145BD" w:rsidRDefault="00B145BD" w:rsidP="00FB4B17">
      <w:pPr>
        <w:tabs>
          <w:tab w:val="left" w:leader="dot" w:pos="-1080"/>
          <w:tab w:val="left" w:pos="-360"/>
          <w:tab w:val="right" w:leader="dot" w:pos="9360"/>
        </w:tabs>
        <w:jc w:val="both"/>
        <w:rPr>
          <w:rFonts w:ascii="Arial" w:hAnsi="Arial"/>
          <w:sz w:val="22"/>
          <w:szCs w:val="22"/>
        </w:rPr>
      </w:pPr>
    </w:p>
    <w:p w14:paraId="1ABF4C1B" w14:textId="77ED6016" w:rsidR="00B145BD" w:rsidRDefault="000274F4" w:rsidP="00FB4B17">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Director Matheson indicated </w:t>
      </w:r>
      <w:r w:rsidR="0024505D">
        <w:rPr>
          <w:rFonts w:ascii="Arial" w:hAnsi="Arial"/>
          <w:sz w:val="22"/>
          <w:szCs w:val="22"/>
        </w:rPr>
        <w:t xml:space="preserve">the advisory committee has worked within </w:t>
      </w:r>
      <w:r>
        <w:rPr>
          <w:rFonts w:ascii="Arial" w:hAnsi="Arial"/>
          <w:sz w:val="22"/>
          <w:szCs w:val="22"/>
        </w:rPr>
        <w:t xml:space="preserve">these </w:t>
      </w:r>
      <w:r w:rsidR="0024505D">
        <w:rPr>
          <w:rFonts w:ascii="Arial" w:hAnsi="Arial"/>
          <w:sz w:val="22"/>
          <w:szCs w:val="22"/>
        </w:rPr>
        <w:t xml:space="preserve">directives to develop </w:t>
      </w:r>
      <w:r w:rsidR="00B145BD">
        <w:rPr>
          <w:rFonts w:ascii="Arial" w:hAnsi="Arial"/>
          <w:sz w:val="22"/>
          <w:szCs w:val="22"/>
        </w:rPr>
        <w:t xml:space="preserve">specific deal points in the development agreement in preparation to issuing an RFQ followed by an RFP to the development community in order to select a partner early next year.  </w:t>
      </w:r>
    </w:p>
    <w:p w14:paraId="70638659" w14:textId="5694532D" w:rsidR="0071566C" w:rsidRDefault="0071566C" w:rsidP="00FB4B17">
      <w:pPr>
        <w:tabs>
          <w:tab w:val="left" w:leader="dot" w:pos="-1080"/>
          <w:tab w:val="left" w:pos="-360"/>
          <w:tab w:val="right" w:leader="dot" w:pos="9360"/>
        </w:tabs>
        <w:jc w:val="both"/>
        <w:rPr>
          <w:rFonts w:ascii="Arial" w:hAnsi="Arial"/>
          <w:sz w:val="22"/>
          <w:szCs w:val="22"/>
        </w:rPr>
      </w:pPr>
    </w:p>
    <w:p w14:paraId="372534E6" w14:textId="424930E9" w:rsidR="000274F4" w:rsidRDefault="000274F4" w:rsidP="000274F4">
      <w:pPr>
        <w:tabs>
          <w:tab w:val="left" w:leader="dot" w:pos="-1080"/>
          <w:tab w:val="left" w:pos="-360"/>
          <w:tab w:val="right" w:leader="dot" w:pos="9360"/>
        </w:tabs>
        <w:jc w:val="both"/>
        <w:rPr>
          <w:rFonts w:ascii="Arial" w:hAnsi="Arial"/>
          <w:sz w:val="22"/>
          <w:szCs w:val="22"/>
        </w:rPr>
      </w:pPr>
      <w:r>
        <w:rPr>
          <w:rFonts w:ascii="Arial" w:hAnsi="Arial"/>
          <w:sz w:val="22"/>
          <w:szCs w:val="22"/>
        </w:rPr>
        <w:t>RCLCO Consultant, Erin Talkington</w:t>
      </w:r>
      <w:r w:rsidR="0024505D">
        <w:rPr>
          <w:rFonts w:ascii="Arial" w:hAnsi="Arial"/>
          <w:sz w:val="22"/>
          <w:szCs w:val="22"/>
        </w:rPr>
        <w:t>,</w:t>
      </w:r>
      <w:r>
        <w:rPr>
          <w:rFonts w:ascii="Arial" w:hAnsi="Arial"/>
          <w:sz w:val="22"/>
          <w:szCs w:val="22"/>
        </w:rPr>
        <w:t xml:space="preserve"> </w:t>
      </w:r>
      <w:r w:rsidR="0024505D">
        <w:rPr>
          <w:rFonts w:ascii="Arial" w:hAnsi="Arial"/>
          <w:sz w:val="22"/>
          <w:szCs w:val="22"/>
        </w:rPr>
        <w:t xml:space="preserve">summarized recommended </w:t>
      </w:r>
      <w:r>
        <w:rPr>
          <w:rFonts w:ascii="Arial" w:hAnsi="Arial"/>
          <w:sz w:val="22"/>
          <w:szCs w:val="22"/>
        </w:rPr>
        <w:t xml:space="preserve">deal points </w:t>
      </w:r>
      <w:r w:rsidR="0024505D">
        <w:rPr>
          <w:rFonts w:ascii="Arial" w:hAnsi="Arial"/>
          <w:sz w:val="22"/>
          <w:szCs w:val="22"/>
        </w:rPr>
        <w:t>as follows</w:t>
      </w:r>
      <w:r>
        <w:rPr>
          <w:rFonts w:ascii="Arial" w:hAnsi="Arial"/>
          <w:sz w:val="22"/>
          <w:szCs w:val="22"/>
        </w:rPr>
        <w:t>:</w:t>
      </w:r>
    </w:p>
    <w:p w14:paraId="296B20A4" w14:textId="089F52F8" w:rsidR="000274F4" w:rsidRPr="000274F4" w:rsidRDefault="000274F4" w:rsidP="000274F4">
      <w:pPr>
        <w:pStyle w:val="ListParagraph"/>
        <w:numPr>
          <w:ilvl w:val="1"/>
          <w:numId w:val="15"/>
        </w:numPr>
        <w:tabs>
          <w:tab w:val="left" w:leader="dot" w:pos="-1080"/>
          <w:tab w:val="left" w:pos="-360"/>
          <w:tab w:val="left" w:pos="720"/>
          <w:tab w:val="right" w:leader="dot" w:pos="9360"/>
        </w:tabs>
        <w:rPr>
          <w:rFonts w:ascii="Arial" w:hAnsi="Arial"/>
          <w:sz w:val="22"/>
          <w:szCs w:val="22"/>
        </w:rPr>
      </w:pPr>
      <w:r w:rsidRPr="000274F4">
        <w:rPr>
          <w:rFonts w:ascii="Arial" w:hAnsi="Arial"/>
          <w:sz w:val="22"/>
          <w:szCs w:val="22"/>
        </w:rPr>
        <w:t>Key Deal Points</w:t>
      </w:r>
    </w:p>
    <w:p w14:paraId="0DCFF931" w14:textId="0DB41717"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Transaction Structure – 75</w:t>
      </w:r>
      <w:r w:rsidR="0071566C">
        <w:rPr>
          <w:rFonts w:ascii="Arial" w:hAnsi="Arial"/>
          <w:sz w:val="22"/>
          <w:szCs w:val="22"/>
        </w:rPr>
        <w:t>-</w:t>
      </w:r>
      <w:r w:rsidRPr="000274F4">
        <w:rPr>
          <w:rFonts w:ascii="Arial" w:hAnsi="Arial"/>
          <w:sz w:val="22"/>
          <w:szCs w:val="22"/>
        </w:rPr>
        <w:t>year land lease</w:t>
      </w:r>
    </w:p>
    <w:p w14:paraId="7E977675" w14:textId="60562A45"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Partnership Formalization – Master development agreement</w:t>
      </w:r>
    </w:p>
    <w:p w14:paraId="13A86669" w14:textId="55206705"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Land Valuation – Formula-driven using a residual land value approach</w:t>
      </w:r>
    </w:p>
    <w:p w14:paraId="3E6D8005" w14:textId="5D2A4437"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Delivery Model – Development partner for both master infrastructure and phase 1</w:t>
      </w:r>
    </w:p>
    <w:p w14:paraId="09D50A4C" w14:textId="7F44272B"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Performance Terms – Annual report card of qualitative and quantitative factors</w:t>
      </w:r>
    </w:p>
    <w:p w14:paraId="4CF8CE37" w14:textId="5EEDAB9A"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Pre-Development/Infrastructure Funding</w:t>
      </w:r>
    </w:p>
    <w:p w14:paraId="000BEE33" w14:textId="7C65944B"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Design Guidelines</w:t>
      </w:r>
    </w:p>
    <w:p w14:paraId="64BDC250" w14:textId="546C2BD5" w:rsidR="000274F4" w:rsidRPr="000274F4" w:rsidRDefault="000274F4" w:rsidP="000274F4">
      <w:pPr>
        <w:pStyle w:val="ListParagraph"/>
        <w:numPr>
          <w:ilvl w:val="2"/>
          <w:numId w:val="15"/>
        </w:numPr>
        <w:tabs>
          <w:tab w:val="left" w:leader="dot" w:pos="-1080"/>
          <w:tab w:val="left" w:pos="-360"/>
          <w:tab w:val="left" w:pos="720"/>
          <w:tab w:val="left" w:pos="1440"/>
          <w:tab w:val="right" w:leader="dot" w:pos="9360"/>
        </w:tabs>
        <w:rPr>
          <w:rFonts w:ascii="Arial" w:hAnsi="Arial"/>
          <w:sz w:val="22"/>
          <w:szCs w:val="22"/>
        </w:rPr>
      </w:pPr>
      <w:r w:rsidRPr="000274F4">
        <w:rPr>
          <w:rFonts w:ascii="Arial" w:hAnsi="Arial"/>
          <w:sz w:val="22"/>
          <w:szCs w:val="22"/>
        </w:rPr>
        <w:t>Topics in Process</w:t>
      </w:r>
    </w:p>
    <w:p w14:paraId="5ED46236" w14:textId="61056A81" w:rsidR="000274F4" w:rsidRPr="000274F4" w:rsidRDefault="000274F4" w:rsidP="000274F4">
      <w:pPr>
        <w:pStyle w:val="ListParagraph"/>
        <w:numPr>
          <w:ilvl w:val="3"/>
          <w:numId w:val="15"/>
        </w:numPr>
        <w:tabs>
          <w:tab w:val="left" w:leader="dot" w:pos="-1080"/>
          <w:tab w:val="left" w:pos="-360"/>
          <w:tab w:val="left" w:pos="720"/>
          <w:tab w:val="left" w:pos="1440"/>
          <w:tab w:val="left" w:pos="2160"/>
          <w:tab w:val="right" w:leader="dot" w:pos="9360"/>
        </w:tabs>
        <w:rPr>
          <w:rFonts w:ascii="Arial" w:hAnsi="Arial"/>
          <w:sz w:val="22"/>
          <w:szCs w:val="22"/>
        </w:rPr>
      </w:pPr>
      <w:r w:rsidRPr="000274F4">
        <w:rPr>
          <w:rFonts w:ascii="Arial" w:hAnsi="Arial"/>
          <w:sz w:val="22"/>
          <w:szCs w:val="22"/>
        </w:rPr>
        <w:t>Governance</w:t>
      </w:r>
    </w:p>
    <w:p w14:paraId="14C88F5B" w14:textId="5A8B9906" w:rsidR="000274F4" w:rsidRPr="000274F4" w:rsidRDefault="000274F4" w:rsidP="000274F4">
      <w:pPr>
        <w:pStyle w:val="ListParagraph"/>
        <w:numPr>
          <w:ilvl w:val="3"/>
          <w:numId w:val="15"/>
        </w:numPr>
        <w:tabs>
          <w:tab w:val="left" w:leader="dot" w:pos="-1080"/>
          <w:tab w:val="left" w:pos="-360"/>
          <w:tab w:val="left" w:pos="720"/>
          <w:tab w:val="left" w:pos="1440"/>
          <w:tab w:val="left" w:pos="2160"/>
          <w:tab w:val="right" w:leader="dot" w:pos="9360"/>
        </w:tabs>
        <w:rPr>
          <w:rFonts w:ascii="Arial" w:hAnsi="Arial"/>
          <w:sz w:val="22"/>
          <w:szCs w:val="22"/>
        </w:rPr>
      </w:pPr>
      <w:r w:rsidRPr="000274F4">
        <w:rPr>
          <w:rFonts w:ascii="Arial" w:hAnsi="Arial"/>
          <w:sz w:val="22"/>
          <w:szCs w:val="22"/>
        </w:rPr>
        <w:t>Phase 1 Definition</w:t>
      </w:r>
    </w:p>
    <w:p w14:paraId="6D305273" w14:textId="77777777" w:rsidR="000274F4" w:rsidRDefault="000274F4" w:rsidP="000274F4">
      <w:pPr>
        <w:tabs>
          <w:tab w:val="left" w:leader="dot" w:pos="-1080"/>
          <w:tab w:val="left" w:pos="-360"/>
          <w:tab w:val="left" w:pos="720"/>
          <w:tab w:val="left" w:pos="1440"/>
          <w:tab w:val="left" w:pos="2160"/>
          <w:tab w:val="right" w:leader="dot" w:pos="9360"/>
        </w:tabs>
        <w:rPr>
          <w:rFonts w:ascii="Arial" w:hAnsi="Arial"/>
          <w:sz w:val="22"/>
          <w:szCs w:val="22"/>
        </w:rPr>
      </w:pPr>
    </w:p>
    <w:p w14:paraId="76C51E47" w14:textId="08175A2D" w:rsidR="0071566C" w:rsidRDefault="000274F4" w:rsidP="000274F4">
      <w:pPr>
        <w:tabs>
          <w:tab w:val="left" w:leader="dot" w:pos="-1080"/>
          <w:tab w:val="left" w:pos="-360"/>
          <w:tab w:val="left" w:pos="720"/>
          <w:tab w:val="left" w:pos="1440"/>
          <w:tab w:val="left" w:pos="2160"/>
          <w:tab w:val="right" w:leader="dot" w:pos="9360"/>
        </w:tabs>
        <w:rPr>
          <w:rFonts w:ascii="Arial" w:hAnsi="Arial"/>
          <w:sz w:val="22"/>
          <w:szCs w:val="22"/>
        </w:rPr>
      </w:pPr>
      <w:r>
        <w:rPr>
          <w:rFonts w:ascii="Arial" w:hAnsi="Arial"/>
          <w:sz w:val="22"/>
          <w:szCs w:val="22"/>
        </w:rPr>
        <w:t xml:space="preserve">There </w:t>
      </w:r>
      <w:r w:rsidR="00B244EF">
        <w:rPr>
          <w:rFonts w:ascii="Arial" w:hAnsi="Arial"/>
          <w:sz w:val="22"/>
          <w:szCs w:val="22"/>
        </w:rPr>
        <w:t>w</w:t>
      </w:r>
      <w:r>
        <w:rPr>
          <w:rFonts w:ascii="Arial" w:hAnsi="Arial"/>
          <w:sz w:val="22"/>
          <w:szCs w:val="22"/>
        </w:rPr>
        <w:t xml:space="preserve">as discussion concerning land leases, the board’s intent to govern land use, </w:t>
      </w:r>
      <w:r w:rsidR="00B244EF">
        <w:rPr>
          <w:rFonts w:ascii="Arial" w:hAnsi="Arial"/>
          <w:sz w:val="22"/>
          <w:szCs w:val="22"/>
        </w:rPr>
        <w:t>the MIDA process</w:t>
      </w:r>
      <w:r w:rsidR="009D4779">
        <w:rPr>
          <w:rFonts w:ascii="Arial" w:hAnsi="Arial"/>
          <w:sz w:val="22"/>
          <w:szCs w:val="22"/>
        </w:rPr>
        <w:t xml:space="preserve">, </w:t>
      </w:r>
      <w:r w:rsidR="0071566C">
        <w:rPr>
          <w:rFonts w:ascii="Arial" w:hAnsi="Arial"/>
          <w:sz w:val="22"/>
          <w:szCs w:val="22"/>
        </w:rPr>
        <w:t>the payment of property taxes</w:t>
      </w:r>
      <w:r w:rsidR="004069AC">
        <w:rPr>
          <w:rFonts w:ascii="Arial" w:hAnsi="Arial"/>
          <w:sz w:val="22"/>
          <w:szCs w:val="22"/>
        </w:rPr>
        <w:t xml:space="preserve"> and the timing of infrastructure</w:t>
      </w:r>
      <w:r w:rsidR="0071566C">
        <w:rPr>
          <w:rFonts w:ascii="Arial" w:hAnsi="Arial"/>
          <w:sz w:val="22"/>
          <w:szCs w:val="22"/>
        </w:rPr>
        <w:t xml:space="preserve">. </w:t>
      </w:r>
      <w:r>
        <w:rPr>
          <w:rFonts w:ascii="Arial" w:hAnsi="Arial"/>
          <w:sz w:val="22"/>
          <w:szCs w:val="22"/>
        </w:rPr>
        <w:t xml:space="preserve"> </w:t>
      </w:r>
      <w:r w:rsidR="00B244EF">
        <w:rPr>
          <w:rFonts w:ascii="Arial" w:hAnsi="Arial"/>
          <w:sz w:val="22"/>
          <w:szCs w:val="22"/>
        </w:rPr>
        <w:t xml:space="preserve">A board member felt strongly about the timing for housing on the site and the cooperative relationship the board should have with Draper City. </w:t>
      </w:r>
      <w:r>
        <w:rPr>
          <w:rFonts w:ascii="Arial" w:hAnsi="Arial"/>
          <w:sz w:val="22"/>
          <w:szCs w:val="22"/>
        </w:rPr>
        <w:t xml:space="preserve">  </w:t>
      </w:r>
    </w:p>
    <w:p w14:paraId="1E927136" w14:textId="77777777" w:rsidR="0071566C" w:rsidRDefault="0071566C" w:rsidP="000274F4">
      <w:pPr>
        <w:tabs>
          <w:tab w:val="left" w:leader="dot" w:pos="-1080"/>
          <w:tab w:val="left" w:pos="-360"/>
          <w:tab w:val="left" w:pos="720"/>
          <w:tab w:val="left" w:pos="1440"/>
          <w:tab w:val="left" w:pos="2160"/>
          <w:tab w:val="right" w:leader="dot" w:pos="9360"/>
        </w:tabs>
        <w:rPr>
          <w:rFonts w:ascii="Arial" w:hAnsi="Arial"/>
          <w:sz w:val="22"/>
          <w:szCs w:val="22"/>
        </w:rPr>
      </w:pPr>
    </w:p>
    <w:p w14:paraId="71D7EF0D" w14:textId="7980280C" w:rsidR="000274F4" w:rsidRDefault="000274F4" w:rsidP="000274F4">
      <w:pPr>
        <w:tabs>
          <w:tab w:val="left" w:leader="dot" w:pos="-1080"/>
          <w:tab w:val="left" w:pos="-360"/>
          <w:tab w:val="left" w:pos="720"/>
          <w:tab w:val="left" w:pos="1440"/>
          <w:tab w:val="left" w:pos="2160"/>
          <w:tab w:val="right" w:leader="dot" w:pos="9360"/>
        </w:tabs>
        <w:rPr>
          <w:rFonts w:ascii="Arial" w:hAnsi="Arial"/>
          <w:sz w:val="22"/>
          <w:szCs w:val="22"/>
        </w:rPr>
      </w:pPr>
      <w:r>
        <w:rPr>
          <w:rFonts w:ascii="Arial" w:hAnsi="Arial"/>
          <w:sz w:val="22"/>
          <w:szCs w:val="22"/>
        </w:rPr>
        <w:t>Ms. Talkington provided additional details to the key deal points from her presentation</w:t>
      </w:r>
      <w:r w:rsidR="009D4779">
        <w:rPr>
          <w:rFonts w:ascii="Arial" w:hAnsi="Arial"/>
          <w:sz w:val="22"/>
          <w:szCs w:val="22"/>
        </w:rPr>
        <w:t xml:space="preserve">. </w:t>
      </w:r>
      <w:r>
        <w:rPr>
          <w:rFonts w:ascii="Arial" w:hAnsi="Arial"/>
          <w:sz w:val="22"/>
          <w:szCs w:val="22"/>
        </w:rPr>
        <w:t xml:space="preserve">The Chair informed the board that they will have an opportunity to review this subject in more detail in the future.  </w:t>
      </w:r>
    </w:p>
    <w:p w14:paraId="448D49B2" w14:textId="77777777" w:rsidR="004C265F" w:rsidRDefault="004C265F" w:rsidP="000274F4">
      <w:pPr>
        <w:tabs>
          <w:tab w:val="left" w:leader="dot" w:pos="-1080"/>
          <w:tab w:val="left" w:pos="-360"/>
          <w:tab w:val="left" w:pos="720"/>
          <w:tab w:val="left" w:pos="1440"/>
          <w:tab w:val="left" w:pos="2160"/>
          <w:tab w:val="right" w:leader="dot" w:pos="9360"/>
        </w:tabs>
        <w:rPr>
          <w:rFonts w:ascii="Arial" w:hAnsi="Arial"/>
          <w:sz w:val="22"/>
          <w:szCs w:val="22"/>
        </w:rPr>
      </w:pPr>
    </w:p>
    <w:p w14:paraId="1443819B" w14:textId="4419707E" w:rsidR="0071566C" w:rsidRDefault="0071566C" w:rsidP="0071566C">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t xml:space="preserve">Mayor Troy Walker moved that we move forward with the general concept </w:t>
      </w:r>
      <w:r w:rsidR="0024505D">
        <w:rPr>
          <w:rFonts w:cs="Arial"/>
          <w:b w:val="0"/>
          <w:sz w:val="22"/>
          <w:szCs w:val="22"/>
        </w:rPr>
        <w:t>of the recommendations,</w:t>
      </w:r>
      <w:r>
        <w:rPr>
          <w:rFonts w:cs="Arial"/>
          <w:b w:val="0"/>
          <w:sz w:val="22"/>
          <w:szCs w:val="22"/>
        </w:rPr>
        <w:t xml:space="preserve"> </w:t>
      </w:r>
      <w:r w:rsidR="009D4779">
        <w:rPr>
          <w:rFonts w:cs="Arial"/>
          <w:b w:val="0"/>
          <w:sz w:val="22"/>
          <w:szCs w:val="22"/>
        </w:rPr>
        <w:t xml:space="preserve">direct the staff to continue to refine and </w:t>
      </w:r>
      <w:r w:rsidR="0024505D">
        <w:rPr>
          <w:rFonts w:cs="Arial"/>
          <w:b w:val="0"/>
          <w:sz w:val="22"/>
          <w:szCs w:val="22"/>
        </w:rPr>
        <w:t>explore</w:t>
      </w:r>
      <w:r w:rsidR="009D4779">
        <w:rPr>
          <w:rFonts w:cs="Arial"/>
          <w:b w:val="0"/>
          <w:sz w:val="22"/>
          <w:szCs w:val="22"/>
        </w:rPr>
        <w:t xml:space="preserve"> </w:t>
      </w:r>
      <w:r w:rsidR="0024505D">
        <w:rPr>
          <w:rFonts w:cs="Arial"/>
          <w:b w:val="0"/>
          <w:sz w:val="22"/>
          <w:szCs w:val="22"/>
        </w:rPr>
        <w:lastRenderedPageBreak/>
        <w:t>approaches used by MIDA</w:t>
      </w:r>
      <w:r w:rsidR="009D4779">
        <w:rPr>
          <w:rFonts w:cs="Arial"/>
          <w:b w:val="0"/>
          <w:sz w:val="22"/>
          <w:szCs w:val="22"/>
        </w:rPr>
        <w:t xml:space="preserve"> as recommended by Senator Stevenson and that the board maintain control of the housing </w:t>
      </w:r>
      <w:r w:rsidR="0024505D">
        <w:rPr>
          <w:rFonts w:cs="Arial"/>
          <w:b w:val="0"/>
          <w:sz w:val="22"/>
          <w:szCs w:val="22"/>
        </w:rPr>
        <w:t xml:space="preserve">types </w:t>
      </w:r>
      <w:r w:rsidR="009D4779">
        <w:rPr>
          <w:rFonts w:cs="Arial"/>
          <w:b w:val="0"/>
          <w:sz w:val="22"/>
          <w:szCs w:val="22"/>
        </w:rPr>
        <w:t>at The Point</w:t>
      </w:r>
      <w:r>
        <w:rPr>
          <w:rFonts w:cs="Arial"/>
          <w:b w:val="0"/>
          <w:sz w:val="22"/>
          <w:szCs w:val="22"/>
        </w:rPr>
        <w:t>.  The motion was seconded by Senator Jerry Stevenson</w:t>
      </w:r>
      <w:r w:rsidR="009D4779">
        <w:rPr>
          <w:rFonts w:cs="Arial"/>
          <w:b w:val="0"/>
          <w:sz w:val="22"/>
          <w:szCs w:val="22"/>
        </w:rPr>
        <w:t xml:space="preserve"> a</w:t>
      </w:r>
      <w:r>
        <w:rPr>
          <w:rFonts w:cs="Arial"/>
          <w:b w:val="0"/>
          <w:sz w:val="22"/>
          <w:szCs w:val="22"/>
        </w:rPr>
        <w:t xml:space="preserve">nd passed unanimously. </w:t>
      </w:r>
    </w:p>
    <w:p w14:paraId="4B389FC3" w14:textId="42BAC365" w:rsidR="005D3199" w:rsidRDefault="005D3199" w:rsidP="005D3199">
      <w:pPr>
        <w:tabs>
          <w:tab w:val="left" w:leader="dot" w:pos="-1080"/>
          <w:tab w:val="left" w:pos="-360"/>
          <w:tab w:val="right" w:leader="dot" w:pos="9360"/>
        </w:tabs>
        <w:jc w:val="both"/>
        <w:rPr>
          <w:rFonts w:ascii="Arial" w:hAnsi="Arial"/>
          <w:b/>
          <w:sz w:val="22"/>
          <w:szCs w:val="22"/>
        </w:rPr>
      </w:pPr>
    </w:p>
    <w:p w14:paraId="11E6C945" w14:textId="77777777" w:rsidR="004C265F" w:rsidRDefault="004C265F" w:rsidP="005D3199">
      <w:pPr>
        <w:tabs>
          <w:tab w:val="left" w:leader="dot" w:pos="-1080"/>
          <w:tab w:val="left" w:pos="-360"/>
          <w:tab w:val="right" w:leader="dot" w:pos="9360"/>
        </w:tabs>
        <w:jc w:val="both"/>
        <w:rPr>
          <w:rFonts w:ascii="Arial" w:hAnsi="Arial"/>
          <w:b/>
          <w:sz w:val="22"/>
          <w:szCs w:val="22"/>
        </w:rPr>
      </w:pPr>
    </w:p>
    <w:p w14:paraId="5655D18F" w14:textId="12628F15" w:rsidR="005D3199" w:rsidRDefault="005D3199" w:rsidP="005D319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AUTHORIZATION FOR DFCM TO BEGIN INFRASTRUCTURE DESIGN AND ENGINEERING</w:t>
      </w:r>
    </w:p>
    <w:p w14:paraId="1FAC0882" w14:textId="63F604C3" w:rsidR="005D3199" w:rsidRDefault="005D3199" w:rsidP="005D3199">
      <w:pPr>
        <w:tabs>
          <w:tab w:val="left" w:leader="dot" w:pos="-1080"/>
          <w:tab w:val="left" w:pos="-360"/>
          <w:tab w:val="right" w:leader="dot" w:pos="9360"/>
        </w:tabs>
        <w:jc w:val="both"/>
        <w:rPr>
          <w:rFonts w:ascii="Arial" w:hAnsi="Arial"/>
          <w:sz w:val="22"/>
          <w:szCs w:val="22"/>
        </w:rPr>
      </w:pPr>
      <w:r>
        <w:rPr>
          <w:rFonts w:ascii="Arial" w:hAnsi="Arial"/>
          <w:sz w:val="22"/>
          <w:szCs w:val="22"/>
        </w:rPr>
        <w:t>DFCM Director, Jim Russell</w:t>
      </w:r>
      <w:r w:rsidR="0024505D">
        <w:rPr>
          <w:rFonts w:ascii="Arial" w:hAnsi="Arial"/>
          <w:sz w:val="22"/>
          <w:szCs w:val="22"/>
        </w:rPr>
        <w:t>,</w:t>
      </w:r>
      <w:r>
        <w:rPr>
          <w:rFonts w:ascii="Arial" w:hAnsi="Arial"/>
          <w:sz w:val="22"/>
          <w:szCs w:val="22"/>
        </w:rPr>
        <w:t xml:space="preserve"> </w:t>
      </w:r>
      <w:r w:rsidR="007E4858">
        <w:rPr>
          <w:rFonts w:ascii="Arial" w:hAnsi="Arial"/>
          <w:sz w:val="22"/>
          <w:szCs w:val="22"/>
        </w:rPr>
        <w:t>reviewed DFCM’s plan</w:t>
      </w:r>
      <w:r>
        <w:rPr>
          <w:rFonts w:ascii="Arial" w:hAnsi="Arial"/>
          <w:sz w:val="22"/>
          <w:szCs w:val="22"/>
        </w:rPr>
        <w:t xml:space="preserve"> regarding the planning, design and engineering work for initial infrastructure at The Point</w:t>
      </w:r>
      <w:r w:rsidR="004069AC">
        <w:rPr>
          <w:rFonts w:ascii="Arial" w:hAnsi="Arial"/>
          <w:sz w:val="22"/>
          <w:szCs w:val="22"/>
        </w:rPr>
        <w:t>.  He explained t</w:t>
      </w:r>
      <w:r w:rsidR="007E4858">
        <w:rPr>
          <w:rFonts w:ascii="Arial" w:hAnsi="Arial"/>
          <w:sz w:val="22"/>
          <w:szCs w:val="22"/>
        </w:rPr>
        <w:t xml:space="preserve">his will take some time to put in place and </w:t>
      </w:r>
      <w:r w:rsidR="004069AC">
        <w:rPr>
          <w:rFonts w:ascii="Arial" w:hAnsi="Arial"/>
          <w:sz w:val="22"/>
          <w:szCs w:val="22"/>
        </w:rPr>
        <w:t xml:space="preserve">recommended this </w:t>
      </w:r>
      <w:r w:rsidR="007E4858">
        <w:rPr>
          <w:rFonts w:ascii="Arial" w:hAnsi="Arial"/>
          <w:sz w:val="22"/>
          <w:szCs w:val="22"/>
        </w:rPr>
        <w:t xml:space="preserve">should move forward as soon as possible.  </w:t>
      </w:r>
      <w:r w:rsidR="006B2E82">
        <w:rPr>
          <w:rFonts w:ascii="Arial" w:hAnsi="Arial"/>
          <w:sz w:val="22"/>
          <w:szCs w:val="22"/>
        </w:rPr>
        <w:t xml:space="preserve">DFCM needs </w:t>
      </w:r>
      <w:r w:rsidR="007E4858">
        <w:rPr>
          <w:rFonts w:ascii="Arial" w:hAnsi="Arial"/>
          <w:sz w:val="22"/>
          <w:szCs w:val="22"/>
        </w:rPr>
        <w:t xml:space="preserve">                                                  </w:t>
      </w:r>
      <w:r w:rsidR="004069AC">
        <w:rPr>
          <w:rFonts w:ascii="Arial" w:hAnsi="Arial"/>
          <w:sz w:val="22"/>
          <w:szCs w:val="22"/>
        </w:rPr>
        <w:t>approval to solicit and hire an engineering firm to provide studies</w:t>
      </w:r>
      <w:r w:rsidR="006B2E82">
        <w:rPr>
          <w:rFonts w:ascii="Arial" w:hAnsi="Arial"/>
          <w:sz w:val="22"/>
          <w:szCs w:val="22"/>
        </w:rPr>
        <w:t>,</w:t>
      </w:r>
      <w:r w:rsidR="004069AC">
        <w:rPr>
          <w:rFonts w:ascii="Arial" w:hAnsi="Arial"/>
          <w:sz w:val="22"/>
          <w:szCs w:val="22"/>
        </w:rPr>
        <w:t xml:space="preserve"> begin planning and design of the utilities and infrastructure</w:t>
      </w:r>
      <w:r w:rsidR="00C22B71">
        <w:rPr>
          <w:rFonts w:ascii="Arial" w:hAnsi="Arial"/>
          <w:sz w:val="22"/>
          <w:szCs w:val="22"/>
        </w:rPr>
        <w:t>,</w:t>
      </w:r>
      <w:r w:rsidR="004069AC">
        <w:rPr>
          <w:rFonts w:ascii="Arial" w:hAnsi="Arial"/>
          <w:sz w:val="22"/>
          <w:szCs w:val="22"/>
        </w:rPr>
        <w:t xml:space="preserve"> </w:t>
      </w:r>
      <w:r w:rsidR="007E4858">
        <w:rPr>
          <w:rFonts w:ascii="Arial" w:hAnsi="Arial"/>
          <w:sz w:val="22"/>
          <w:szCs w:val="22"/>
        </w:rPr>
        <w:t>establish bu</w:t>
      </w:r>
      <w:r w:rsidR="004069AC">
        <w:rPr>
          <w:rFonts w:ascii="Arial" w:hAnsi="Arial"/>
          <w:sz w:val="22"/>
          <w:szCs w:val="22"/>
        </w:rPr>
        <w:t>d</w:t>
      </w:r>
      <w:r w:rsidR="007E4858">
        <w:rPr>
          <w:rFonts w:ascii="Arial" w:hAnsi="Arial"/>
          <w:sz w:val="22"/>
          <w:szCs w:val="22"/>
        </w:rPr>
        <w:t xml:space="preserve">gets for demolition and abatement </w:t>
      </w:r>
      <w:r w:rsidR="004069AC">
        <w:rPr>
          <w:rFonts w:ascii="Arial" w:hAnsi="Arial"/>
          <w:sz w:val="22"/>
          <w:szCs w:val="22"/>
        </w:rPr>
        <w:t>a</w:t>
      </w:r>
      <w:r w:rsidR="004C265F">
        <w:rPr>
          <w:rFonts w:ascii="Arial" w:hAnsi="Arial"/>
          <w:sz w:val="22"/>
          <w:szCs w:val="22"/>
        </w:rPr>
        <w:t xml:space="preserve">nd establish the </w:t>
      </w:r>
      <w:r w:rsidR="004069AC">
        <w:rPr>
          <w:rFonts w:ascii="Arial" w:hAnsi="Arial"/>
          <w:sz w:val="22"/>
          <w:szCs w:val="22"/>
        </w:rPr>
        <w:t xml:space="preserve">overall infrastructure package </w:t>
      </w:r>
      <w:r w:rsidR="007E4858">
        <w:rPr>
          <w:rFonts w:ascii="Arial" w:hAnsi="Arial"/>
          <w:sz w:val="22"/>
          <w:szCs w:val="22"/>
        </w:rPr>
        <w:t xml:space="preserve">in time for the next legislative session.  </w:t>
      </w:r>
      <w:r w:rsidR="004069AC">
        <w:rPr>
          <w:rFonts w:ascii="Arial" w:hAnsi="Arial"/>
          <w:sz w:val="22"/>
          <w:szCs w:val="22"/>
        </w:rPr>
        <w:t xml:space="preserve">The DFCM planning fund </w:t>
      </w:r>
      <w:r w:rsidR="004C265F">
        <w:rPr>
          <w:rFonts w:ascii="Arial" w:hAnsi="Arial"/>
          <w:sz w:val="22"/>
          <w:szCs w:val="22"/>
        </w:rPr>
        <w:t>will</w:t>
      </w:r>
      <w:r w:rsidR="004069AC">
        <w:rPr>
          <w:rFonts w:ascii="Arial" w:hAnsi="Arial"/>
          <w:sz w:val="22"/>
          <w:szCs w:val="22"/>
        </w:rPr>
        <w:t xml:space="preserve"> be used for this initial work</w:t>
      </w:r>
      <w:r w:rsidR="00BA4B8C">
        <w:rPr>
          <w:rFonts w:ascii="Arial" w:hAnsi="Arial"/>
          <w:sz w:val="22"/>
          <w:szCs w:val="22"/>
        </w:rPr>
        <w:t>; however,</w:t>
      </w:r>
      <w:r w:rsidR="004069AC">
        <w:rPr>
          <w:rFonts w:ascii="Arial" w:hAnsi="Arial"/>
          <w:sz w:val="22"/>
          <w:szCs w:val="22"/>
        </w:rPr>
        <w:t xml:space="preserve"> the fund will need to be replenished and paid back when the project is funded.  </w:t>
      </w:r>
      <w:r w:rsidR="00BA4B8C">
        <w:rPr>
          <w:rFonts w:ascii="Arial" w:hAnsi="Arial"/>
          <w:sz w:val="22"/>
          <w:szCs w:val="22"/>
        </w:rPr>
        <w:t>DFCM is the owner of the property but needs the approval of the POMSLA board in order to move forward.</w:t>
      </w:r>
      <w:r w:rsidR="00AE29BE">
        <w:rPr>
          <w:rFonts w:ascii="Arial" w:hAnsi="Arial"/>
          <w:sz w:val="22"/>
          <w:szCs w:val="22"/>
        </w:rPr>
        <w:t xml:space="preserve"> </w:t>
      </w:r>
    </w:p>
    <w:p w14:paraId="6D054C53" w14:textId="77777777" w:rsidR="00BA4B8C" w:rsidRDefault="00BA4B8C" w:rsidP="005D3199">
      <w:pPr>
        <w:tabs>
          <w:tab w:val="left" w:leader="dot" w:pos="-1080"/>
          <w:tab w:val="left" w:pos="-360"/>
          <w:tab w:val="right" w:leader="dot" w:pos="9360"/>
        </w:tabs>
        <w:jc w:val="both"/>
        <w:rPr>
          <w:rFonts w:ascii="Arial" w:hAnsi="Arial"/>
          <w:sz w:val="22"/>
          <w:szCs w:val="22"/>
        </w:rPr>
      </w:pPr>
    </w:p>
    <w:p w14:paraId="041310EC" w14:textId="377887D5" w:rsidR="00AE29BE" w:rsidRDefault="00AE29BE" w:rsidP="00AE29BE">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r>
      <w:r w:rsidR="007E4858">
        <w:rPr>
          <w:rFonts w:cs="Arial"/>
          <w:b w:val="0"/>
          <w:sz w:val="22"/>
          <w:szCs w:val="22"/>
        </w:rPr>
        <w:t xml:space="preserve">Senator Jerry Stevenson </w:t>
      </w:r>
      <w:r>
        <w:rPr>
          <w:rFonts w:cs="Arial"/>
          <w:b w:val="0"/>
          <w:sz w:val="22"/>
          <w:szCs w:val="22"/>
        </w:rPr>
        <w:t>moved to authorize DFCM to begin planning, design and engineering work for initial infrastructure at The Point</w:t>
      </w:r>
      <w:r w:rsidR="007E4858">
        <w:rPr>
          <w:rFonts w:cs="Arial"/>
          <w:b w:val="0"/>
          <w:sz w:val="22"/>
          <w:szCs w:val="22"/>
        </w:rPr>
        <w:t xml:space="preserve"> with the </w:t>
      </w:r>
      <w:r w:rsidR="00BA4B8C">
        <w:rPr>
          <w:rFonts w:cs="Arial"/>
          <w:b w:val="0"/>
          <w:sz w:val="22"/>
          <w:szCs w:val="22"/>
        </w:rPr>
        <w:t xml:space="preserve">DFCM planning </w:t>
      </w:r>
      <w:r w:rsidR="007E4858">
        <w:rPr>
          <w:rFonts w:cs="Arial"/>
          <w:b w:val="0"/>
          <w:sz w:val="22"/>
          <w:szCs w:val="22"/>
        </w:rPr>
        <w:t>fund</w:t>
      </w:r>
      <w:r w:rsidR="00BA4B8C">
        <w:rPr>
          <w:rFonts w:cs="Arial"/>
          <w:b w:val="0"/>
          <w:sz w:val="22"/>
          <w:szCs w:val="22"/>
        </w:rPr>
        <w:t xml:space="preserve"> which will </w:t>
      </w:r>
      <w:r w:rsidR="007E4858">
        <w:rPr>
          <w:rFonts w:cs="Arial"/>
          <w:b w:val="0"/>
          <w:sz w:val="22"/>
          <w:szCs w:val="22"/>
        </w:rPr>
        <w:t>be reimbursed</w:t>
      </w:r>
      <w:r w:rsidR="00BA4B8C">
        <w:rPr>
          <w:rFonts w:cs="Arial"/>
          <w:b w:val="0"/>
          <w:sz w:val="22"/>
          <w:szCs w:val="22"/>
        </w:rPr>
        <w:t xml:space="preserve"> at a later time</w:t>
      </w:r>
      <w:r>
        <w:rPr>
          <w:rFonts w:cs="Arial"/>
          <w:b w:val="0"/>
          <w:sz w:val="22"/>
          <w:szCs w:val="22"/>
        </w:rPr>
        <w:t xml:space="preserve">.  The motion was seconded by </w:t>
      </w:r>
      <w:r w:rsidR="007E4858">
        <w:rPr>
          <w:rFonts w:cs="Arial"/>
          <w:b w:val="0"/>
          <w:sz w:val="22"/>
          <w:szCs w:val="22"/>
        </w:rPr>
        <w:t>Mayor Dawn Ramsey</w:t>
      </w:r>
      <w:r>
        <w:rPr>
          <w:rFonts w:cs="Arial"/>
          <w:b w:val="0"/>
          <w:sz w:val="22"/>
          <w:szCs w:val="22"/>
        </w:rPr>
        <w:t xml:space="preserve"> and passed unanimously. </w:t>
      </w:r>
    </w:p>
    <w:p w14:paraId="554EA2B2" w14:textId="5DC40BCB" w:rsidR="00591980" w:rsidRDefault="00591980" w:rsidP="00591980">
      <w:pPr>
        <w:tabs>
          <w:tab w:val="left" w:leader="dot" w:pos="-1080"/>
          <w:tab w:val="left" w:pos="-360"/>
          <w:tab w:val="right" w:leader="dot" w:pos="9360"/>
        </w:tabs>
        <w:jc w:val="both"/>
        <w:rPr>
          <w:rFonts w:ascii="Arial" w:hAnsi="Arial"/>
          <w:b/>
          <w:sz w:val="22"/>
          <w:szCs w:val="22"/>
        </w:rPr>
      </w:pPr>
    </w:p>
    <w:p w14:paraId="45055FA2" w14:textId="77777777" w:rsidR="004C265F" w:rsidRDefault="004C265F" w:rsidP="00591980">
      <w:pPr>
        <w:tabs>
          <w:tab w:val="left" w:leader="dot" w:pos="-1080"/>
          <w:tab w:val="left" w:pos="-360"/>
          <w:tab w:val="right" w:leader="dot" w:pos="9360"/>
        </w:tabs>
        <w:jc w:val="both"/>
        <w:rPr>
          <w:rFonts w:ascii="Arial" w:hAnsi="Arial"/>
          <w:b/>
          <w:sz w:val="22"/>
          <w:szCs w:val="22"/>
        </w:rPr>
      </w:pPr>
    </w:p>
    <w:p w14:paraId="01E2EF61" w14:textId="75F54DEC" w:rsidR="00AE29BE" w:rsidRDefault="00AE29BE" w:rsidP="00AE29B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PRESERVATION OF GUARD TOWERS AT THE POINT</w:t>
      </w:r>
    </w:p>
    <w:p w14:paraId="7A061495" w14:textId="42204BAF" w:rsidR="00AE29BE" w:rsidRDefault="006B2E82" w:rsidP="00AE29BE">
      <w:pPr>
        <w:tabs>
          <w:tab w:val="left" w:leader="dot" w:pos="-1080"/>
          <w:tab w:val="left" w:pos="-360"/>
          <w:tab w:val="right" w:leader="dot" w:pos="9360"/>
        </w:tabs>
        <w:jc w:val="both"/>
        <w:rPr>
          <w:rFonts w:ascii="Arial" w:hAnsi="Arial"/>
          <w:sz w:val="22"/>
          <w:szCs w:val="22"/>
        </w:rPr>
      </w:pPr>
      <w:r>
        <w:rPr>
          <w:rFonts w:ascii="Arial" w:hAnsi="Arial"/>
          <w:sz w:val="22"/>
          <w:szCs w:val="22"/>
        </w:rPr>
        <w:t>T</w:t>
      </w:r>
      <w:r w:rsidR="00241DF1">
        <w:rPr>
          <w:rFonts w:ascii="Arial" w:hAnsi="Arial"/>
          <w:sz w:val="22"/>
          <w:szCs w:val="22"/>
        </w:rPr>
        <w:t xml:space="preserve">he board discussed the possibility of preserving </w:t>
      </w:r>
      <w:r w:rsidR="00D27266">
        <w:rPr>
          <w:rFonts w:ascii="Arial" w:hAnsi="Arial"/>
          <w:sz w:val="22"/>
          <w:szCs w:val="22"/>
        </w:rPr>
        <w:t>some</w:t>
      </w:r>
      <w:r w:rsidR="00241DF1">
        <w:rPr>
          <w:rFonts w:ascii="Arial" w:hAnsi="Arial"/>
          <w:sz w:val="22"/>
          <w:szCs w:val="22"/>
        </w:rPr>
        <w:t xml:space="preserve"> </w:t>
      </w:r>
      <w:r w:rsidR="00BA4B8C">
        <w:rPr>
          <w:rFonts w:ascii="Arial" w:hAnsi="Arial"/>
          <w:sz w:val="22"/>
          <w:szCs w:val="22"/>
        </w:rPr>
        <w:t xml:space="preserve">prison </w:t>
      </w:r>
      <w:r w:rsidR="00241DF1">
        <w:rPr>
          <w:rFonts w:ascii="Arial" w:hAnsi="Arial"/>
          <w:sz w:val="22"/>
          <w:szCs w:val="22"/>
        </w:rPr>
        <w:t>guard towers</w:t>
      </w:r>
      <w:r>
        <w:rPr>
          <w:rFonts w:ascii="Arial" w:hAnsi="Arial"/>
          <w:sz w:val="22"/>
          <w:szCs w:val="22"/>
        </w:rPr>
        <w:t xml:space="preserve"> at a previous meeting</w:t>
      </w:r>
      <w:r w:rsidR="00BA4B8C">
        <w:rPr>
          <w:rFonts w:ascii="Arial" w:hAnsi="Arial"/>
          <w:sz w:val="22"/>
          <w:szCs w:val="22"/>
        </w:rPr>
        <w:t xml:space="preserve">; </w:t>
      </w:r>
      <w:r w:rsidR="00241DF1">
        <w:rPr>
          <w:rFonts w:ascii="Arial" w:hAnsi="Arial"/>
          <w:sz w:val="22"/>
          <w:szCs w:val="22"/>
        </w:rPr>
        <w:t>however</w:t>
      </w:r>
      <w:r w:rsidR="00BA4B8C">
        <w:rPr>
          <w:rFonts w:ascii="Arial" w:hAnsi="Arial"/>
          <w:sz w:val="22"/>
          <w:szCs w:val="22"/>
        </w:rPr>
        <w:t>,</w:t>
      </w:r>
      <w:r w:rsidR="00241DF1">
        <w:rPr>
          <w:rFonts w:ascii="Arial" w:hAnsi="Arial"/>
          <w:sz w:val="22"/>
          <w:szCs w:val="22"/>
        </w:rPr>
        <w:t xml:space="preserve"> no decisions were made.  </w:t>
      </w:r>
      <w:r w:rsidR="00BA4B8C">
        <w:rPr>
          <w:rFonts w:ascii="Arial" w:hAnsi="Arial"/>
          <w:sz w:val="22"/>
          <w:szCs w:val="22"/>
        </w:rPr>
        <w:t>The POMSLA staff received direction to provide an overlay of</w:t>
      </w:r>
      <w:r w:rsidR="00241DF1">
        <w:rPr>
          <w:rFonts w:ascii="Arial" w:hAnsi="Arial"/>
          <w:sz w:val="22"/>
          <w:szCs w:val="22"/>
        </w:rPr>
        <w:t xml:space="preserve"> where the existing towers are located in relation to the framework plan.  </w:t>
      </w:r>
      <w:r w:rsidR="00BA4B8C">
        <w:rPr>
          <w:rFonts w:ascii="Arial" w:hAnsi="Arial"/>
          <w:sz w:val="22"/>
          <w:szCs w:val="22"/>
        </w:rPr>
        <w:t>Director Matheson reviewed the location of the</w:t>
      </w:r>
      <w:r w:rsidR="00241DF1">
        <w:rPr>
          <w:rFonts w:ascii="Arial" w:hAnsi="Arial"/>
          <w:sz w:val="22"/>
          <w:szCs w:val="22"/>
        </w:rPr>
        <w:t xml:space="preserve"> tower sites. </w:t>
      </w:r>
      <w:r w:rsidR="00E93116">
        <w:rPr>
          <w:rFonts w:ascii="Arial" w:hAnsi="Arial"/>
          <w:sz w:val="22"/>
          <w:szCs w:val="22"/>
        </w:rPr>
        <w:t xml:space="preserve">There was discussion concerning which of the five guard towers should be preserved as well as the Johnson </w:t>
      </w:r>
      <w:r w:rsidR="00D27266">
        <w:rPr>
          <w:rFonts w:ascii="Arial" w:hAnsi="Arial"/>
          <w:sz w:val="22"/>
          <w:szCs w:val="22"/>
        </w:rPr>
        <w:t>bars</w:t>
      </w:r>
      <w:r w:rsidR="00E93116">
        <w:rPr>
          <w:rFonts w:ascii="Arial" w:hAnsi="Arial"/>
          <w:sz w:val="22"/>
          <w:szCs w:val="22"/>
        </w:rPr>
        <w:t xml:space="preserve"> which </w:t>
      </w:r>
      <w:r w:rsidR="00D27266">
        <w:rPr>
          <w:rFonts w:ascii="Arial" w:hAnsi="Arial"/>
          <w:sz w:val="22"/>
          <w:szCs w:val="22"/>
        </w:rPr>
        <w:t xml:space="preserve">mechanism </w:t>
      </w:r>
      <w:r w:rsidR="00E93116">
        <w:rPr>
          <w:rFonts w:ascii="Arial" w:hAnsi="Arial"/>
          <w:sz w:val="22"/>
          <w:szCs w:val="22"/>
        </w:rPr>
        <w:t xml:space="preserve">has historical value.  Board members voiced concerns with identifying which tower to preserve and whether it could be relocated to an appropriate place on the property or preserved in its original location.  </w:t>
      </w:r>
    </w:p>
    <w:p w14:paraId="7294BBDD" w14:textId="05805ACA" w:rsidR="00241DF1" w:rsidRDefault="00241DF1" w:rsidP="00AE29BE">
      <w:pPr>
        <w:tabs>
          <w:tab w:val="left" w:leader="dot" w:pos="-1080"/>
          <w:tab w:val="left" w:pos="-360"/>
          <w:tab w:val="right" w:leader="dot" w:pos="9360"/>
        </w:tabs>
        <w:jc w:val="both"/>
        <w:rPr>
          <w:rFonts w:ascii="Arial" w:hAnsi="Arial"/>
          <w:sz w:val="22"/>
          <w:szCs w:val="22"/>
        </w:rPr>
      </w:pPr>
      <w:r>
        <w:rPr>
          <w:rFonts w:ascii="Arial" w:hAnsi="Arial"/>
          <w:sz w:val="22"/>
          <w:szCs w:val="22"/>
        </w:rPr>
        <w:t>Chair Snow asked for a motion</w:t>
      </w:r>
      <w:r w:rsidR="004C265F">
        <w:rPr>
          <w:rFonts w:ascii="Arial" w:hAnsi="Arial"/>
          <w:sz w:val="22"/>
          <w:szCs w:val="22"/>
        </w:rPr>
        <w:t>.</w:t>
      </w:r>
    </w:p>
    <w:p w14:paraId="58F4C5A7" w14:textId="414F830A" w:rsidR="00AE29BE" w:rsidRDefault="00AE29BE" w:rsidP="00591980">
      <w:pPr>
        <w:tabs>
          <w:tab w:val="left" w:leader="dot" w:pos="-1080"/>
          <w:tab w:val="left" w:pos="-360"/>
          <w:tab w:val="right" w:leader="dot" w:pos="9360"/>
        </w:tabs>
        <w:jc w:val="both"/>
        <w:rPr>
          <w:rFonts w:ascii="Arial" w:hAnsi="Arial"/>
          <w:b/>
          <w:sz w:val="22"/>
          <w:szCs w:val="22"/>
        </w:rPr>
      </w:pPr>
    </w:p>
    <w:p w14:paraId="0E7B0BA0" w14:textId="7E6BBAD3" w:rsidR="00AE29BE" w:rsidRDefault="00AE29BE" w:rsidP="00AE29BE">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r>
      <w:r w:rsidR="00241DF1">
        <w:rPr>
          <w:rFonts w:cs="Arial"/>
          <w:b w:val="0"/>
          <w:sz w:val="22"/>
          <w:szCs w:val="22"/>
        </w:rPr>
        <w:t xml:space="preserve">Mayor Troy Walker </w:t>
      </w:r>
      <w:r>
        <w:rPr>
          <w:rFonts w:cs="Arial"/>
          <w:b w:val="0"/>
          <w:sz w:val="22"/>
          <w:szCs w:val="22"/>
        </w:rPr>
        <w:t xml:space="preserve">moved </w:t>
      </w:r>
      <w:r w:rsidR="00B67B34">
        <w:rPr>
          <w:rFonts w:cs="Arial"/>
          <w:b w:val="0"/>
          <w:sz w:val="22"/>
          <w:szCs w:val="22"/>
        </w:rPr>
        <w:t xml:space="preserve">that we </w:t>
      </w:r>
      <w:r w:rsidR="00241DF1">
        <w:rPr>
          <w:rFonts w:cs="Arial"/>
          <w:b w:val="0"/>
          <w:sz w:val="22"/>
          <w:szCs w:val="22"/>
        </w:rPr>
        <w:t>move forward with preservation</w:t>
      </w:r>
      <w:r w:rsidR="00E93116">
        <w:rPr>
          <w:rFonts w:cs="Arial"/>
          <w:b w:val="0"/>
          <w:sz w:val="22"/>
          <w:szCs w:val="22"/>
        </w:rPr>
        <w:t xml:space="preserve"> of one of the guard towers</w:t>
      </w:r>
      <w:r w:rsidR="00241DF1">
        <w:rPr>
          <w:rFonts w:cs="Arial"/>
          <w:b w:val="0"/>
          <w:sz w:val="22"/>
          <w:szCs w:val="22"/>
        </w:rPr>
        <w:t xml:space="preserve"> in a location </w:t>
      </w:r>
      <w:r w:rsidR="00B67B34">
        <w:rPr>
          <w:rFonts w:cs="Arial"/>
          <w:b w:val="0"/>
          <w:sz w:val="22"/>
          <w:szCs w:val="22"/>
        </w:rPr>
        <w:t xml:space="preserve">determined by staff and that the tower be preserved along with a plaque or other appropriate memorial information including, if possible, the display of the locking system (Johnson bars) that dates back to the prison in Sugar House. </w:t>
      </w:r>
      <w:r>
        <w:rPr>
          <w:rFonts w:cs="Arial"/>
          <w:b w:val="0"/>
          <w:sz w:val="22"/>
          <w:szCs w:val="22"/>
        </w:rPr>
        <w:t xml:space="preserve">The motion was seconded by </w:t>
      </w:r>
      <w:r w:rsidR="00241DF1">
        <w:rPr>
          <w:rFonts w:cs="Arial"/>
          <w:b w:val="0"/>
          <w:sz w:val="22"/>
          <w:szCs w:val="22"/>
        </w:rPr>
        <w:t>Representative Steve Handy</w:t>
      </w:r>
      <w:r>
        <w:rPr>
          <w:rFonts w:cs="Arial"/>
          <w:b w:val="0"/>
          <w:sz w:val="22"/>
          <w:szCs w:val="22"/>
        </w:rPr>
        <w:t xml:space="preserve"> and passed unanimously. </w:t>
      </w:r>
    </w:p>
    <w:p w14:paraId="22DDCE25" w14:textId="323A2A33" w:rsidR="006B2E82" w:rsidRDefault="006B2E82" w:rsidP="006B2E82"/>
    <w:p w14:paraId="788BED44" w14:textId="0F012BA8" w:rsidR="00AE29BE" w:rsidRDefault="00B67B34" w:rsidP="00AE29BE">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Director Matheson </w:t>
      </w:r>
      <w:r w:rsidR="009E03BF">
        <w:rPr>
          <w:rFonts w:ascii="Arial" w:hAnsi="Arial"/>
          <w:sz w:val="22"/>
          <w:szCs w:val="22"/>
        </w:rPr>
        <w:t>reported</w:t>
      </w:r>
      <w:r>
        <w:rPr>
          <w:rFonts w:ascii="Arial" w:hAnsi="Arial"/>
          <w:sz w:val="22"/>
          <w:szCs w:val="22"/>
        </w:rPr>
        <w:t xml:space="preserve"> that </w:t>
      </w:r>
      <w:r w:rsidR="00F54817">
        <w:rPr>
          <w:rFonts w:ascii="Arial" w:hAnsi="Arial"/>
          <w:sz w:val="22"/>
          <w:szCs w:val="22"/>
        </w:rPr>
        <w:t xml:space="preserve">because the Johnson bars were only used at Alcatraz and this site, </w:t>
      </w:r>
      <w:r>
        <w:rPr>
          <w:rFonts w:ascii="Arial" w:hAnsi="Arial"/>
          <w:sz w:val="22"/>
          <w:szCs w:val="22"/>
        </w:rPr>
        <w:t>the Department of Corrections is looking at preserving the</w:t>
      </w:r>
      <w:r w:rsidR="00F54817">
        <w:rPr>
          <w:rFonts w:ascii="Arial" w:hAnsi="Arial"/>
          <w:sz w:val="22"/>
          <w:szCs w:val="22"/>
        </w:rPr>
        <w:t>m</w:t>
      </w:r>
      <w:r>
        <w:rPr>
          <w:rFonts w:ascii="Arial" w:hAnsi="Arial"/>
          <w:sz w:val="22"/>
          <w:szCs w:val="22"/>
        </w:rPr>
        <w:t xml:space="preserve"> in a museum at the new prison site; </w:t>
      </w:r>
      <w:r w:rsidR="00823B14">
        <w:rPr>
          <w:rFonts w:ascii="Arial" w:hAnsi="Arial"/>
          <w:sz w:val="22"/>
          <w:szCs w:val="22"/>
        </w:rPr>
        <w:t>so,</w:t>
      </w:r>
      <w:r>
        <w:rPr>
          <w:rFonts w:ascii="Arial" w:hAnsi="Arial"/>
          <w:sz w:val="22"/>
          <w:szCs w:val="22"/>
        </w:rPr>
        <w:t xml:space="preserve"> th</w:t>
      </w:r>
      <w:r w:rsidR="00F54817">
        <w:rPr>
          <w:rFonts w:ascii="Arial" w:hAnsi="Arial"/>
          <w:sz w:val="22"/>
          <w:szCs w:val="22"/>
        </w:rPr>
        <w:t>ere</w:t>
      </w:r>
      <w:r>
        <w:rPr>
          <w:rFonts w:ascii="Arial" w:hAnsi="Arial"/>
          <w:sz w:val="22"/>
          <w:szCs w:val="22"/>
        </w:rPr>
        <w:t xml:space="preserve"> </w:t>
      </w:r>
      <w:r w:rsidR="004C265F">
        <w:rPr>
          <w:rFonts w:ascii="Arial" w:hAnsi="Arial"/>
          <w:sz w:val="22"/>
          <w:szCs w:val="22"/>
        </w:rPr>
        <w:t>is</w:t>
      </w:r>
      <w:r>
        <w:rPr>
          <w:rFonts w:ascii="Arial" w:hAnsi="Arial"/>
          <w:sz w:val="22"/>
          <w:szCs w:val="22"/>
        </w:rPr>
        <w:t xml:space="preserve"> a possibility</w:t>
      </w:r>
      <w:r w:rsidR="00F54817">
        <w:rPr>
          <w:rFonts w:ascii="Arial" w:hAnsi="Arial"/>
          <w:sz w:val="22"/>
          <w:szCs w:val="22"/>
        </w:rPr>
        <w:t xml:space="preserve"> they may be at that location rather than here</w:t>
      </w:r>
      <w:r>
        <w:rPr>
          <w:rFonts w:ascii="Arial" w:hAnsi="Arial"/>
          <w:sz w:val="22"/>
          <w:szCs w:val="22"/>
        </w:rPr>
        <w:t xml:space="preserve">.  </w:t>
      </w:r>
    </w:p>
    <w:p w14:paraId="693BE13D" w14:textId="393CE08A" w:rsidR="009E03BF" w:rsidRDefault="009E03BF" w:rsidP="00AE29BE">
      <w:pPr>
        <w:tabs>
          <w:tab w:val="left" w:leader="dot" w:pos="-1080"/>
          <w:tab w:val="left" w:pos="-360"/>
          <w:tab w:val="right" w:leader="dot" w:pos="9360"/>
        </w:tabs>
        <w:jc w:val="both"/>
        <w:rPr>
          <w:rFonts w:ascii="Arial" w:hAnsi="Arial"/>
          <w:sz w:val="22"/>
          <w:szCs w:val="22"/>
        </w:rPr>
      </w:pPr>
    </w:p>
    <w:p w14:paraId="715F9B18" w14:textId="05323524" w:rsidR="009E03BF" w:rsidRDefault="009E03BF" w:rsidP="00F54817">
      <w:pPr>
        <w:pStyle w:val="Heading2"/>
        <w:tabs>
          <w:tab w:val="clear" w:pos="-720"/>
          <w:tab w:val="clear" w:pos="9360"/>
          <w:tab w:val="left" w:pos="900"/>
        </w:tabs>
        <w:ind w:left="3060" w:hanging="3060"/>
        <w:jc w:val="both"/>
        <w:rPr>
          <w:rFonts w:cs="Arial"/>
          <w:b w:val="0"/>
          <w:sz w:val="22"/>
          <w:szCs w:val="22"/>
        </w:rPr>
      </w:pPr>
      <w:r>
        <w:rPr>
          <w:rFonts w:cs="Arial"/>
          <w:sz w:val="22"/>
          <w:szCs w:val="22"/>
        </w:rPr>
        <w:tab/>
        <w:t xml:space="preserve">AMENDED </w:t>
      </w:r>
      <w:r w:rsidRPr="002D0780">
        <w:rPr>
          <w:rFonts w:cs="Arial"/>
          <w:sz w:val="22"/>
          <w:szCs w:val="22"/>
        </w:rPr>
        <w:t>MOTION</w:t>
      </w:r>
      <w:r w:rsidRPr="00C70ED0">
        <w:rPr>
          <w:rFonts w:cs="Arial"/>
          <w:b w:val="0"/>
          <w:sz w:val="22"/>
          <w:szCs w:val="22"/>
        </w:rPr>
        <w:t>:</w:t>
      </w:r>
      <w:r>
        <w:rPr>
          <w:rFonts w:cs="Arial"/>
          <w:b w:val="0"/>
          <w:sz w:val="22"/>
          <w:szCs w:val="22"/>
        </w:rPr>
        <w:tab/>
        <w:t xml:space="preserve">Mayor Walker agreed to an amendment to his motion based on </w:t>
      </w:r>
      <w:r>
        <w:rPr>
          <w:rFonts w:cs="Arial"/>
          <w:b w:val="0"/>
          <w:sz w:val="22"/>
          <w:szCs w:val="22"/>
        </w:rPr>
        <w:lastRenderedPageBreak/>
        <w:t xml:space="preserve">this new information.  </w:t>
      </w:r>
      <w:r w:rsidR="00F54817">
        <w:rPr>
          <w:rFonts w:cs="Arial"/>
          <w:b w:val="0"/>
          <w:sz w:val="22"/>
          <w:szCs w:val="22"/>
        </w:rPr>
        <w:t xml:space="preserve">Representative Handy and board members who voted for the motion were favorable to this amendment.  </w:t>
      </w:r>
    </w:p>
    <w:p w14:paraId="76CE6A33" w14:textId="7A32B179" w:rsidR="00B67B34" w:rsidRDefault="00B67B34" w:rsidP="00AE29BE">
      <w:pPr>
        <w:tabs>
          <w:tab w:val="left" w:leader="dot" w:pos="-1080"/>
          <w:tab w:val="left" w:pos="-360"/>
          <w:tab w:val="right" w:leader="dot" w:pos="9360"/>
        </w:tabs>
        <w:jc w:val="both"/>
        <w:rPr>
          <w:rFonts w:ascii="Arial" w:hAnsi="Arial"/>
          <w:b/>
          <w:sz w:val="22"/>
          <w:szCs w:val="22"/>
        </w:rPr>
      </w:pPr>
    </w:p>
    <w:p w14:paraId="05CF772E" w14:textId="77777777" w:rsidR="004C265F" w:rsidRDefault="004C265F" w:rsidP="00AE29BE">
      <w:pPr>
        <w:tabs>
          <w:tab w:val="left" w:leader="dot" w:pos="-1080"/>
          <w:tab w:val="left" w:pos="-360"/>
          <w:tab w:val="right" w:leader="dot" w:pos="9360"/>
        </w:tabs>
        <w:jc w:val="both"/>
        <w:rPr>
          <w:rFonts w:ascii="Arial" w:hAnsi="Arial"/>
          <w:b/>
          <w:sz w:val="22"/>
          <w:szCs w:val="22"/>
        </w:rPr>
      </w:pPr>
    </w:p>
    <w:p w14:paraId="2B1A4BA1" w14:textId="68C7ED92" w:rsidR="00AE29BE" w:rsidRDefault="00AE29BE" w:rsidP="00AE29B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EXECUTIVE SESSION:  EXECUTIVE DIRECTOR PERFORMANCE REVIEW</w:t>
      </w:r>
    </w:p>
    <w:p w14:paraId="6E6F9228" w14:textId="4A98E7DB" w:rsidR="00591980" w:rsidRDefault="00AE29BE" w:rsidP="00591980">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Snow announced the board will go into a closed executive session for the purpose of discussing the performance </w:t>
      </w:r>
      <w:r w:rsidR="000212C1">
        <w:rPr>
          <w:rFonts w:ascii="Arial" w:hAnsi="Arial"/>
          <w:sz w:val="22"/>
          <w:szCs w:val="22"/>
        </w:rPr>
        <w:t xml:space="preserve">review </w:t>
      </w:r>
      <w:r>
        <w:rPr>
          <w:rFonts w:ascii="Arial" w:hAnsi="Arial"/>
          <w:sz w:val="22"/>
          <w:szCs w:val="22"/>
        </w:rPr>
        <w:t xml:space="preserve">of </w:t>
      </w:r>
      <w:r w:rsidR="000212C1">
        <w:rPr>
          <w:rFonts w:ascii="Arial" w:hAnsi="Arial"/>
          <w:sz w:val="22"/>
          <w:szCs w:val="22"/>
        </w:rPr>
        <w:t>our</w:t>
      </w:r>
      <w:r>
        <w:rPr>
          <w:rFonts w:ascii="Arial" w:hAnsi="Arial"/>
          <w:sz w:val="22"/>
          <w:szCs w:val="22"/>
        </w:rPr>
        <w:t xml:space="preserve"> Executive Director and requested a motion to do so.</w:t>
      </w:r>
    </w:p>
    <w:p w14:paraId="3740808C" w14:textId="77777777" w:rsidR="00AE29BE" w:rsidRPr="00AE29BE" w:rsidRDefault="00AE29BE" w:rsidP="00591980">
      <w:pPr>
        <w:tabs>
          <w:tab w:val="left" w:leader="dot" w:pos="-1080"/>
          <w:tab w:val="left" w:pos="-360"/>
          <w:tab w:val="right" w:leader="dot" w:pos="9360"/>
        </w:tabs>
        <w:jc w:val="both"/>
        <w:rPr>
          <w:rFonts w:ascii="Arial" w:hAnsi="Arial"/>
          <w:sz w:val="22"/>
          <w:szCs w:val="22"/>
        </w:rPr>
      </w:pPr>
    </w:p>
    <w:p w14:paraId="45429950" w14:textId="0CD6403E" w:rsidR="009F6C82" w:rsidRDefault="009F6C82" w:rsidP="00CB5969">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r>
      <w:r w:rsidR="00493EEA">
        <w:rPr>
          <w:rFonts w:cs="Arial"/>
          <w:b w:val="0"/>
          <w:sz w:val="22"/>
          <w:szCs w:val="22"/>
        </w:rPr>
        <w:t xml:space="preserve">Commissioner </w:t>
      </w:r>
      <w:r w:rsidR="00376387">
        <w:rPr>
          <w:rFonts w:cs="Arial"/>
          <w:b w:val="0"/>
          <w:sz w:val="22"/>
          <w:szCs w:val="22"/>
        </w:rPr>
        <w:t>Dave Woolstenhulme</w:t>
      </w:r>
      <w:r w:rsidR="00AE29BE">
        <w:rPr>
          <w:rFonts w:cs="Arial"/>
          <w:b w:val="0"/>
          <w:sz w:val="22"/>
          <w:szCs w:val="22"/>
        </w:rPr>
        <w:t xml:space="preserve"> </w:t>
      </w:r>
      <w:r>
        <w:rPr>
          <w:rFonts w:cs="Arial"/>
          <w:b w:val="0"/>
          <w:sz w:val="22"/>
          <w:szCs w:val="22"/>
        </w:rPr>
        <w:t xml:space="preserve">moved that the board move into an executive session. The motion was seconded by </w:t>
      </w:r>
      <w:r w:rsidR="00376387">
        <w:rPr>
          <w:rFonts w:cs="Arial"/>
          <w:b w:val="0"/>
          <w:sz w:val="22"/>
          <w:szCs w:val="22"/>
        </w:rPr>
        <w:t>Mayor Troy Walker</w:t>
      </w:r>
      <w:r w:rsidR="001E628F">
        <w:rPr>
          <w:rFonts w:cs="Arial"/>
          <w:b w:val="0"/>
          <w:sz w:val="22"/>
          <w:szCs w:val="22"/>
        </w:rPr>
        <w:t xml:space="preserve"> </w:t>
      </w:r>
      <w:r>
        <w:rPr>
          <w:rFonts w:cs="Arial"/>
          <w:b w:val="0"/>
          <w:sz w:val="22"/>
          <w:szCs w:val="22"/>
        </w:rPr>
        <w:t xml:space="preserve">and passed unanimously. </w:t>
      </w:r>
    </w:p>
    <w:p w14:paraId="27007306" w14:textId="77777777" w:rsidR="009F6C82" w:rsidRDefault="009F6C82" w:rsidP="00CB5969">
      <w:pPr>
        <w:tabs>
          <w:tab w:val="left" w:pos="720"/>
        </w:tabs>
        <w:rPr>
          <w:rFonts w:ascii="Arial" w:hAnsi="Arial" w:cs="Arial"/>
          <w:sz w:val="22"/>
          <w:szCs w:val="22"/>
        </w:rPr>
      </w:pPr>
    </w:p>
    <w:p w14:paraId="5749624E" w14:textId="0B63DFB3" w:rsidR="009F6C82" w:rsidRDefault="009F6C82" w:rsidP="009F6C82">
      <w:pPr>
        <w:rPr>
          <w:rFonts w:ascii="Arial" w:hAnsi="Arial" w:cs="Arial"/>
          <w:sz w:val="22"/>
          <w:szCs w:val="22"/>
        </w:rPr>
      </w:pPr>
      <w:r>
        <w:rPr>
          <w:rFonts w:ascii="Arial" w:hAnsi="Arial" w:cs="Arial"/>
          <w:sz w:val="22"/>
          <w:szCs w:val="22"/>
        </w:rPr>
        <w:t xml:space="preserve">At </w:t>
      </w:r>
      <w:r w:rsidR="00AE29BE">
        <w:rPr>
          <w:rFonts w:ascii="Arial" w:hAnsi="Arial" w:cs="Arial"/>
          <w:sz w:val="22"/>
          <w:szCs w:val="22"/>
        </w:rPr>
        <w:t>10</w:t>
      </w:r>
      <w:r>
        <w:rPr>
          <w:rFonts w:ascii="Arial" w:hAnsi="Arial" w:cs="Arial"/>
          <w:sz w:val="22"/>
          <w:szCs w:val="22"/>
        </w:rPr>
        <w:t>:</w:t>
      </w:r>
      <w:r w:rsidR="00376387">
        <w:rPr>
          <w:rFonts w:ascii="Arial" w:hAnsi="Arial" w:cs="Arial"/>
          <w:sz w:val="22"/>
          <w:szCs w:val="22"/>
        </w:rPr>
        <w:t>59</w:t>
      </w:r>
      <w:r>
        <w:rPr>
          <w:rFonts w:ascii="Arial" w:hAnsi="Arial" w:cs="Arial"/>
          <w:sz w:val="22"/>
          <w:szCs w:val="22"/>
        </w:rPr>
        <w:t xml:space="preserve"> </w:t>
      </w:r>
      <w:r w:rsidR="00AE29BE">
        <w:rPr>
          <w:rFonts w:ascii="Arial" w:hAnsi="Arial" w:cs="Arial"/>
          <w:sz w:val="22"/>
          <w:szCs w:val="22"/>
        </w:rPr>
        <w:t>A</w:t>
      </w:r>
      <w:r>
        <w:rPr>
          <w:rFonts w:ascii="Arial" w:hAnsi="Arial" w:cs="Arial"/>
          <w:sz w:val="22"/>
          <w:szCs w:val="22"/>
        </w:rPr>
        <w:t>M the board moved into an executive session.</w:t>
      </w:r>
    </w:p>
    <w:p w14:paraId="77C50DBC" w14:textId="77777777" w:rsidR="009F6C82" w:rsidRDefault="009F6C82" w:rsidP="00F2611C">
      <w:pPr>
        <w:rPr>
          <w:rFonts w:ascii="Arial" w:hAnsi="Arial" w:cs="Arial"/>
          <w:sz w:val="22"/>
          <w:szCs w:val="22"/>
        </w:rPr>
      </w:pPr>
    </w:p>
    <w:p w14:paraId="73764BC8" w14:textId="69AFA42B" w:rsidR="00A57B76" w:rsidRPr="00D71440" w:rsidRDefault="00623EB2" w:rsidP="00493EEA">
      <w:pPr>
        <w:pStyle w:val="Heading2"/>
        <w:tabs>
          <w:tab w:val="clear" w:pos="-720"/>
          <w:tab w:val="clear" w:pos="9360"/>
          <w:tab w:val="left" w:pos="900"/>
        </w:tabs>
        <w:ind w:left="2160" w:hanging="2160"/>
        <w:jc w:val="both"/>
        <w:rPr>
          <w:rFonts w:cs="Arial"/>
          <w:sz w:val="22"/>
          <w:szCs w:val="22"/>
        </w:rPr>
      </w:pPr>
      <w:r>
        <w:rPr>
          <w:rFonts w:cs="Arial"/>
          <w:sz w:val="22"/>
          <w:szCs w:val="22"/>
        </w:rPr>
        <w:tab/>
      </w:r>
    </w:p>
    <w:p w14:paraId="001072C7" w14:textId="703EF307" w:rsidR="0002459C" w:rsidRPr="00721761" w:rsidRDefault="00721761" w:rsidP="009B04B9">
      <w:pPr>
        <w:tabs>
          <w:tab w:val="left" w:pos="720"/>
          <w:tab w:val="left" w:pos="1440"/>
          <w:tab w:val="left" w:pos="2160"/>
        </w:tabs>
        <w:rPr>
          <w:rFonts w:ascii="Arial" w:hAnsi="Arial"/>
          <w:b/>
          <w:sz w:val="22"/>
          <w:szCs w:val="22"/>
        </w:rPr>
      </w:pPr>
      <w:r w:rsidRPr="00721761">
        <w:rPr>
          <w:rFonts w:ascii="Arial" w:hAnsi="Arial"/>
          <w:b/>
          <w:sz w:val="22"/>
          <w:szCs w:val="22"/>
        </w:rPr>
        <w:t>RETURN TO OPEN SESSION</w:t>
      </w:r>
    </w:p>
    <w:p w14:paraId="738A8173" w14:textId="28AE2AF9" w:rsidR="00A57B76" w:rsidRDefault="000212C1" w:rsidP="00493EEA">
      <w:pPr>
        <w:tabs>
          <w:tab w:val="left" w:pos="720"/>
          <w:tab w:val="left" w:pos="1440"/>
          <w:tab w:val="left" w:pos="2160"/>
        </w:tabs>
        <w:jc w:val="both"/>
        <w:rPr>
          <w:rFonts w:ascii="Arial" w:hAnsi="Arial"/>
          <w:sz w:val="22"/>
          <w:szCs w:val="22"/>
        </w:rPr>
      </w:pPr>
      <w:r>
        <w:rPr>
          <w:rFonts w:ascii="Arial" w:hAnsi="Arial"/>
          <w:sz w:val="22"/>
          <w:szCs w:val="22"/>
        </w:rPr>
        <w:t xml:space="preserve">At the end of the executive session, the board moved to return to open session with a continuation of the meeting at </w:t>
      </w:r>
      <w:r w:rsidR="00AE29BE">
        <w:rPr>
          <w:rFonts w:ascii="Arial" w:hAnsi="Arial"/>
          <w:sz w:val="22"/>
          <w:szCs w:val="22"/>
        </w:rPr>
        <w:t>11</w:t>
      </w:r>
      <w:r w:rsidR="00E41A9C">
        <w:rPr>
          <w:rFonts w:ascii="Arial" w:hAnsi="Arial"/>
          <w:sz w:val="22"/>
          <w:szCs w:val="22"/>
        </w:rPr>
        <w:t>:22</w:t>
      </w:r>
      <w:r w:rsidR="00AE29BE">
        <w:rPr>
          <w:rFonts w:ascii="Arial" w:hAnsi="Arial"/>
          <w:sz w:val="22"/>
          <w:szCs w:val="22"/>
        </w:rPr>
        <w:t xml:space="preserve"> A</w:t>
      </w:r>
      <w:r w:rsidR="00FE3732">
        <w:rPr>
          <w:rFonts w:ascii="Arial" w:hAnsi="Arial"/>
          <w:sz w:val="22"/>
          <w:szCs w:val="22"/>
        </w:rPr>
        <w:t>M</w:t>
      </w:r>
      <w:r>
        <w:rPr>
          <w:rFonts w:ascii="Arial" w:hAnsi="Arial"/>
          <w:sz w:val="22"/>
          <w:szCs w:val="22"/>
        </w:rPr>
        <w:t>.</w:t>
      </w:r>
      <w:r w:rsidR="00FE3732">
        <w:rPr>
          <w:rFonts w:ascii="Arial" w:hAnsi="Arial"/>
          <w:sz w:val="22"/>
          <w:szCs w:val="22"/>
        </w:rPr>
        <w:t xml:space="preserve">  </w:t>
      </w:r>
      <w:r w:rsidR="00E04FC0">
        <w:rPr>
          <w:rFonts w:ascii="Arial" w:hAnsi="Arial"/>
          <w:sz w:val="22"/>
          <w:szCs w:val="22"/>
        </w:rPr>
        <w:t xml:space="preserve">The Chair asked for a motion to approve the </w:t>
      </w:r>
      <w:r w:rsidR="0071448A">
        <w:rPr>
          <w:rFonts w:ascii="Arial" w:hAnsi="Arial"/>
          <w:sz w:val="22"/>
          <w:szCs w:val="22"/>
        </w:rPr>
        <w:t xml:space="preserve">recommendations </w:t>
      </w:r>
      <w:r>
        <w:rPr>
          <w:rFonts w:ascii="Arial" w:hAnsi="Arial"/>
          <w:sz w:val="22"/>
          <w:szCs w:val="22"/>
        </w:rPr>
        <w:t>of the performance review</w:t>
      </w:r>
      <w:r w:rsidR="00AE29BE">
        <w:rPr>
          <w:rFonts w:ascii="Arial" w:hAnsi="Arial"/>
          <w:sz w:val="22"/>
          <w:szCs w:val="22"/>
        </w:rPr>
        <w:t xml:space="preserve"> workgroup</w:t>
      </w:r>
      <w:r w:rsidR="00E04FC0">
        <w:rPr>
          <w:rFonts w:ascii="Arial" w:hAnsi="Arial"/>
          <w:sz w:val="22"/>
          <w:szCs w:val="22"/>
        </w:rPr>
        <w:t xml:space="preserve">.  </w:t>
      </w:r>
    </w:p>
    <w:p w14:paraId="70738D01" w14:textId="1BF5445F" w:rsidR="00A57B76" w:rsidRDefault="00A57B76" w:rsidP="00DD7A8A">
      <w:pPr>
        <w:tabs>
          <w:tab w:val="left" w:pos="720"/>
          <w:tab w:val="left" w:pos="2160"/>
        </w:tabs>
        <w:jc w:val="both"/>
        <w:rPr>
          <w:rFonts w:ascii="Arial" w:hAnsi="Arial"/>
          <w:sz w:val="22"/>
          <w:szCs w:val="22"/>
        </w:rPr>
      </w:pPr>
    </w:p>
    <w:p w14:paraId="10F39261" w14:textId="73CFF029" w:rsidR="00DD7A8A" w:rsidRDefault="00A57B76" w:rsidP="00CB5969">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B5969">
        <w:rPr>
          <w:rFonts w:cs="Arial"/>
          <w:sz w:val="22"/>
          <w:szCs w:val="22"/>
        </w:rPr>
        <w:t>:</w:t>
      </w:r>
      <w:r w:rsidRPr="00CB5969">
        <w:rPr>
          <w:rFonts w:cs="Arial"/>
          <w:sz w:val="22"/>
          <w:szCs w:val="22"/>
        </w:rPr>
        <w:tab/>
      </w:r>
      <w:r w:rsidR="00E41A9C" w:rsidRPr="00E41A9C">
        <w:rPr>
          <w:rFonts w:cs="Arial"/>
          <w:b w:val="0"/>
          <w:sz w:val="22"/>
          <w:szCs w:val="22"/>
        </w:rPr>
        <w:t>Senator Jerry Stevenson</w:t>
      </w:r>
      <w:r w:rsidR="00AE29BE">
        <w:rPr>
          <w:rFonts w:cs="Arial"/>
          <w:b w:val="0"/>
          <w:sz w:val="22"/>
          <w:szCs w:val="22"/>
        </w:rPr>
        <w:t xml:space="preserve"> </w:t>
      </w:r>
      <w:r w:rsidRPr="00CB5969">
        <w:rPr>
          <w:rFonts w:cs="Arial"/>
          <w:b w:val="0"/>
          <w:sz w:val="22"/>
          <w:szCs w:val="22"/>
        </w:rPr>
        <w:t xml:space="preserve">moved </w:t>
      </w:r>
      <w:r w:rsidR="00E04FC0" w:rsidRPr="00CB5969">
        <w:rPr>
          <w:rFonts w:cs="Arial"/>
          <w:b w:val="0"/>
          <w:sz w:val="22"/>
          <w:szCs w:val="22"/>
        </w:rPr>
        <w:t xml:space="preserve">that we accept the recommendations from </w:t>
      </w:r>
      <w:r w:rsidR="00AE29BE">
        <w:rPr>
          <w:rFonts w:cs="Arial"/>
          <w:b w:val="0"/>
          <w:sz w:val="22"/>
          <w:szCs w:val="22"/>
        </w:rPr>
        <w:t>the performance review workgroup and</w:t>
      </w:r>
      <w:r w:rsidR="00E41A9C">
        <w:rPr>
          <w:rFonts w:cs="Arial"/>
          <w:b w:val="0"/>
          <w:sz w:val="22"/>
          <w:szCs w:val="22"/>
        </w:rPr>
        <w:t xml:space="preserve"> </w:t>
      </w:r>
      <w:r w:rsidR="000212C1">
        <w:rPr>
          <w:rFonts w:cs="Arial"/>
          <w:b w:val="0"/>
          <w:sz w:val="22"/>
          <w:szCs w:val="22"/>
        </w:rPr>
        <w:t>approve</w:t>
      </w:r>
      <w:r w:rsidR="00493EEA">
        <w:rPr>
          <w:rFonts w:cs="Arial"/>
          <w:b w:val="0"/>
          <w:sz w:val="22"/>
          <w:szCs w:val="22"/>
        </w:rPr>
        <w:t xml:space="preserve"> a </w:t>
      </w:r>
      <w:r w:rsidR="00E41A9C">
        <w:rPr>
          <w:rFonts w:cs="Arial"/>
          <w:b w:val="0"/>
          <w:sz w:val="22"/>
          <w:szCs w:val="22"/>
        </w:rPr>
        <w:t xml:space="preserve">5% increase </w:t>
      </w:r>
      <w:r w:rsidR="00493EEA">
        <w:rPr>
          <w:rFonts w:cs="Arial"/>
          <w:b w:val="0"/>
          <w:sz w:val="22"/>
          <w:szCs w:val="22"/>
        </w:rPr>
        <w:t xml:space="preserve">to </w:t>
      </w:r>
      <w:r w:rsidR="004C265F">
        <w:rPr>
          <w:rFonts w:cs="Arial"/>
          <w:b w:val="0"/>
          <w:sz w:val="22"/>
          <w:szCs w:val="22"/>
        </w:rPr>
        <w:t xml:space="preserve">the </w:t>
      </w:r>
      <w:r w:rsidR="00493EEA">
        <w:rPr>
          <w:rFonts w:cs="Arial"/>
          <w:b w:val="0"/>
          <w:sz w:val="22"/>
          <w:szCs w:val="22"/>
        </w:rPr>
        <w:t>Director</w:t>
      </w:r>
      <w:r w:rsidR="000212C1">
        <w:rPr>
          <w:rFonts w:cs="Arial"/>
          <w:b w:val="0"/>
          <w:sz w:val="22"/>
          <w:szCs w:val="22"/>
        </w:rPr>
        <w:t>’s</w:t>
      </w:r>
      <w:r w:rsidR="00493EEA">
        <w:rPr>
          <w:rFonts w:cs="Arial"/>
          <w:b w:val="0"/>
          <w:sz w:val="22"/>
          <w:szCs w:val="22"/>
        </w:rPr>
        <w:t xml:space="preserve"> salary</w:t>
      </w:r>
      <w:r w:rsidR="003E08EC">
        <w:rPr>
          <w:rFonts w:cs="Arial"/>
          <w:b w:val="0"/>
          <w:sz w:val="22"/>
          <w:szCs w:val="22"/>
        </w:rPr>
        <w:t xml:space="preserve"> and commended the Director for his excellent work</w:t>
      </w:r>
      <w:r w:rsidR="00493EEA">
        <w:rPr>
          <w:rFonts w:cs="Arial"/>
          <w:b w:val="0"/>
          <w:sz w:val="22"/>
          <w:szCs w:val="22"/>
        </w:rPr>
        <w:t xml:space="preserve">. </w:t>
      </w:r>
      <w:r w:rsidRPr="00CB5969">
        <w:rPr>
          <w:rFonts w:cs="Arial"/>
          <w:b w:val="0"/>
          <w:sz w:val="22"/>
          <w:szCs w:val="22"/>
        </w:rPr>
        <w:t>The motion was seconded by</w:t>
      </w:r>
      <w:r w:rsidR="00E41A9C">
        <w:rPr>
          <w:rFonts w:cs="Arial"/>
          <w:b w:val="0"/>
          <w:sz w:val="22"/>
          <w:szCs w:val="22"/>
        </w:rPr>
        <w:t xml:space="preserve"> Mayor Troy Walker</w:t>
      </w:r>
      <w:r w:rsidR="003E08EC">
        <w:rPr>
          <w:rFonts w:cs="Arial"/>
          <w:b w:val="0"/>
          <w:sz w:val="22"/>
          <w:szCs w:val="22"/>
        </w:rPr>
        <w:t>.</w:t>
      </w:r>
    </w:p>
    <w:p w14:paraId="0FBD437E" w14:textId="77777777" w:rsidR="00DD7A8A" w:rsidRPr="00CB5969" w:rsidRDefault="00DD7A8A" w:rsidP="00CB5969">
      <w:pPr>
        <w:pStyle w:val="Heading2"/>
        <w:tabs>
          <w:tab w:val="clear" w:pos="-720"/>
          <w:tab w:val="clear" w:pos="720"/>
          <w:tab w:val="clear" w:pos="9360"/>
          <w:tab w:val="left" w:pos="810"/>
          <w:tab w:val="left" w:pos="900"/>
        </w:tabs>
        <w:ind w:left="2160" w:hanging="2160"/>
        <w:jc w:val="both"/>
        <w:rPr>
          <w:rFonts w:cs="Arial"/>
          <w:sz w:val="22"/>
          <w:szCs w:val="22"/>
        </w:rPr>
      </w:pPr>
    </w:p>
    <w:p w14:paraId="4F2AFF59" w14:textId="57FC716F" w:rsidR="00493EEA" w:rsidRDefault="00DD7A8A" w:rsidP="001E628F">
      <w:pPr>
        <w:pStyle w:val="Heading2"/>
        <w:tabs>
          <w:tab w:val="clear" w:pos="1080"/>
          <w:tab w:val="clear" w:pos="9360"/>
          <w:tab w:val="left" w:pos="6930"/>
        </w:tabs>
        <w:ind w:left="720" w:hanging="720"/>
        <w:jc w:val="both"/>
        <w:rPr>
          <w:rFonts w:cs="Arial"/>
          <w:b w:val="0"/>
          <w:sz w:val="22"/>
          <w:szCs w:val="22"/>
        </w:rPr>
      </w:pPr>
      <w:r>
        <w:rPr>
          <w:rFonts w:cs="Arial"/>
          <w:b w:val="0"/>
          <w:sz w:val="22"/>
          <w:szCs w:val="22"/>
        </w:rPr>
        <w:tab/>
      </w:r>
      <w:r w:rsidR="00493EEA">
        <w:rPr>
          <w:rFonts w:cs="Arial"/>
          <w:sz w:val="22"/>
          <w:szCs w:val="22"/>
        </w:rPr>
        <w:t xml:space="preserve">COMMENTS </w:t>
      </w:r>
      <w:r w:rsidRPr="00DD7A8A">
        <w:rPr>
          <w:rFonts w:cs="Arial"/>
          <w:sz w:val="22"/>
          <w:szCs w:val="22"/>
        </w:rPr>
        <w:t>TO THE MOTION</w:t>
      </w:r>
      <w:r>
        <w:rPr>
          <w:rFonts w:cs="Arial"/>
          <w:b w:val="0"/>
          <w:sz w:val="22"/>
          <w:szCs w:val="22"/>
        </w:rPr>
        <w:t>:</w:t>
      </w:r>
      <w:r w:rsidR="00493EEA">
        <w:rPr>
          <w:rFonts w:cs="Arial"/>
          <w:b w:val="0"/>
          <w:sz w:val="22"/>
          <w:szCs w:val="22"/>
        </w:rPr>
        <w:t xml:space="preserve">  </w:t>
      </w:r>
    </w:p>
    <w:p w14:paraId="0728806D" w14:textId="70218E05" w:rsidR="00E41A9C" w:rsidRPr="00493EEA" w:rsidRDefault="00493EEA" w:rsidP="003E08EC">
      <w:pPr>
        <w:pStyle w:val="Heading2"/>
        <w:tabs>
          <w:tab w:val="clear" w:pos="1080"/>
          <w:tab w:val="clear" w:pos="9360"/>
          <w:tab w:val="left" w:pos="6930"/>
        </w:tabs>
        <w:ind w:left="720" w:hanging="720"/>
        <w:jc w:val="both"/>
        <w:rPr>
          <w:rFonts w:cs="Arial"/>
          <w:sz w:val="22"/>
          <w:szCs w:val="22"/>
        </w:rPr>
      </w:pPr>
      <w:r>
        <w:rPr>
          <w:rFonts w:cs="Arial"/>
          <w:sz w:val="22"/>
          <w:szCs w:val="22"/>
        </w:rPr>
        <w:tab/>
      </w:r>
      <w:r w:rsidRPr="00493EEA">
        <w:rPr>
          <w:rFonts w:cs="Arial"/>
          <w:b w:val="0"/>
          <w:sz w:val="22"/>
          <w:szCs w:val="22"/>
        </w:rPr>
        <w:t>Mayor Troy Walker</w:t>
      </w:r>
      <w:r w:rsidR="003E08EC">
        <w:rPr>
          <w:rFonts w:cs="Arial"/>
          <w:b w:val="0"/>
          <w:sz w:val="22"/>
          <w:szCs w:val="22"/>
        </w:rPr>
        <w:t>, April Cooper and Mayor Dawn Ramsey expressed their support and appreciation to the Director indicating that he is the right person for the job and commended him for his expertise, guidance and professionalism.  The board is fortunate to have his direction</w:t>
      </w:r>
      <w:r w:rsidR="00C22B71">
        <w:rPr>
          <w:rFonts w:cs="Arial"/>
          <w:b w:val="0"/>
          <w:sz w:val="22"/>
          <w:szCs w:val="22"/>
        </w:rPr>
        <w:t>.</w:t>
      </w:r>
      <w:r w:rsidR="00E41A9C" w:rsidRPr="00493EEA">
        <w:rPr>
          <w:rFonts w:cs="Arial"/>
          <w:sz w:val="22"/>
          <w:szCs w:val="22"/>
        </w:rPr>
        <w:t xml:space="preserve"> </w:t>
      </w:r>
    </w:p>
    <w:p w14:paraId="77851D82" w14:textId="5645F6CA" w:rsidR="00BC0016" w:rsidRPr="00493EEA" w:rsidRDefault="00EE295C" w:rsidP="000E590D">
      <w:pPr>
        <w:pStyle w:val="Heading2"/>
        <w:tabs>
          <w:tab w:val="clear" w:pos="1080"/>
          <w:tab w:val="clear" w:pos="9360"/>
          <w:tab w:val="left" w:pos="6930"/>
        </w:tabs>
        <w:ind w:left="720" w:hanging="720"/>
        <w:rPr>
          <w:rFonts w:cs="Arial"/>
          <w:b w:val="0"/>
          <w:sz w:val="22"/>
          <w:szCs w:val="22"/>
        </w:rPr>
      </w:pPr>
      <w:r w:rsidRPr="00493EEA">
        <w:rPr>
          <w:rFonts w:cs="Arial"/>
          <w:b w:val="0"/>
          <w:sz w:val="22"/>
          <w:szCs w:val="22"/>
        </w:rPr>
        <w:tab/>
      </w:r>
    </w:p>
    <w:p w14:paraId="2C3F3761" w14:textId="77777777" w:rsidR="00493EEA" w:rsidRPr="00493EEA" w:rsidRDefault="00493EEA" w:rsidP="003E08EC">
      <w:pPr>
        <w:ind w:left="1440" w:firstLine="720"/>
        <w:rPr>
          <w:rFonts w:ascii="Arial" w:hAnsi="Arial" w:cs="Arial"/>
          <w:sz w:val="22"/>
          <w:szCs w:val="22"/>
        </w:rPr>
      </w:pPr>
      <w:r w:rsidRPr="00493EEA">
        <w:rPr>
          <w:rFonts w:ascii="Arial" w:hAnsi="Arial" w:cs="Arial"/>
          <w:sz w:val="22"/>
          <w:szCs w:val="22"/>
        </w:rPr>
        <w:t>The motion passed unanimously.</w:t>
      </w:r>
    </w:p>
    <w:p w14:paraId="6919E93D" w14:textId="5ECF1B1B" w:rsidR="000E590D" w:rsidRDefault="000E590D" w:rsidP="003D6F82">
      <w:pPr>
        <w:tabs>
          <w:tab w:val="left" w:pos="720"/>
          <w:tab w:val="left" w:pos="2160"/>
        </w:tabs>
        <w:rPr>
          <w:rFonts w:ascii="Arial" w:hAnsi="Arial"/>
          <w:sz w:val="22"/>
          <w:szCs w:val="22"/>
        </w:rPr>
      </w:pPr>
      <w:bookmarkStart w:id="1" w:name="_GoBack"/>
      <w:bookmarkEnd w:id="1"/>
    </w:p>
    <w:p w14:paraId="4A4FC8E1" w14:textId="77777777" w:rsidR="004C265F" w:rsidRPr="003D6F82" w:rsidRDefault="004C265F" w:rsidP="003D6F82">
      <w:pPr>
        <w:tabs>
          <w:tab w:val="left" w:pos="720"/>
          <w:tab w:val="left" w:pos="216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5068E040" w14:textId="382C198D"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E41A9C">
        <w:rPr>
          <w:rFonts w:ascii="Arial" w:hAnsi="Arial"/>
          <w:sz w:val="22"/>
          <w:szCs w:val="22"/>
        </w:rPr>
        <w:t xml:space="preserve"> </w:t>
      </w:r>
      <w:r w:rsidR="00493EEA">
        <w:rPr>
          <w:rFonts w:ascii="Arial" w:hAnsi="Arial"/>
          <w:sz w:val="22"/>
          <w:szCs w:val="22"/>
        </w:rPr>
        <w:t>expressed appreciation for Director Matheson</w:t>
      </w:r>
      <w:r w:rsidR="003E08EC">
        <w:rPr>
          <w:rFonts w:ascii="Arial" w:hAnsi="Arial"/>
          <w:sz w:val="22"/>
          <w:szCs w:val="22"/>
        </w:rPr>
        <w:t xml:space="preserve"> leadership</w:t>
      </w:r>
      <w:r w:rsidR="00493EEA">
        <w:rPr>
          <w:rFonts w:ascii="Arial" w:hAnsi="Arial"/>
          <w:sz w:val="22"/>
          <w:szCs w:val="22"/>
        </w:rPr>
        <w:t xml:space="preserve"> and noted that his lists of accomplishments are outstanding.  </w:t>
      </w:r>
      <w:r w:rsidR="00E41A9C">
        <w:rPr>
          <w:rFonts w:ascii="Arial" w:hAnsi="Arial"/>
          <w:sz w:val="22"/>
          <w:szCs w:val="22"/>
        </w:rPr>
        <w:t>The Chair</w:t>
      </w:r>
      <w:r>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7FE972ED"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493EEA">
        <w:rPr>
          <w:rFonts w:cs="Arial"/>
          <w:b w:val="0"/>
          <w:sz w:val="22"/>
          <w:szCs w:val="22"/>
        </w:rPr>
        <w:t xml:space="preserve">Representative </w:t>
      </w:r>
      <w:r w:rsidR="00E41A9C">
        <w:rPr>
          <w:rFonts w:cs="Arial"/>
          <w:b w:val="0"/>
          <w:sz w:val="22"/>
          <w:szCs w:val="22"/>
        </w:rPr>
        <w:t>Steve Handy</w:t>
      </w:r>
      <w:r w:rsidR="001E628F">
        <w:rPr>
          <w:rFonts w:cs="Arial"/>
          <w:b w:val="0"/>
          <w:sz w:val="22"/>
          <w:szCs w:val="22"/>
        </w:rPr>
        <w:t xml:space="preserve"> </w:t>
      </w:r>
      <w:r w:rsidR="009E2F07" w:rsidRPr="00C70ED0">
        <w:rPr>
          <w:rFonts w:cs="Arial"/>
          <w:b w:val="0"/>
          <w:sz w:val="22"/>
          <w:szCs w:val="22"/>
        </w:rPr>
        <w:t>moved to adjourn the meeting. The motion was second</w:t>
      </w:r>
      <w:r w:rsidR="00986EBF">
        <w:rPr>
          <w:rFonts w:cs="Arial"/>
          <w:b w:val="0"/>
          <w:sz w:val="22"/>
          <w:szCs w:val="22"/>
        </w:rPr>
        <w:t>ed by</w:t>
      </w:r>
      <w:r w:rsidR="00B045B2">
        <w:rPr>
          <w:rFonts w:cs="Arial"/>
          <w:b w:val="0"/>
          <w:sz w:val="22"/>
          <w:szCs w:val="22"/>
        </w:rPr>
        <w:t xml:space="preserve"> </w:t>
      </w:r>
      <w:r w:rsidR="00E41A9C">
        <w:rPr>
          <w:rFonts w:cs="Arial"/>
          <w:b w:val="0"/>
          <w:sz w:val="22"/>
          <w:szCs w:val="22"/>
        </w:rPr>
        <w:t>Jim Russell</w:t>
      </w:r>
      <w:r w:rsidR="007E64EC">
        <w:rPr>
          <w:rFonts w:cs="Arial"/>
          <w:b w:val="0"/>
          <w:sz w:val="22"/>
          <w:szCs w:val="22"/>
        </w:rPr>
        <w:t xml:space="preserve"> and passed unanimously</w:t>
      </w:r>
      <w:r w:rsidR="009E2F07" w:rsidRPr="00C70ED0">
        <w:rPr>
          <w:rFonts w:cs="Arial"/>
          <w:b w:val="0"/>
          <w:sz w:val="22"/>
          <w:szCs w:val="22"/>
        </w:rPr>
        <w:t>.</w:t>
      </w:r>
    </w:p>
    <w:p w14:paraId="180EAE41" w14:textId="77777777" w:rsidR="009E2F07" w:rsidRPr="00C70ED0" w:rsidRDefault="009E2F07" w:rsidP="000F1BE1">
      <w:pPr>
        <w:pStyle w:val="Default"/>
        <w:tabs>
          <w:tab w:val="left" w:pos="860"/>
        </w:tabs>
        <w:rPr>
          <w:sz w:val="22"/>
          <w:szCs w:val="22"/>
        </w:rPr>
      </w:pPr>
    </w:p>
    <w:p w14:paraId="5202BA26" w14:textId="54525C96"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1E628F">
        <w:rPr>
          <w:rFonts w:ascii="Arial" w:hAnsi="Arial"/>
          <w:sz w:val="22"/>
          <w:szCs w:val="22"/>
        </w:rPr>
        <w:t>11:</w:t>
      </w:r>
      <w:r w:rsidR="00E41A9C">
        <w:rPr>
          <w:rFonts w:ascii="Arial" w:hAnsi="Arial"/>
          <w:sz w:val="22"/>
          <w:szCs w:val="22"/>
        </w:rPr>
        <w:t>25</w:t>
      </w:r>
      <w:r w:rsidR="001E628F">
        <w:rPr>
          <w:rFonts w:ascii="Arial" w:hAnsi="Arial"/>
          <w:sz w:val="22"/>
          <w:szCs w:val="22"/>
        </w:rPr>
        <w:t xml:space="preserve"> A</w:t>
      </w:r>
      <w:r w:rsidR="006D41F9">
        <w:rPr>
          <w:rFonts w:ascii="Arial" w:hAnsi="Arial"/>
          <w:sz w:val="22"/>
          <w:szCs w:val="22"/>
        </w:rPr>
        <w:t>M</w:t>
      </w:r>
      <w:r w:rsidRPr="00C70ED0">
        <w:rPr>
          <w:rFonts w:ascii="Arial" w:hAnsi="Arial"/>
          <w:sz w:val="22"/>
          <w:szCs w:val="22"/>
        </w:rPr>
        <w:t>.</w:t>
      </w:r>
    </w:p>
    <w:sectPr w:rsidR="00E465B1" w:rsidSect="004C265F">
      <w:headerReference w:type="default" r:id="rId11"/>
      <w:endnotePr>
        <w:numFmt w:val="decimal"/>
      </w:endnotePr>
      <w:type w:val="continuous"/>
      <w:pgSz w:w="12240" w:h="15840" w:code="1"/>
      <w:pgMar w:top="1440" w:right="1350" w:bottom="135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322A" w14:textId="77777777" w:rsidR="008C03D4" w:rsidRDefault="008C03D4">
      <w:r>
        <w:separator/>
      </w:r>
    </w:p>
  </w:endnote>
  <w:endnote w:type="continuationSeparator" w:id="0">
    <w:p w14:paraId="7A1F0258" w14:textId="77777777" w:rsidR="008C03D4" w:rsidRDefault="008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4277" w14:textId="77777777" w:rsidR="008C03D4" w:rsidRDefault="008C03D4">
      <w:r>
        <w:separator/>
      </w:r>
    </w:p>
  </w:footnote>
  <w:footnote w:type="continuationSeparator" w:id="0">
    <w:p w14:paraId="3F6E8B06" w14:textId="77777777" w:rsidR="008C03D4" w:rsidRDefault="008C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65537EE4" w:rsidR="00CF4419" w:rsidRDefault="001E628F" w:rsidP="004134D1">
    <w:pPr>
      <w:ind w:right="360"/>
      <w:rPr>
        <w:rFonts w:ascii="Arial" w:hAnsi="Arial"/>
        <w:sz w:val="20"/>
      </w:rPr>
    </w:pPr>
    <w:r>
      <w:rPr>
        <w:rFonts w:ascii="Arial" w:hAnsi="Arial"/>
        <w:sz w:val="20"/>
      </w:rPr>
      <w:t>October 12</w:t>
    </w:r>
    <w:r w:rsidR="00D92745">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7052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B66B" id="Rectangle 1" o:spid="_x0000_s1026" style="position:absolute;margin-left:1in;margin-top:0;width:468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A0104"/>
    <w:multiLevelType w:val="hybridMultilevel"/>
    <w:tmpl w:val="3FE8F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D10AF"/>
    <w:multiLevelType w:val="hybridMultilevel"/>
    <w:tmpl w:val="99C6C4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14" w15:restartNumberingAfterBreak="0">
    <w:nsid w:val="688B7BF1"/>
    <w:multiLevelType w:val="hybridMultilevel"/>
    <w:tmpl w:val="3706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2C1"/>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4F4"/>
    <w:rsid w:val="0002751C"/>
    <w:rsid w:val="00027A53"/>
    <w:rsid w:val="00030736"/>
    <w:rsid w:val="00030973"/>
    <w:rsid w:val="00030A74"/>
    <w:rsid w:val="00030B92"/>
    <w:rsid w:val="00030FBB"/>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90D"/>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526"/>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7EB"/>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28F"/>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DF1"/>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05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C9"/>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9A0"/>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A71"/>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75B"/>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3F12"/>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2D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AAA"/>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387"/>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8E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9AC"/>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C6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6FCD"/>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3EEA"/>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63E"/>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65F"/>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68DC"/>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2F75"/>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592"/>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1"/>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74"/>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C19"/>
    <w:rsid w:val="00533EBF"/>
    <w:rsid w:val="00533EFF"/>
    <w:rsid w:val="005340C3"/>
    <w:rsid w:val="005340FB"/>
    <w:rsid w:val="00534BB0"/>
    <w:rsid w:val="00534EDF"/>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6A05"/>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1980"/>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199"/>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3EB2"/>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56E"/>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460"/>
    <w:rsid w:val="006B1D22"/>
    <w:rsid w:val="006B2703"/>
    <w:rsid w:val="006B2CCB"/>
    <w:rsid w:val="006B2E82"/>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62F"/>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48A"/>
    <w:rsid w:val="00714579"/>
    <w:rsid w:val="007146B4"/>
    <w:rsid w:val="00714C8F"/>
    <w:rsid w:val="0071502F"/>
    <w:rsid w:val="0071505F"/>
    <w:rsid w:val="007154B2"/>
    <w:rsid w:val="007155FE"/>
    <w:rsid w:val="0071566C"/>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78C"/>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C23"/>
    <w:rsid w:val="0078231F"/>
    <w:rsid w:val="007825A2"/>
    <w:rsid w:val="00782AC2"/>
    <w:rsid w:val="00782D56"/>
    <w:rsid w:val="0078309D"/>
    <w:rsid w:val="00783245"/>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9F"/>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858"/>
    <w:rsid w:val="007E4EF7"/>
    <w:rsid w:val="007E50EA"/>
    <w:rsid w:val="007E5328"/>
    <w:rsid w:val="007E5526"/>
    <w:rsid w:val="007E5794"/>
    <w:rsid w:val="007E57C7"/>
    <w:rsid w:val="007E5BCA"/>
    <w:rsid w:val="007E5D15"/>
    <w:rsid w:val="007E5DDE"/>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B14"/>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706"/>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3D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17"/>
    <w:rsid w:val="008D0663"/>
    <w:rsid w:val="008D0AA2"/>
    <w:rsid w:val="008D0CB2"/>
    <w:rsid w:val="008D0EC4"/>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02A"/>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2F7B"/>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0AD4"/>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3FDC"/>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B7B"/>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662"/>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00"/>
    <w:rsid w:val="009D2937"/>
    <w:rsid w:val="009D29C2"/>
    <w:rsid w:val="009D2C71"/>
    <w:rsid w:val="009D3026"/>
    <w:rsid w:val="009D386B"/>
    <w:rsid w:val="009D39BF"/>
    <w:rsid w:val="009D4560"/>
    <w:rsid w:val="009D45CB"/>
    <w:rsid w:val="009D4779"/>
    <w:rsid w:val="009D518D"/>
    <w:rsid w:val="009D5C69"/>
    <w:rsid w:val="009D5C9E"/>
    <w:rsid w:val="009D5D91"/>
    <w:rsid w:val="009D5F39"/>
    <w:rsid w:val="009D6A8E"/>
    <w:rsid w:val="009D6C87"/>
    <w:rsid w:val="009D740B"/>
    <w:rsid w:val="009D7517"/>
    <w:rsid w:val="009D7D0C"/>
    <w:rsid w:val="009D7DC9"/>
    <w:rsid w:val="009D7E52"/>
    <w:rsid w:val="009E03BF"/>
    <w:rsid w:val="009E051F"/>
    <w:rsid w:val="009E0C03"/>
    <w:rsid w:val="009E0D43"/>
    <w:rsid w:val="009E0E71"/>
    <w:rsid w:val="009E12EC"/>
    <w:rsid w:val="009E1461"/>
    <w:rsid w:val="009E16B5"/>
    <w:rsid w:val="009E1B0F"/>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6C82"/>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07DFA"/>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1C2"/>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57B76"/>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4EE1"/>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330"/>
    <w:rsid w:val="00AB35DC"/>
    <w:rsid w:val="00AB3708"/>
    <w:rsid w:val="00AB3807"/>
    <w:rsid w:val="00AB385C"/>
    <w:rsid w:val="00AB3BE1"/>
    <w:rsid w:val="00AB3FFF"/>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7C4"/>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9BE"/>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09F"/>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5BD"/>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4EF"/>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B34"/>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4B8C"/>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01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0E8"/>
    <w:rsid w:val="00BC412E"/>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B71"/>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0DED"/>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47BEE"/>
    <w:rsid w:val="00C50179"/>
    <w:rsid w:val="00C5047F"/>
    <w:rsid w:val="00C50A98"/>
    <w:rsid w:val="00C51065"/>
    <w:rsid w:val="00C511B5"/>
    <w:rsid w:val="00C5167F"/>
    <w:rsid w:val="00C51AE2"/>
    <w:rsid w:val="00C51E6F"/>
    <w:rsid w:val="00C527E1"/>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3C3"/>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4BC"/>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969"/>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1BE6"/>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66"/>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0D2C"/>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D37"/>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A8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4FC0"/>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9C"/>
    <w:rsid w:val="00E41AA4"/>
    <w:rsid w:val="00E41F80"/>
    <w:rsid w:val="00E4201E"/>
    <w:rsid w:val="00E42FC8"/>
    <w:rsid w:val="00E4315D"/>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D53"/>
    <w:rsid w:val="00E60F40"/>
    <w:rsid w:val="00E6145E"/>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16"/>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CA4"/>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6C4C"/>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95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55E"/>
    <w:rsid w:val="00F169F4"/>
    <w:rsid w:val="00F16CF8"/>
    <w:rsid w:val="00F171D6"/>
    <w:rsid w:val="00F177CB"/>
    <w:rsid w:val="00F17CFA"/>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2F43"/>
    <w:rsid w:val="00F530C7"/>
    <w:rsid w:val="00F53446"/>
    <w:rsid w:val="00F535FF"/>
    <w:rsid w:val="00F53936"/>
    <w:rsid w:val="00F53C77"/>
    <w:rsid w:val="00F53EC1"/>
    <w:rsid w:val="00F5425E"/>
    <w:rsid w:val="00F5459A"/>
    <w:rsid w:val="00F54817"/>
    <w:rsid w:val="00F5498F"/>
    <w:rsid w:val="00F54D0B"/>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210"/>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5E55"/>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17"/>
    <w:rsid w:val="00FB4B29"/>
    <w:rsid w:val="00FB511D"/>
    <w:rsid w:val="00FB5A54"/>
    <w:rsid w:val="00FB601B"/>
    <w:rsid w:val="00FB61DE"/>
    <w:rsid w:val="00FB6222"/>
    <w:rsid w:val="00FB6478"/>
    <w:rsid w:val="00FB655F"/>
    <w:rsid w:val="00FB6669"/>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66409077">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8E5F-1A0E-4D1A-BA9C-D4BD1BE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2</cp:revision>
  <cp:lastPrinted>2020-09-08T19:16:00Z</cp:lastPrinted>
  <dcterms:created xsi:type="dcterms:W3CDTF">2021-10-13T22:33:00Z</dcterms:created>
  <dcterms:modified xsi:type="dcterms:W3CDTF">2021-10-13T22:33:00Z</dcterms:modified>
</cp:coreProperties>
</file>