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8E49F" w14:textId="5E65E396" w:rsidR="009E5999" w:rsidRPr="009E5999" w:rsidRDefault="009E5999" w:rsidP="009E5999">
      <w:pPr>
        <w:rPr>
          <w:rFonts w:ascii="Courier" w:hAnsi="Courier"/>
          <w:b/>
          <w:bCs/>
        </w:rPr>
      </w:pPr>
      <w:r w:rsidRPr="009E5999">
        <w:rPr>
          <w:rFonts w:ascii="Courier" w:hAnsi="Courier"/>
          <w:b/>
          <w:bCs/>
        </w:rPr>
        <w:t>R671. Pardons (Board of), Administration.</w:t>
      </w:r>
    </w:p>
    <w:p w14:paraId="3918BCD4" w14:textId="77777777" w:rsidR="009E5999" w:rsidRPr="009E5999" w:rsidRDefault="009E5999" w:rsidP="009E5999">
      <w:pPr>
        <w:rPr>
          <w:rFonts w:ascii="Courier" w:hAnsi="Courier"/>
          <w:b/>
          <w:bCs/>
        </w:rPr>
      </w:pPr>
      <w:r w:rsidRPr="009E5999">
        <w:rPr>
          <w:rFonts w:ascii="Courier" w:hAnsi="Courier"/>
          <w:b/>
          <w:bCs/>
        </w:rPr>
        <w:t>R671-316. Redetermination.</w:t>
      </w:r>
    </w:p>
    <w:p w14:paraId="4010F34D" w14:textId="6C89A4AE" w:rsidR="009E5999" w:rsidRPr="009E5999" w:rsidRDefault="009E5999" w:rsidP="009E5999">
      <w:pPr>
        <w:rPr>
          <w:rFonts w:ascii="Courier" w:hAnsi="Courier"/>
          <w:b/>
          <w:bCs/>
        </w:rPr>
      </w:pPr>
      <w:r w:rsidRPr="009E5999">
        <w:rPr>
          <w:rFonts w:ascii="Courier" w:hAnsi="Courier"/>
          <w:b/>
          <w:bCs/>
        </w:rPr>
        <w:t>R671-316-1. Redetermination Review.</w:t>
      </w:r>
    </w:p>
    <w:p w14:paraId="2E8CA974" w14:textId="7DC1F7C9" w:rsidR="009E5999" w:rsidRPr="009E5999" w:rsidRDefault="009E5999" w:rsidP="009E5999">
      <w:pPr>
        <w:rPr>
          <w:rFonts w:ascii="Courier" w:hAnsi="Courier"/>
        </w:rPr>
      </w:pPr>
      <w:r w:rsidRPr="001074C8">
        <w:rPr>
          <w:rFonts w:ascii="Courier" w:hAnsi="Courier"/>
        </w:rPr>
        <w:t>(1)</w:t>
      </w:r>
      <w:r w:rsidRPr="009E5999">
        <w:rPr>
          <w:rFonts w:ascii="Courier" w:hAnsi="Courier"/>
        </w:rPr>
        <w:t xml:space="preserve"> Redetermination is a process whereby the Department of Corrections (Department)</w:t>
      </w:r>
      <w:r w:rsidRPr="009E5999">
        <w:rPr>
          <w:rFonts w:ascii="Courier" w:hAnsi="Courier"/>
          <w:u w:val="single"/>
        </w:rPr>
        <w:t>, a legal representative of the offender,</w:t>
      </w:r>
      <w:r w:rsidRPr="009E5999">
        <w:rPr>
          <w:rFonts w:ascii="Courier" w:hAnsi="Courier"/>
        </w:rPr>
        <w:t xml:space="preserve"> or </w:t>
      </w:r>
      <w:r w:rsidR="001074C8">
        <w:rPr>
          <w:rFonts w:ascii="Courier" w:hAnsi="Courier"/>
        </w:rPr>
        <w:t>[</w:t>
      </w:r>
      <w:r w:rsidRPr="009E5999">
        <w:rPr>
          <w:rFonts w:ascii="Courier" w:hAnsi="Courier"/>
          <w:strike/>
        </w:rPr>
        <w:t>an</w:t>
      </w:r>
      <w:r w:rsidR="001074C8" w:rsidRPr="001074C8">
        <w:rPr>
          <w:rFonts w:ascii="Courier" w:hAnsi="Courier"/>
        </w:rPr>
        <w:t>]</w:t>
      </w:r>
      <w:r>
        <w:rPr>
          <w:rFonts w:ascii="Courier" w:hAnsi="Courier"/>
          <w:u w:val="single"/>
        </w:rPr>
        <w:t>the</w:t>
      </w:r>
      <w:r w:rsidRPr="009E5999">
        <w:rPr>
          <w:rFonts w:ascii="Courier" w:hAnsi="Courier"/>
        </w:rPr>
        <w:t xml:space="preserve"> offender may request that the Board review new, material, and significant information, or reconsider a prior decision.</w:t>
      </w:r>
    </w:p>
    <w:p w14:paraId="6B2051A4" w14:textId="185BE157" w:rsidR="009E5999" w:rsidRPr="009E5999" w:rsidRDefault="009E5999" w:rsidP="009E5999">
      <w:pPr>
        <w:rPr>
          <w:rFonts w:ascii="Courier" w:hAnsi="Courier"/>
        </w:rPr>
      </w:pPr>
      <w:r w:rsidRPr="001074C8">
        <w:rPr>
          <w:rFonts w:ascii="Courier" w:hAnsi="Courier"/>
        </w:rPr>
        <w:t>(2)</w:t>
      </w:r>
      <w:r w:rsidRPr="009E5999">
        <w:rPr>
          <w:rFonts w:ascii="Courier" w:hAnsi="Courier"/>
        </w:rPr>
        <w:t xml:space="preserve"> Redetermination of a previous decision may be considered if:</w:t>
      </w:r>
    </w:p>
    <w:p w14:paraId="722631F5" w14:textId="7F3FE28F" w:rsidR="009E5999" w:rsidRPr="009E5999" w:rsidRDefault="009E5999" w:rsidP="009E5999">
      <w:pPr>
        <w:rPr>
          <w:rFonts w:ascii="Courier" w:hAnsi="Courier"/>
        </w:rPr>
      </w:pPr>
      <w:r w:rsidRPr="001074C8">
        <w:rPr>
          <w:rFonts w:ascii="Courier" w:hAnsi="Courier"/>
        </w:rPr>
        <w:t>(a)</w:t>
      </w:r>
      <w:r w:rsidRPr="009E5999">
        <w:rPr>
          <w:rFonts w:ascii="Courier" w:hAnsi="Courier"/>
        </w:rPr>
        <w:t xml:space="preserve"> the time requirements of this rule are </w:t>
      </w:r>
      <w:proofErr w:type="gramStart"/>
      <w:r w:rsidRPr="009E5999">
        <w:rPr>
          <w:rFonts w:ascii="Courier" w:hAnsi="Courier"/>
        </w:rPr>
        <w:t>met;</w:t>
      </w:r>
      <w:proofErr w:type="gramEnd"/>
    </w:p>
    <w:p w14:paraId="3A9803B2" w14:textId="50E386CD" w:rsidR="009E5999" w:rsidRPr="009E5999" w:rsidRDefault="009E5999" w:rsidP="009E5999">
      <w:pPr>
        <w:rPr>
          <w:rFonts w:ascii="Courier" w:hAnsi="Courier"/>
        </w:rPr>
      </w:pPr>
      <w:r w:rsidRPr="001074C8">
        <w:rPr>
          <w:rFonts w:ascii="Courier" w:hAnsi="Courier"/>
        </w:rPr>
        <w:t>(b)</w:t>
      </w:r>
      <w:r w:rsidRPr="009E5999">
        <w:rPr>
          <w:rFonts w:ascii="Courier" w:hAnsi="Courier"/>
        </w:rPr>
        <w:t xml:space="preserve"> the offender has no new criminal convictions since the entry of the decision for which redetermination is </w:t>
      </w:r>
      <w:proofErr w:type="gramStart"/>
      <w:r w:rsidRPr="009E5999">
        <w:rPr>
          <w:rFonts w:ascii="Courier" w:hAnsi="Courier"/>
        </w:rPr>
        <w:t>sought;</w:t>
      </w:r>
      <w:proofErr w:type="gramEnd"/>
    </w:p>
    <w:p w14:paraId="4B8FF676" w14:textId="38F2A81C" w:rsidR="009E5999" w:rsidRPr="009E5999" w:rsidRDefault="009E5999" w:rsidP="009E5999">
      <w:pPr>
        <w:rPr>
          <w:rFonts w:ascii="Courier" w:hAnsi="Courier"/>
        </w:rPr>
      </w:pPr>
      <w:r w:rsidRPr="001074C8">
        <w:rPr>
          <w:rFonts w:ascii="Courier" w:hAnsi="Courier"/>
        </w:rPr>
        <w:t>(</w:t>
      </w:r>
      <w:r w:rsidR="001074C8">
        <w:rPr>
          <w:rFonts w:ascii="Courier" w:hAnsi="Courier"/>
        </w:rPr>
        <w:t>c</w:t>
      </w:r>
      <w:r w:rsidRPr="001074C8">
        <w:rPr>
          <w:rFonts w:ascii="Courier" w:hAnsi="Courier"/>
        </w:rPr>
        <w:t>)</w:t>
      </w:r>
      <w:r w:rsidRPr="009E5999">
        <w:rPr>
          <w:rFonts w:ascii="Courier" w:hAnsi="Courier"/>
        </w:rPr>
        <w:t xml:space="preserve"> the offender has no pending major disciplinary violations; and</w:t>
      </w:r>
    </w:p>
    <w:p w14:paraId="25F2A9F6" w14:textId="787A7161" w:rsidR="009E5999" w:rsidRPr="009E5999" w:rsidRDefault="009E5999" w:rsidP="009E5999">
      <w:pPr>
        <w:rPr>
          <w:rFonts w:ascii="Courier" w:hAnsi="Courier"/>
        </w:rPr>
      </w:pPr>
      <w:r w:rsidRPr="001074C8">
        <w:rPr>
          <w:rFonts w:ascii="Courier" w:hAnsi="Courier"/>
        </w:rPr>
        <w:t>(d)</w:t>
      </w:r>
      <w:r w:rsidRPr="009E5999">
        <w:rPr>
          <w:rFonts w:ascii="Courier" w:hAnsi="Courier"/>
        </w:rPr>
        <w:t xml:space="preserve"> the Board </w:t>
      </w:r>
      <w:r w:rsidR="001074C8">
        <w:rPr>
          <w:rFonts w:ascii="Courier" w:hAnsi="Courier"/>
        </w:rPr>
        <w:t>[</w:t>
      </w:r>
      <w:r w:rsidRPr="001A2450">
        <w:rPr>
          <w:rFonts w:ascii="Courier" w:hAnsi="Courier"/>
          <w:strike/>
        </w:rPr>
        <w:t xml:space="preserve">finds that a significant and material change in circumstances has occurred which it has not previously </w:t>
      </w:r>
      <w:proofErr w:type="gramStart"/>
      <w:r w:rsidRPr="001A2450">
        <w:rPr>
          <w:rFonts w:ascii="Courier" w:hAnsi="Courier"/>
          <w:strike/>
        </w:rPr>
        <w:t>considered</w:t>
      </w:r>
      <w:r w:rsidR="001074C8" w:rsidRPr="001074C8">
        <w:rPr>
          <w:rFonts w:ascii="Courier" w:hAnsi="Courier"/>
        </w:rPr>
        <w:t>]</w:t>
      </w:r>
      <w:r w:rsidR="001A2450">
        <w:rPr>
          <w:rFonts w:ascii="Courier" w:hAnsi="Courier"/>
          <w:u w:val="single"/>
        </w:rPr>
        <w:t>finds</w:t>
      </w:r>
      <w:proofErr w:type="gramEnd"/>
      <w:r w:rsidR="001A2450">
        <w:rPr>
          <w:rFonts w:ascii="Courier" w:hAnsi="Courier"/>
          <w:u w:val="single"/>
        </w:rPr>
        <w:t xml:space="preserve"> cause to review the previous decision</w:t>
      </w:r>
      <w:r w:rsidRPr="009E5999">
        <w:rPr>
          <w:rFonts w:ascii="Courier" w:hAnsi="Courier"/>
        </w:rPr>
        <w:t>.</w:t>
      </w:r>
    </w:p>
    <w:p w14:paraId="61C026CB" w14:textId="68BF8A62" w:rsidR="009E5999" w:rsidRPr="009E5999" w:rsidRDefault="009E5999" w:rsidP="009E5999">
      <w:pPr>
        <w:rPr>
          <w:rFonts w:ascii="Courier" w:hAnsi="Courier"/>
        </w:rPr>
      </w:pPr>
      <w:r w:rsidRPr="001074C8">
        <w:rPr>
          <w:rFonts w:ascii="Courier" w:hAnsi="Courier"/>
        </w:rPr>
        <w:t>(3)</w:t>
      </w:r>
      <w:r w:rsidRPr="009E5999">
        <w:rPr>
          <w:rFonts w:ascii="Courier" w:hAnsi="Courier"/>
        </w:rPr>
        <w:t xml:space="preserve"> The Department</w:t>
      </w:r>
      <w:r w:rsidR="001A2450">
        <w:rPr>
          <w:rFonts w:ascii="Courier" w:hAnsi="Courier"/>
          <w:u w:val="single"/>
        </w:rPr>
        <w:t>, a legal representative of the offender,</w:t>
      </w:r>
      <w:r w:rsidRPr="009E5999">
        <w:rPr>
          <w:rFonts w:ascii="Courier" w:hAnsi="Courier"/>
        </w:rPr>
        <w:t xml:space="preserve"> or </w:t>
      </w:r>
      <w:r w:rsidR="001074C8">
        <w:rPr>
          <w:rFonts w:ascii="Courier" w:hAnsi="Courier"/>
        </w:rPr>
        <w:t>[</w:t>
      </w:r>
      <w:r w:rsidRPr="001A2450">
        <w:rPr>
          <w:rFonts w:ascii="Courier" w:hAnsi="Courier"/>
          <w:strike/>
        </w:rPr>
        <w:t>an</w:t>
      </w:r>
      <w:r w:rsidR="001074C8" w:rsidRPr="001074C8">
        <w:rPr>
          <w:rFonts w:ascii="Courier" w:hAnsi="Courier"/>
        </w:rPr>
        <w:t>]</w:t>
      </w:r>
      <w:r w:rsidR="001A2450">
        <w:rPr>
          <w:rFonts w:ascii="Courier" w:hAnsi="Courier"/>
          <w:u w:val="single"/>
        </w:rPr>
        <w:t>the</w:t>
      </w:r>
      <w:r w:rsidRPr="009E5999">
        <w:rPr>
          <w:rFonts w:ascii="Courier" w:hAnsi="Courier"/>
        </w:rPr>
        <w:t xml:space="preserve"> offender may submit a redetermination request, asking the Board to reconsider a prior decision, if:</w:t>
      </w:r>
    </w:p>
    <w:p w14:paraId="5E49D90A" w14:textId="55D63AD1" w:rsidR="009E5999" w:rsidRPr="009E5999" w:rsidRDefault="009E5999" w:rsidP="009E5999">
      <w:pPr>
        <w:rPr>
          <w:rFonts w:ascii="Courier" w:hAnsi="Courier"/>
        </w:rPr>
      </w:pPr>
      <w:r w:rsidRPr="001074C8">
        <w:rPr>
          <w:rFonts w:ascii="Courier" w:hAnsi="Courier"/>
        </w:rPr>
        <w:t>(a)</w:t>
      </w:r>
      <w:r w:rsidRPr="009E5999">
        <w:rPr>
          <w:rFonts w:ascii="Courier" w:hAnsi="Courier"/>
        </w:rPr>
        <w:t xml:space="preserve"> the decision ordered the expiration of a life sentence, and at least ten years have passed since the Board's decision or any subsequent redetermination </w:t>
      </w:r>
      <w:proofErr w:type="gramStart"/>
      <w:r w:rsidRPr="009E5999">
        <w:rPr>
          <w:rFonts w:ascii="Courier" w:hAnsi="Courier"/>
        </w:rPr>
        <w:t>decision;</w:t>
      </w:r>
      <w:proofErr w:type="gramEnd"/>
    </w:p>
    <w:p w14:paraId="0665167E" w14:textId="602FDCD1" w:rsidR="009E5999" w:rsidRPr="009E5999" w:rsidRDefault="009E5999" w:rsidP="009E5999">
      <w:pPr>
        <w:rPr>
          <w:rFonts w:ascii="Courier" w:hAnsi="Courier"/>
        </w:rPr>
      </w:pPr>
      <w:r w:rsidRPr="001074C8">
        <w:rPr>
          <w:rFonts w:ascii="Courier" w:hAnsi="Courier"/>
        </w:rPr>
        <w:t>(b)</w:t>
      </w:r>
      <w:r w:rsidRPr="009E5999">
        <w:rPr>
          <w:rFonts w:ascii="Courier" w:hAnsi="Courier"/>
        </w:rPr>
        <w:t xml:space="preserve"> the decision ordered a release, rehearing, or expiration of any sentence not involving the expiration of a life sentence, and at least five years have passed since the Board's decision or any subsequent redetermination decision; or</w:t>
      </w:r>
    </w:p>
    <w:p w14:paraId="36CE09F9" w14:textId="172D1F5B" w:rsidR="009E5999" w:rsidRPr="009E5999" w:rsidRDefault="009E5999" w:rsidP="009E5999">
      <w:pPr>
        <w:rPr>
          <w:rFonts w:ascii="Courier" w:hAnsi="Courier"/>
        </w:rPr>
      </w:pPr>
      <w:r w:rsidRPr="001074C8">
        <w:rPr>
          <w:rFonts w:ascii="Courier" w:hAnsi="Courier"/>
        </w:rPr>
        <w:t>(c)(</w:t>
      </w:r>
      <w:proofErr w:type="spellStart"/>
      <w:r w:rsidRPr="001074C8">
        <w:rPr>
          <w:rFonts w:ascii="Courier" w:hAnsi="Courier"/>
        </w:rPr>
        <w:t>i</w:t>
      </w:r>
      <w:proofErr w:type="spellEnd"/>
      <w:r w:rsidRPr="001074C8">
        <w:rPr>
          <w:rFonts w:ascii="Courier" w:hAnsi="Courier"/>
        </w:rPr>
        <w:t>)</w:t>
      </w:r>
      <w:r w:rsidRPr="009E5999">
        <w:rPr>
          <w:rFonts w:ascii="Courier" w:hAnsi="Courier"/>
        </w:rPr>
        <w:t xml:space="preserve"> the decision set an original hearing for a homicide offense, pursuant to Utah R. Admin. P. R671-201-1(3)(a</w:t>
      </w:r>
      <w:proofErr w:type="gramStart"/>
      <w:r w:rsidRPr="009E5999">
        <w:rPr>
          <w:rFonts w:ascii="Courier" w:hAnsi="Courier"/>
        </w:rPr>
        <w:t>);</w:t>
      </w:r>
      <w:proofErr w:type="gramEnd"/>
    </w:p>
    <w:p w14:paraId="4A3C852D" w14:textId="5A1308DB" w:rsidR="009E5999" w:rsidRPr="009E5999" w:rsidRDefault="009E5999" w:rsidP="009E5999">
      <w:pPr>
        <w:rPr>
          <w:rFonts w:ascii="Courier" w:hAnsi="Courier"/>
        </w:rPr>
      </w:pPr>
      <w:r w:rsidRPr="001074C8">
        <w:rPr>
          <w:rFonts w:ascii="Courier" w:hAnsi="Courier"/>
        </w:rPr>
        <w:t>(ii)</w:t>
      </w:r>
      <w:r w:rsidRPr="009E5999">
        <w:rPr>
          <w:rFonts w:ascii="Courier" w:hAnsi="Courier"/>
        </w:rPr>
        <w:t xml:space="preserve"> the original hearing was set more than fifteen years following the offender's arrival at the prison; and</w:t>
      </w:r>
    </w:p>
    <w:p w14:paraId="0ED34CF4" w14:textId="1EEC553E" w:rsidR="009E5999" w:rsidRPr="009E5999" w:rsidRDefault="009E5999" w:rsidP="009E5999">
      <w:pPr>
        <w:rPr>
          <w:rFonts w:ascii="Courier" w:hAnsi="Courier"/>
        </w:rPr>
      </w:pPr>
      <w:r w:rsidRPr="001074C8">
        <w:rPr>
          <w:rFonts w:ascii="Courier" w:hAnsi="Courier"/>
        </w:rPr>
        <w:t>(iii)</w:t>
      </w:r>
      <w:r w:rsidRPr="009E5999">
        <w:rPr>
          <w:rFonts w:ascii="Courier" w:hAnsi="Courier"/>
        </w:rPr>
        <w:t xml:space="preserve"> at least ten years have passed since the administrative review decision or any subsequent redetermination decision.</w:t>
      </w:r>
    </w:p>
    <w:p w14:paraId="258A141F" w14:textId="1669B61A" w:rsidR="009E5999" w:rsidRPr="009E5999" w:rsidRDefault="009E5999" w:rsidP="009E5999">
      <w:pPr>
        <w:rPr>
          <w:rFonts w:ascii="Courier" w:hAnsi="Courier"/>
        </w:rPr>
      </w:pPr>
      <w:r w:rsidRPr="00C207CA">
        <w:rPr>
          <w:rFonts w:ascii="Courier" w:hAnsi="Courier"/>
        </w:rPr>
        <w:t>(4)</w:t>
      </w:r>
      <w:r w:rsidRPr="00727BFB">
        <w:rPr>
          <w:rFonts w:ascii="Courier" w:hAnsi="Courier"/>
        </w:rPr>
        <w:t xml:space="preserve"> A redetermination request shall:</w:t>
      </w:r>
    </w:p>
    <w:p w14:paraId="5BBEF8CB" w14:textId="71C95A60" w:rsidR="009E5999" w:rsidRPr="009E5999" w:rsidRDefault="009E5999" w:rsidP="009E5999">
      <w:pPr>
        <w:rPr>
          <w:rFonts w:ascii="Courier" w:hAnsi="Courier"/>
        </w:rPr>
      </w:pPr>
      <w:r w:rsidRPr="00C207CA">
        <w:rPr>
          <w:rFonts w:ascii="Courier" w:hAnsi="Courier"/>
        </w:rPr>
        <w:t>(a)</w:t>
      </w:r>
      <w:r w:rsidRPr="009E5999">
        <w:rPr>
          <w:rFonts w:ascii="Courier" w:hAnsi="Courier"/>
        </w:rPr>
        <w:t xml:space="preserve"> clearly and specifically state the reasons supporting the redetermination </w:t>
      </w:r>
      <w:proofErr w:type="gramStart"/>
      <w:r w:rsidRPr="009E5999">
        <w:rPr>
          <w:rFonts w:ascii="Courier" w:hAnsi="Courier"/>
        </w:rPr>
        <w:t>request;</w:t>
      </w:r>
      <w:proofErr w:type="gramEnd"/>
    </w:p>
    <w:p w14:paraId="76A5F831" w14:textId="1C7FF23F" w:rsidR="009E5999" w:rsidRPr="009E5999" w:rsidRDefault="009E5999" w:rsidP="009E5999">
      <w:pPr>
        <w:rPr>
          <w:rFonts w:ascii="Courier" w:hAnsi="Courier"/>
        </w:rPr>
      </w:pPr>
      <w:r w:rsidRPr="00C207CA">
        <w:rPr>
          <w:rFonts w:ascii="Courier" w:hAnsi="Courier"/>
        </w:rPr>
        <w:t>(b)</w:t>
      </w:r>
      <w:r w:rsidRPr="009E5999">
        <w:rPr>
          <w:rFonts w:ascii="Courier" w:hAnsi="Courier"/>
        </w:rPr>
        <w:t xml:space="preserve"> include a current report detailing the offender's case action plan compliance, treatment participation and history, disciplinary history, and current risk assessment; and</w:t>
      </w:r>
    </w:p>
    <w:p w14:paraId="2E7B6D07" w14:textId="7C44887D" w:rsidR="009E5999" w:rsidRPr="009E5999" w:rsidRDefault="009E5999" w:rsidP="009E5999">
      <w:pPr>
        <w:rPr>
          <w:rFonts w:ascii="Courier" w:hAnsi="Courier"/>
        </w:rPr>
      </w:pPr>
      <w:r w:rsidRPr="00C207CA">
        <w:rPr>
          <w:rFonts w:ascii="Courier" w:hAnsi="Courier"/>
        </w:rPr>
        <w:t>(c)</w:t>
      </w:r>
      <w:r w:rsidRPr="009E5999">
        <w:rPr>
          <w:rFonts w:ascii="Courier" w:hAnsi="Courier"/>
        </w:rPr>
        <w:t xml:space="preserve"> be signed by the offender if not submitted by the Department.</w:t>
      </w:r>
    </w:p>
    <w:p w14:paraId="6C60B5CE" w14:textId="4E92A51F" w:rsidR="009E5999" w:rsidRPr="009E5999" w:rsidRDefault="009E5999" w:rsidP="009E5999">
      <w:pPr>
        <w:rPr>
          <w:rFonts w:ascii="Courier" w:hAnsi="Courier"/>
        </w:rPr>
      </w:pPr>
      <w:r w:rsidRPr="00C207CA">
        <w:rPr>
          <w:rFonts w:ascii="Courier" w:hAnsi="Courier"/>
        </w:rPr>
        <w:t>(5)</w:t>
      </w:r>
      <w:r w:rsidRPr="009E5999">
        <w:rPr>
          <w:rFonts w:ascii="Courier" w:hAnsi="Courier"/>
        </w:rPr>
        <w:t xml:space="preserve"> If the request for redetermination is not submitted by the Department, the Board may request that the Department review the request, provide any updated institutional, medical, or other report requested by the Board, and make a recommendation regarding the request.</w:t>
      </w:r>
    </w:p>
    <w:p w14:paraId="5352451F" w14:textId="6E2F6AF2" w:rsidR="009E5999" w:rsidRPr="009E5999" w:rsidRDefault="009E5999" w:rsidP="009E5999">
      <w:pPr>
        <w:rPr>
          <w:rFonts w:ascii="Courier" w:hAnsi="Courier"/>
        </w:rPr>
      </w:pPr>
      <w:r w:rsidRPr="00C207CA">
        <w:rPr>
          <w:rFonts w:ascii="Courier" w:hAnsi="Courier"/>
        </w:rPr>
        <w:t>(6)</w:t>
      </w:r>
      <w:r w:rsidRPr="009E5999">
        <w:rPr>
          <w:rFonts w:ascii="Courier" w:hAnsi="Courier"/>
        </w:rPr>
        <w:t xml:space="preserve"> The Board may </w:t>
      </w:r>
      <w:proofErr w:type="gramStart"/>
      <w:r w:rsidRPr="009E5999">
        <w:rPr>
          <w:rFonts w:ascii="Courier" w:hAnsi="Courier"/>
        </w:rPr>
        <w:t>make a decision</w:t>
      </w:r>
      <w:proofErr w:type="gramEnd"/>
      <w:r w:rsidRPr="009E5999">
        <w:rPr>
          <w:rFonts w:ascii="Courier" w:hAnsi="Courier"/>
        </w:rPr>
        <w:t xml:space="preserve"> regarding a redetermination request with or without a hearing.</w:t>
      </w:r>
    </w:p>
    <w:p w14:paraId="1632955A" w14:textId="774C9CF9" w:rsidR="009E5999" w:rsidRPr="009E5999" w:rsidRDefault="009E5999" w:rsidP="009E5999">
      <w:pPr>
        <w:rPr>
          <w:rFonts w:ascii="Courier" w:hAnsi="Courier"/>
        </w:rPr>
      </w:pPr>
      <w:r w:rsidRPr="000C1738">
        <w:rPr>
          <w:rFonts w:ascii="Courier" w:hAnsi="Courier"/>
        </w:rPr>
        <w:lastRenderedPageBreak/>
        <w:t>(7)</w:t>
      </w:r>
      <w:r w:rsidRPr="009E5999">
        <w:rPr>
          <w:rFonts w:ascii="Courier" w:hAnsi="Courier"/>
        </w:rPr>
        <w:t xml:space="preserve"> </w:t>
      </w:r>
      <w:r w:rsidR="000C1738">
        <w:rPr>
          <w:rFonts w:ascii="Courier" w:hAnsi="Courier"/>
        </w:rPr>
        <w:t>[</w:t>
      </w:r>
      <w:r w:rsidRPr="00965D82">
        <w:rPr>
          <w:rFonts w:ascii="Courier" w:hAnsi="Courier"/>
          <w:strike/>
        </w:rPr>
        <w:t xml:space="preserve">If the Board </w:t>
      </w:r>
      <w:proofErr w:type="gramStart"/>
      <w:r w:rsidRPr="00965D82">
        <w:rPr>
          <w:rFonts w:ascii="Courier" w:hAnsi="Courier"/>
          <w:strike/>
        </w:rPr>
        <w:t>denies</w:t>
      </w:r>
      <w:r w:rsidR="000C1738" w:rsidRPr="000C1738">
        <w:rPr>
          <w:rFonts w:ascii="Courier" w:hAnsi="Courier"/>
        </w:rPr>
        <w:t>]</w:t>
      </w:r>
      <w:r w:rsidR="00965D82">
        <w:rPr>
          <w:rFonts w:ascii="Courier" w:hAnsi="Courier"/>
          <w:u w:val="single"/>
        </w:rPr>
        <w:t>When</w:t>
      </w:r>
      <w:proofErr w:type="gramEnd"/>
      <w:r w:rsidR="00965D82">
        <w:rPr>
          <w:rFonts w:ascii="Courier" w:hAnsi="Courier"/>
          <w:u w:val="single"/>
        </w:rPr>
        <w:t xml:space="preserve"> the Board reaches</w:t>
      </w:r>
      <w:r w:rsidRPr="009E5999">
        <w:rPr>
          <w:rFonts w:ascii="Courier" w:hAnsi="Courier"/>
        </w:rPr>
        <w:t xml:space="preserve"> a redetermination </w:t>
      </w:r>
      <w:r w:rsidR="000C1738">
        <w:rPr>
          <w:rFonts w:ascii="Courier" w:hAnsi="Courier"/>
        </w:rPr>
        <w:t>[</w:t>
      </w:r>
      <w:r w:rsidRPr="00965D82">
        <w:rPr>
          <w:rFonts w:ascii="Courier" w:hAnsi="Courier"/>
          <w:strike/>
        </w:rPr>
        <w:t>request</w:t>
      </w:r>
      <w:r w:rsidR="000C1738" w:rsidRPr="000C1738">
        <w:rPr>
          <w:rFonts w:ascii="Courier" w:hAnsi="Courier"/>
        </w:rPr>
        <w:t>]</w:t>
      </w:r>
      <w:r w:rsidR="00965D82">
        <w:rPr>
          <w:rFonts w:ascii="Courier" w:hAnsi="Courier"/>
          <w:u w:val="single"/>
        </w:rPr>
        <w:t>decision</w:t>
      </w:r>
      <w:r w:rsidRPr="009E5999">
        <w:rPr>
          <w:rFonts w:ascii="Courier" w:hAnsi="Courier"/>
        </w:rPr>
        <w:t xml:space="preserve">, </w:t>
      </w:r>
      <w:r w:rsidR="000C1738">
        <w:rPr>
          <w:rFonts w:ascii="Courier" w:hAnsi="Courier"/>
        </w:rPr>
        <w:t>[</w:t>
      </w:r>
      <w:r w:rsidRPr="008D7227">
        <w:rPr>
          <w:rFonts w:ascii="Courier" w:hAnsi="Courier"/>
          <w:strike/>
        </w:rPr>
        <w:t>the</w:t>
      </w:r>
      <w:r w:rsidR="000C1738" w:rsidRPr="000C1738">
        <w:rPr>
          <w:rFonts w:ascii="Courier" w:hAnsi="Courier"/>
        </w:rPr>
        <w:t>]</w:t>
      </w:r>
      <w:r w:rsidR="008D7227">
        <w:rPr>
          <w:rFonts w:ascii="Courier" w:hAnsi="Courier"/>
          <w:u w:val="single"/>
        </w:rPr>
        <w:t>that</w:t>
      </w:r>
      <w:r w:rsidRPr="009E5999">
        <w:rPr>
          <w:rFonts w:ascii="Courier" w:hAnsi="Courier"/>
        </w:rPr>
        <w:t xml:space="preserve"> decision shall be accompanied by a brief statement or rationale </w:t>
      </w:r>
      <w:r w:rsidR="00E47D84">
        <w:rPr>
          <w:rFonts w:ascii="Courier" w:hAnsi="Courier"/>
          <w:u w:val="single"/>
        </w:rPr>
        <w:t>for that decision</w:t>
      </w:r>
      <w:r w:rsidR="000C1738">
        <w:rPr>
          <w:rFonts w:ascii="Courier" w:hAnsi="Courier"/>
          <w:u w:val="single"/>
        </w:rPr>
        <w:t>[</w:t>
      </w:r>
      <w:r w:rsidRPr="00E47D84">
        <w:rPr>
          <w:rFonts w:ascii="Courier" w:hAnsi="Courier"/>
          <w:strike/>
        </w:rPr>
        <w:t>giving the reason for the denial</w:t>
      </w:r>
      <w:r w:rsidR="000C1738" w:rsidRPr="000C1738">
        <w:rPr>
          <w:rFonts w:ascii="Courier" w:hAnsi="Courier"/>
        </w:rPr>
        <w:t>]</w:t>
      </w:r>
      <w:r w:rsidRPr="009E5999">
        <w:rPr>
          <w:rFonts w:ascii="Courier" w:hAnsi="Courier"/>
        </w:rPr>
        <w:t>.</w:t>
      </w:r>
    </w:p>
    <w:p w14:paraId="2D984988" w14:textId="77777777" w:rsidR="009E5999" w:rsidRPr="009E5999" w:rsidRDefault="009E5999" w:rsidP="009E5999">
      <w:pPr>
        <w:rPr>
          <w:rFonts w:ascii="Courier" w:hAnsi="Courier"/>
        </w:rPr>
      </w:pPr>
    </w:p>
    <w:p w14:paraId="4649A3D9" w14:textId="77777777" w:rsidR="009E5999" w:rsidRPr="009E5999" w:rsidRDefault="009E5999" w:rsidP="009E5999">
      <w:pPr>
        <w:rPr>
          <w:rFonts w:ascii="Courier" w:hAnsi="Courier"/>
        </w:rPr>
      </w:pPr>
    </w:p>
    <w:p w14:paraId="121F9394" w14:textId="77777777" w:rsidR="009E5999" w:rsidRPr="009E5999" w:rsidRDefault="009E5999" w:rsidP="009E5999">
      <w:pPr>
        <w:rPr>
          <w:rFonts w:ascii="Courier" w:hAnsi="Courier"/>
          <w:b/>
          <w:bCs/>
        </w:rPr>
      </w:pPr>
      <w:r w:rsidRPr="009E5999">
        <w:rPr>
          <w:rFonts w:ascii="Courier" w:hAnsi="Courier"/>
          <w:b/>
          <w:bCs/>
        </w:rPr>
        <w:t>KEY: parole, inmates</w:t>
      </w:r>
    </w:p>
    <w:p w14:paraId="59C177FB" w14:textId="77777777" w:rsidR="009E5999" w:rsidRPr="009E5999" w:rsidRDefault="009E5999" w:rsidP="009E5999">
      <w:pPr>
        <w:rPr>
          <w:rFonts w:ascii="Courier" w:hAnsi="Courier"/>
          <w:b/>
          <w:bCs/>
        </w:rPr>
      </w:pPr>
      <w:r w:rsidRPr="009E5999">
        <w:rPr>
          <w:rFonts w:ascii="Courier" w:hAnsi="Courier"/>
          <w:b/>
          <w:bCs/>
        </w:rPr>
        <w:t>Date of Enactment or Last Substantive Amendment: October 15, 2015</w:t>
      </w:r>
    </w:p>
    <w:p w14:paraId="133E25CA" w14:textId="77777777" w:rsidR="009E5999" w:rsidRPr="009E5999" w:rsidRDefault="009E5999" w:rsidP="009E5999">
      <w:pPr>
        <w:rPr>
          <w:rFonts w:ascii="Courier" w:hAnsi="Courier"/>
          <w:b/>
          <w:bCs/>
        </w:rPr>
      </w:pPr>
      <w:r w:rsidRPr="009E5999">
        <w:rPr>
          <w:rFonts w:ascii="Courier" w:hAnsi="Courier"/>
          <w:b/>
          <w:bCs/>
        </w:rPr>
        <w:t>Notice of Continuation: January 30, 2017</w:t>
      </w:r>
    </w:p>
    <w:p w14:paraId="6D858C83" w14:textId="09244B2C" w:rsidR="00475F2B" w:rsidRPr="009E5999" w:rsidRDefault="009E5999" w:rsidP="009E5999">
      <w:pPr>
        <w:rPr>
          <w:rFonts w:ascii="Courier" w:hAnsi="Courier"/>
          <w:b/>
          <w:bCs/>
        </w:rPr>
      </w:pPr>
      <w:r w:rsidRPr="009E5999">
        <w:rPr>
          <w:rFonts w:ascii="Courier" w:hAnsi="Courier"/>
          <w:b/>
          <w:bCs/>
        </w:rPr>
        <w:t>Authorizing, and Implemented or Interpreted Law: Art. VII, Sec. 12; 63G-3-201</w:t>
      </w:r>
      <w:r w:rsidR="00324B89">
        <w:rPr>
          <w:rFonts w:ascii="Courier" w:hAnsi="Courier"/>
          <w:b/>
          <w:bCs/>
        </w:rPr>
        <w:softHyphen/>
      </w:r>
      <w:r w:rsidR="00324B89" w:rsidRPr="00324B89">
        <w:rPr>
          <w:rFonts w:ascii="Courier" w:hAnsi="Courier"/>
          <w:b/>
          <w:bCs/>
          <w:u w:val="single"/>
        </w:rPr>
        <w:t xml:space="preserve">(2) and </w:t>
      </w:r>
      <w:r w:rsidRPr="009E5999">
        <w:rPr>
          <w:rFonts w:ascii="Courier" w:hAnsi="Courier"/>
          <w:b/>
          <w:bCs/>
        </w:rPr>
        <w:t>(3); 77-27-5; 77-27-9</w:t>
      </w:r>
    </w:p>
    <w:sectPr w:rsidR="00475F2B" w:rsidRPr="009E5999" w:rsidSect="00A10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E4"/>
    <w:rsid w:val="000C1738"/>
    <w:rsid w:val="000D26FA"/>
    <w:rsid w:val="001074C8"/>
    <w:rsid w:val="00113A6C"/>
    <w:rsid w:val="0013278A"/>
    <w:rsid w:val="001615CB"/>
    <w:rsid w:val="001645AF"/>
    <w:rsid w:val="001960D3"/>
    <w:rsid w:val="001A2450"/>
    <w:rsid w:val="001D58C3"/>
    <w:rsid w:val="00214254"/>
    <w:rsid w:val="002A0B33"/>
    <w:rsid w:val="002B121D"/>
    <w:rsid w:val="002F483F"/>
    <w:rsid w:val="00324B89"/>
    <w:rsid w:val="00347026"/>
    <w:rsid w:val="0039502D"/>
    <w:rsid w:val="003F7138"/>
    <w:rsid w:val="00475F2B"/>
    <w:rsid w:val="004821F7"/>
    <w:rsid w:val="004C2E9D"/>
    <w:rsid w:val="00547DC4"/>
    <w:rsid w:val="00697AF8"/>
    <w:rsid w:val="006F4879"/>
    <w:rsid w:val="00727BFB"/>
    <w:rsid w:val="007648F8"/>
    <w:rsid w:val="00801BB6"/>
    <w:rsid w:val="0083120C"/>
    <w:rsid w:val="00850D1D"/>
    <w:rsid w:val="008D7227"/>
    <w:rsid w:val="00940A68"/>
    <w:rsid w:val="00952689"/>
    <w:rsid w:val="00965D82"/>
    <w:rsid w:val="009A0EC3"/>
    <w:rsid w:val="009D137A"/>
    <w:rsid w:val="009E5999"/>
    <w:rsid w:val="009F4B09"/>
    <w:rsid w:val="00A10581"/>
    <w:rsid w:val="00A63DA4"/>
    <w:rsid w:val="00B432B7"/>
    <w:rsid w:val="00B81A5C"/>
    <w:rsid w:val="00B91C8F"/>
    <w:rsid w:val="00BA4EE4"/>
    <w:rsid w:val="00C207CA"/>
    <w:rsid w:val="00C33692"/>
    <w:rsid w:val="00C552A5"/>
    <w:rsid w:val="00C6592C"/>
    <w:rsid w:val="00C74F23"/>
    <w:rsid w:val="00D30870"/>
    <w:rsid w:val="00E47D84"/>
    <w:rsid w:val="00E65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03B5E1"/>
  <w15:chartTrackingRefBased/>
  <w15:docId w15:val="{B1D4A1A2-B601-8A4D-A8D6-26049C07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1645A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48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Haddon</dc:creator>
  <cp:keywords/>
  <dc:description/>
  <cp:lastModifiedBy>Mike Haddon</cp:lastModifiedBy>
  <cp:revision>14</cp:revision>
  <dcterms:created xsi:type="dcterms:W3CDTF">2021-08-13T18:33:00Z</dcterms:created>
  <dcterms:modified xsi:type="dcterms:W3CDTF">2021-08-15T18:20:00Z</dcterms:modified>
</cp:coreProperties>
</file>