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BF58C1" w14:textId="4740E030" w:rsidR="00F85C19" w:rsidRDefault="00F85C19" w:rsidP="00F85C19">
      <w:pPr>
        <w:pStyle w:val="Header"/>
        <w:jc w:val="center"/>
        <w:rPr>
          <w:rFonts w:ascii="Times New Roman" w:hAnsi="Times New Roman" w:cs="Times New Roman"/>
          <w:b/>
          <w:bCs/>
          <w:sz w:val="32"/>
          <w:szCs w:val="32"/>
        </w:rPr>
      </w:pPr>
      <w:r>
        <w:rPr>
          <w:rFonts w:ascii="Times New Roman" w:hAnsi="Times New Roman" w:cs="Times New Roman"/>
          <w:b/>
          <w:bCs/>
          <w:sz w:val="32"/>
          <w:szCs w:val="32"/>
        </w:rPr>
        <w:t>SALT LAKE VALLEY LAW ENFORCEMENT SERVICE AREA</w:t>
      </w:r>
    </w:p>
    <w:p w14:paraId="62BCD28E" w14:textId="4E63EE30" w:rsidR="00F85C19" w:rsidRDefault="00F85C19" w:rsidP="00F85C19">
      <w:pPr>
        <w:pStyle w:val="Header"/>
        <w:jc w:val="center"/>
        <w:rPr>
          <w:rFonts w:ascii="Times New Roman" w:hAnsi="Times New Roman" w:cs="Times New Roman"/>
          <w:b/>
          <w:bCs/>
        </w:rPr>
      </w:pPr>
      <w:r>
        <w:rPr>
          <w:noProof/>
        </w:rPr>
        <mc:AlternateContent>
          <mc:Choice Requires="wpc">
            <w:drawing>
              <wp:anchor distT="0" distB="0" distL="114300" distR="114300" simplePos="0" relativeHeight="251660288" behindDoc="0" locked="0" layoutInCell="1" allowOverlap="1" wp14:anchorId="16BF9EA8" wp14:editId="37D666AD">
                <wp:simplePos x="0" y="0"/>
                <wp:positionH relativeFrom="page">
                  <wp:align>left</wp:align>
                </wp:positionH>
                <wp:positionV relativeFrom="paragraph">
                  <wp:posOffset>937895</wp:posOffset>
                </wp:positionV>
                <wp:extent cx="1973580" cy="1990725"/>
                <wp:effectExtent l="0" t="0" r="0" b="0"/>
                <wp:wrapNone/>
                <wp:docPr id="3" name="Canvas 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14:sizeRelH relativeFrom="page">
                  <wp14:pctWidth>0</wp14:pctWidth>
                </wp14:sizeRelH>
                <wp14:sizeRelV relativeFrom="page">
                  <wp14:pctHeight>0</wp14:pctHeight>
                </wp14:sizeRelV>
              </wp:anchor>
            </w:drawing>
          </mc:Choice>
          <mc:Fallback>
            <w:pict>
              <v:group w14:anchorId="47828BB4" id="Canvas 3" o:spid="_x0000_s1026" editas="canvas" style="position:absolute;margin-left:0;margin-top:73.85pt;width:155.4pt;height:156.75pt;z-index:251660288;mso-position-horizontal:left;mso-position-horizontal-relative:page" coordsize="19735,199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9735;height:19907;visibility:visible;mso-wrap-style:square">
                  <v:fill o:detectmouseclick="t"/>
                  <v:path o:connecttype="none"/>
                </v:shape>
                <w10:wrap anchorx="page"/>
              </v:group>
            </w:pict>
          </mc:Fallback>
        </mc:AlternateContent>
      </w:r>
      <w:r>
        <w:rPr>
          <w:noProof/>
        </w:rPr>
        <w:drawing>
          <wp:anchor distT="0" distB="0" distL="114300" distR="114300" simplePos="0" relativeHeight="251662336" behindDoc="0" locked="0" layoutInCell="1" allowOverlap="1" wp14:anchorId="56F6DE69" wp14:editId="6C31094D">
            <wp:simplePos x="0" y="0"/>
            <wp:positionH relativeFrom="margin">
              <wp:align>center</wp:align>
            </wp:positionH>
            <wp:positionV relativeFrom="paragraph">
              <wp:posOffset>45085</wp:posOffset>
            </wp:positionV>
            <wp:extent cx="1453515" cy="145351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53515" cy="1453515"/>
                    </a:xfrm>
                    <a:prstGeom prst="rect">
                      <a:avLst/>
                    </a:prstGeom>
                    <a:noFill/>
                  </pic:spPr>
                </pic:pic>
              </a:graphicData>
            </a:graphic>
            <wp14:sizeRelH relativeFrom="page">
              <wp14:pctWidth>0</wp14:pctWidth>
            </wp14:sizeRelH>
            <wp14:sizeRelV relativeFrom="page">
              <wp14:pctHeight>0</wp14:pctHeight>
            </wp14:sizeRelV>
          </wp:anchor>
        </w:drawing>
      </w:r>
    </w:p>
    <w:tbl>
      <w:tblPr>
        <w:tblStyle w:val="TableGrid"/>
        <w:tblW w:w="0" w:type="auto"/>
        <w:tblInd w:w="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86"/>
        <w:gridCol w:w="4122"/>
        <w:gridCol w:w="2652"/>
      </w:tblGrid>
      <w:tr w:rsidR="00F85C19" w14:paraId="39021B47" w14:textId="77777777" w:rsidTr="00F85C19">
        <w:tc>
          <w:tcPr>
            <w:tcW w:w="2970" w:type="dxa"/>
            <w:tcBorders>
              <w:top w:val="nil"/>
              <w:left w:val="nil"/>
              <w:bottom w:val="nil"/>
              <w:right w:val="nil"/>
            </w:tcBorders>
          </w:tcPr>
          <w:p w14:paraId="00E687C1" w14:textId="77777777" w:rsidR="00F85C19" w:rsidRDefault="00F85C19">
            <w:pPr>
              <w:pStyle w:val="Header"/>
              <w:rPr>
                <w:rFonts w:ascii="Times New Roman" w:hAnsi="Times New Roman" w:cs="Times New Roman"/>
                <w:b/>
                <w:bCs/>
                <w:sz w:val="16"/>
                <w:szCs w:val="16"/>
              </w:rPr>
            </w:pPr>
          </w:p>
          <w:p w14:paraId="26F29563" w14:textId="77777777" w:rsidR="00F85C19" w:rsidRDefault="00F85C19">
            <w:pPr>
              <w:pStyle w:val="Header"/>
              <w:rPr>
                <w:rFonts w:ascii="Times New Roman" w:hAnsi="Times New Roman" w:cs="Times New Roman"/>
                <w:sz w:val="13"/>
                <w:szCs w:val="13"/>
              </w:rPr>
            </w:pPr>
          </w:p>
        </w:tc>
        <w:tc>
          <w:tcPr>
            <w:tcW w:w="4765" w:type="dxa"/>
            <w:tcBorders>
              <w:top w:val="nil"/>
              <w:left w:val="nil"/>
              <w:bottom w:val="nil"/>
              <w:right w:val="nil"/>
            </w:tcBorders>
          </w:tcPr>
          <w:p w14:paraId="4359B921" w14:textId="77777777" w:rsidR="00F85C19" w:rsidRDefault="00F85C19">
            <w:pPr>
              <w:pStyle w:val="Header"/>
              <w:jc w:val="center"/>
              <w:rPr>
                <w:rFonts w:ascii="Times New Roman" w:hAnsi="Times New Roman" w:cs="Times New Roman"/>
                <w:sz w:val="20"/>
                <w:szCs w:val="20"/>
              </w:rPr>
            </w:pPr>
          </w:p>
        </w:tc>
        <w:tc>
          <w:tcPr>
            <w:tcW w:w="3055" w:type="dxa"/>
            <w:vMerge w:val="restart"/>
            <w:tcBorders>
              <w:top w:val="nil"/>
              <w:left w:val="nil"/>
              <w:bottom w:val="nil"/>
              <w:right w:val="nil"/>
            </w:tcBorders>
          </w:tcPr>
          <w:p w14:paraId="641FF4E0" w14:textId="77777777" w:rsidR="00F85C19" w:rsidRDefault="00F85C19">
            <w:pPr>
              <w:pStyle w:val="Header"/>
              <w:jc w:val="right"/>
              <w:rPr>
                <w:rFonts w:ascii="Times New Roman" w:hAnsi="Times New Roman" w:cs="Times New Roman"/>
                <w:b/>
                <w:bCs/>
                <w:sz w:val="18"/>
                <w:szCs w:val="18"/>
              </w:rPr>
            </w:pPr>
          </w:p>
        </w:tc>
      </w:tr>
      <w:tr w:rsidR="00F85C19" w14:paraId="54A94E02" w14:textId="77777777" w:rsidTr="00F85C19">
        <w:trPr>
          <w:trHeight w:hRule="exact" w:val="72"/>
        </w:trPr>
        <w:tc>
          <w:tcPr>
            <w:tcW w:w="2970" w:type="dxa"/>
            <w:tcBorders>
              <w:top w:val="nil"/>
              <w:left w:val="nil"/>
              <w:bottom w:val="nil"/>
              <w:right w:val="nil"/>
            </w:tcBorders>
          </w:tcPr>
          <w:p w14:paraId="20DD4DD5" w14:textId="77777777" w:rsidR="00F85C19" w:rsidRDefault="00F85C19">
            <w:pPr>
              <w:pStyle w:val="Header"/>
              <w:rPr>
                <w:rFonts w:ascii="Times New Roman" w:hAnsi="Times New Roman" w:cs="Times New Roman"/>
                <w:sz w:val="16"/>
                <w:szCs w:val="16"/>
              </w:rPr>
            </w:pPr>
          </w:p>
        </w:tc>
        <w:tc>
          <w:tcPr>
            <w:tcW w:w="4765" w:type="dxa"/>
            <w:tcBorders>
              <w:top w:val="nil"/>
              <w:left w:val="nil"/>
              <w:bottom w:val="nil"/>
              <w:right w:val="nil"/>
            </w:tcBorders>
          </w:tcPr>
          <w:p w14:paraId="64FFB274" w14:textId="77777777" w:rsidR="00F85C19" w:rsidRDefault="00F85C19">
            <w:pPr>
              <w:pStyle w:val="Header"/>
              <w:jc w:val="center"/>
              <w:rPr>
                <w:rFonts w:ascii="Times New Roman" w:hAnsi="Times New Roman" w:cs="Times New Roman"/>
                <w:sz w:val="16"/>
                <w:szCs w:val="16"/>
              </w:rPr>
            </w:pPr>
          </w:p>
        </w:tc>
        <w:tc>
          <w:tcPr>
            <w:tcW w:w="0" w:type="auto"/>
            <w:vMerge/>
            <w:tcBorders>
              <w:top w:val="nil"/>
              <w:left w:val="nil"/>
              <w:bottom w:val="nil"/>
              <w:right w:val="nil"/>
            </w:tcBorders>
            <w:vAlign w:val="center"/>
            <w:hideMark/>
          </w:tcPr>
          <w:p w14:paraId="406DF052" w14:textId="77777777" w:rsidR="00F85C19" w:rsidRDefault="00F85C19">
            <w:pPr>
              <w:rPr>
                <w:rFonts w:ascii="Times New Roman" w:hAnsi="Times New Roman" w:cs="Times New Roman"/>
                <w:b/>
                <w:bCs/>
                <w:sz w:val="18"/>
                <w:szCs w:val="18"/>
              </w:rPr>
            </w:pPr>
          </w:p>
        </w:tc>
      </w:tr>
      <w:tr w:rsidR="00F85C19" w14:paraId="3A7857CA" w14:textId="77777777" w:rsidTr="00F85C19">
        <w:tc>
          <w:tcPr>
            <w:tcW w:w="2970" w:type="dxa"/>
            <w:tcBorders>
              <w:top w:val="nil"/>
              <w:left w:val="nil"/>
              <w:bottom w:val="nil"/>
              <w:right w:val="nil"/>
            </w:tcBorders>
          </w:tcPr>
          <w:p w14:paraId="7E2282DB" w14:textId="77777777" w:rsidR="00F85C19" w:rsidRDefault="00F85C19">
            <w:pPr>
              <w:pStyle w:val="Header"/>
              <w:rPr>
                <w:rFonts w:ascii="Times New Roman" w:hAnsi="Times New Roman" w:cs="Times New Roman"/>
                <w:sz w:val="13"/>
                <w:szCs w:val="13"/>
              </w:rPr>
            </w:pPr>
          </w:p>
        </w:tc>
        <w:tc>
          <w:tcPr>
            <w:tcW w:w="4765" w:type="dxa"/>
            <w:tcBorders>
              <w:top w:val="nil"/>
              <w:left w:val="nil"/>
              <w:bottom w:val="nil"/>
              <w:right w:val="nil"/>
            </w:tcBorders>
          </w:tcPr>
          <w:p w14:paraId="0D030D7D" w14:textId="77777777" w:rsidR="00F85C19" w:rsidRDefault="00F85C19">
            <w:pPr>
              <w:pStyle w:val="Header"/>
              <w:jc w:val="center"/>
              <w:rPr>
                <w:rFonts w:ascii="Times New Roman" w:hAnsi="Times New Roman" w:cs="Times New Roman"/>
                <w:sz w:val="20"/>
                <w:szCs w:val="20"/>
              </w:rPr>
            </w:pPr>
          </w:p>
        </w:tc>
        <w:tc>
          <w:tcPr>
            <w:tcW w:w="3055" w:type="dxa"/>
            <w:vMerge w:val="restart"/>
            <w:tcBorders>
              <w:top w:val="nil"/>
              <w:left w:val="nil"/>
              <w:bottom w:val="nil"/>
              <w:right w:val="nil"/>
            </w:tcBorders>
          </w:tcPr>
          <w:p w14:paraId="492926B0" w14:textId="77777777" w:rsidR="00F85C19" w:rsidRDefault="00F85C19">
            <w:pPr>
              <w:pStyle w:val="Header"/>
              <w:jc w:val="right"/>
              <w:rPr>
                <w:rFonts w:ascii="Times New Roman" w:hAnsi="Times New Roman" w:cs="Times New Roman"/>
                <w:sz w:val="18"/>
                <w:szCs w:val="18"/>
              </w:rPr>
            </w:pPr>
          </w:p>
          <w:p w14:paraId="4ABE0335" w14:textId="77777777" w:rsidR="00F85C19" w:rsidRDefault="00F85C19">
            <w:pPr>
              <w:pStyle w:val="Header"/>
              <w:jc w:val="right"/>
              <w:rPr>
                <w:rFonts w:ascii="Times New Roman" w:hAnsi="Times New Roman" w:cs="Times New Roman"/>
                <w:sz w:val="18"/>
                <w:szCs w:val="18"/>
              </w:rPr>
            </w:pPr>
          </w:p>
          <w:p w14:paraId="768DD6DA" w14:textId="77777777" w:rsidR="00F85C19" w:rsidRDefault="00F85C19">
            <w:pPr>
              <w:pStyle w:val="Header"/>
              <w:jc w:val="right"/>
              <w:rPr>
                <w:rFonts w:ascii="Times New Roman" w:hAnsi="Times New Roman" w:cs="Times New Roman"/>
                <w:sz w:val="18"/>
                <w:szCs w:val="18"/>
              </w:rPr>
            </w:pPr>
          </w:p>
        </w:tc>
      </w:tr>
      <w:tr w:rsidR="00F85C19" w14:paraId="2924B142" w14:textId="77777777" w:rsidTr="00F85C19">
        <w:trPr>
          <w:trHeight w:hRule="exact" w:val="72"/>
        </w:trPr>
        <w:tc>
          <w:tcPr>
            <w:tcW w:w="2970" w:type="dxa"/>
            <w:tcBorders>
              <w:top w:val="nil"/>
              <w:left w:val="nil"/>
              <w:bottom w:val="nil"/>
              <w:right w:val="nil"/>
            </w:tcBorders>
          </w:tcPr>
          <w:p w14:paraId="35CCBE1E" w14:textId="77777777" w:rsidR="00F85C19" w:rsidRDefault="00F85C19">
            <w:pPr>
              <w:pStyle w:val="Header"/>
              <w:rPr>
                <w:rFonts w:ascii="Times New Roman" w:hAnsi="Times New Roman" w:cs="Times New Roman"/>
                <w:sz w:val="16"/>
                <w:szCs w:val="16"/>
              </w:rPr>
            </w:pPr>
          </w:p>
        </w:tc>
        <w:tc>
          <w:tcPr>
            <w:tcW w:w="4765" w:type="dxa"/>
            <w:tcBorders>
              <w:top w:val="nil"/>
              <w:left w:val="nil"/>
              <w:bottom w:val="nil"/>
              <w:right w:val="nil"/>
            </w:tcBorders>
          </w:tcPr>
          <w:p w14:paraId="0AA667A8" w14:textId="77777777" w:rsidR="00F85C19" w:rsidRDefault="00F85C19">
            <w:pPr>
              <w:pStyle w:val="Header"/>
              <w:jc w:val="center"/>
              <w:rPr>
                <w:rFonts w:ascii="Times New Roman" w:hAnsi="Times New Roman" w:cs="Times New Roman"/>
                <w:sz w:val="20"/>
                <w:szCs w:val="20"/>
              </w:rPr>
            </w:pPr>
          </w:p>
        </w:tc>
        <w:tc>
          <w:tcPr>
            <w:tcW w:w="0" w:type="auto"/>
            <w:vMerge/>
            <w:tcBorders>
              <w:top w:val="nil"/>
              <w:left w:val="nil"/>
              <w:bottom w:val="nil"/>
              <w:right w:val="nil"/>
            </w:tcBorders>
            <w:vAlign w:val="center"/>
            <w:hideMark/>
          </w:tcPr>
          <w:p w14:paraId="2CE35AF2" w14:textId="77777777" w:rsidR="00F85C19" w:rsidRDefault="00F85C19">
            <w:pPr>
              <w:rPr>
                <w:rFonts w:ascii="Times New Roman" w:hAnsi="Times New Roman" w:cs="Times New Roman"/>
                <w:sz w:val="18"/>
                <w:szCs w:val="18"/>
              </w:rPr>
            </w:pPr>
          </w:p>
        </w:tc>
      </w:tr>
      <w:tr w:rsidR="00F85C19" w14:paraId="6DE7EAD2" w14:textId="77777777" w:rsidTr="00F85C19">
        <w:tc>
          <w:tcPr>
            <w:tcW w:w="2970" w:type="dxa"/>
            <w:tcBorders>
              <w:top w:val="nil"/>
              <w:left w:val="nil"/>
              <w:bottom w:val="nil"/>
              <w:right w:val="nil"/>
            </w:tcBorders>
          </w:tcPr>
          <w:p w14:paraId="7FB1056B" w14:textId="77777777" w:rsidR="00F85C19" w:rsidRDefault="00F85C19">
            <w:pPr>
              <w:pStyle w:val="Header"/>
              <w:rPr>
                <w:rFonts w:ascii="Times New Roman" w:hAnsi="Times New Roman" w:cs="Times New Roman"/>
                <w:sz w:val="13"/>
                <w:szCs w:val="13"/>
              </w:rPr>
            </w:pPr>
          </w:p>
        </w:tc>
        <w:tc>
          <w:tcPr>
            <w:tcW w:w="4765" w:type="dxa"/>
            <w:tcBorders>
              <w:top w:val="nil"/>
              <w:left w:val="nil"/>
              <w:bottom w:val="nil"/>
              <w:right w:val="nil"/>
            </w:tcBorders>
          </w:tcPr>
          <w:p w14:paraId="4529CEE9" w14:textId="77777777" w:rsidR="00F85C19" w:rsidRDefault="00F85C19">
            <w:pPr>
              <w:pStyle w:val="Header"/>
              <w:jc w:val="center"/>
              <w:rPr>
                <w:rFonts w:ascii="Times New Roman" w:hAnsi="Times New Roman" w:cs="Times New Roman"/>
                <w:sz w:val="20"/>
                <w:szCs w:val="20"/>
              </w:rPr>
            </w:pPr>
          </w:p>
        </w:tc>
        <w:tc>
          <w:tcPr>
            <w:tcW w:w="0" w:type="auto"/>
            <w:vMerge/>
            <w:tcBorders>
              <w:top w:val="nil"/>
              <w:left w:val="nil"/>
              <w:bottom w:val="nil"/>
              <w:right w:val="nil"/>
            </w:tcBorders>
            <w:vAlign w:val="center"/>
            <w:hideMark/>
          </w:tcPr>
          <w:p w14:paraId="6FF38FFE" w14:textId="77777777" w:rsidR="00F85C19" w:rsidRDefault="00F85C19">
            <w:pPr>
              <w:rPr>
                <w:rFonts w:ascii="Times New Roman" w:hAnsi="Times New Roman" w:cs="Times New Roman"/>
                <w:sz w:val="18"/>
                <w:szCs w:val="18"/>
              </w:rPr>
            </w:pPr>
          </w:p>
        </w:tc>
      </w:tr>
      <w:tr w:rsidR="00F85C19" w14:paraId="40925D11" w14:textId="77777777" w:rsidTr="00F85C19">
        <w:trPr>
          <w:trHeight w:hRule="exact" w:val="72"/>
        </w:trPr>
        <w:tc>
          <w:tcPr>
            <w:tcW w:w="2970" w:type="dxa"/>
            <w:tcBorders>
              <w:top w:val="nil"/>
              <w:left w:val="nil"/>
              <w:bottom w:val="nil"/>
              <w:right w:val="nil"/>
            </w:tcBorders>
          </w:tcPr>
          <w:p w14:paraId="75287BB0" w14:textId="77777777" w:rsidR="00F85C19" w:rsidRDefault="00F85C19">
            <w:pPr>
              <w:pStyle w:val="Header"/>
              <w:rPr>
                <w:rFonts w:ascii="Times New Roman" w:hAnsi="Times New Roman" w:cs="Times New Roman"/>
                <w:sz w:val="16"/>
                <w:szCs w:val="16"/>
              </w:rPr>
            </w:pPr>
          </w:p>
        </w:tc>
        <w:tc>
          <w:tcPr>
            <w:tcW w:w="4765" w:type="dxa"/>
            <w:tcBorders>
              <w:top w:val="nil"/>
              <w:left w:val="nil"/>
              <w:bottom w:val="nil"/>
              <w:right w:val="nil"/>
            </w:tcBorders>
          </w:tcPr>
          <w:p w14:paraId="2D1E0374" w14:textId="77777777" w:rsidR="00F85C19" w:rsidRDefault="00F85C19">
            <w:pPr>
              <w:pStyle w:val="Header"/>
              <w:jc w:val="center"/>
              <w:rPr>
                <w:rFonts w:ascii="Times New Roman" w:hAnsi="Times New Roman" w:cs="Times New Roman"/>
                <w:sz w:val="20"/>
                <w:szCs w:val="20"/>
              </w:rPr>
            </w:pPr>
          </w:p>
        </w:tc>
        <w:tc>
          <w:tcPr>
            <w:tcW w:w="0" w:type="auto"/>
            <w:vMerge/>
            <w:tcBorders>
              <w:top w:val="nil"/>
              <w:left w:val="nil"/>
              <w:bottom w:val="nil"/>
              <w:right w:val="nil"/>
            </w:tcBorders>
            <w:vAlign w:val="center"/>
            <w:hideMark/>
          </w:tcPr>
          <w:p w14:paraId="73773DFF" w14:textId="77777777" w:rsidR="00F85C19" w:rsidRDefault="00F85C19">
            <w:pPr>
              <w:rPr>
                <w:rFonts w:ascii="Times New Roman" w:hAnsi="Times New Roman" w:cs="Times New Roman"/>
                <w:sz w:val="18"/>
                <w:szCs w:val="18"/>
              </w:rPr>
            </w:pPr>
          </w:p>
        </w:tc>
      </w:tr>
      <w:tr w:rsidR="00F85C19" w14:paraId="5C1D8DFA" w14:textId="77777777" w:rsidTr="00F85C19">
        <w:tc>
          <w:tcPr>
            <w:tcW w:w="2970" w:type="dxa"/>
            <w:tcBorders>
              <w:top w:val="nil"/>
              <w:left w:val="nil"/>
              <w:bottom w:val="nil"/>
              <w:right w:val="nil"/>
            </w:tcBorders>
          </w:tcPr>
          <w:p w14:paraId="4A0931B6" w14:textId="77777777" w:rsidR="00F85C19" w:rsidRDefault="00F85C19">
            <w:pPr>
              <w:pStyle w:val="Header"/>
              <w:rPr>
                <w:rFonts w:ascii="Times New Roman" w:hAnsi="Times New Roman" w:cs="Times New Roman"/>
                <w:sz w:val="13"/>
                <w:szCs w:val="13"/>
              </w:rPr>
            </w:pPr>
          </w:p>
        </w:tc>
        <w:tc>
          <w:tcPr>
            <w:tcW w:w="4765" w:type="dxa"/>
            <w:tcBorders>
              <w:top w:val="nil"/>
              <w:left w:val="nil"/>
              <w:bottom w:val="nil"/>
              <w:right w:val="nil"/>
            </w:tcBorders>
          </w:tcPr>
          <w:p w14:paraId="5DC4F978" w14:textId="77777777" w:rsidR="00F85C19" w:rsidRDefault="00F85C19">
            <w:pPr>
              <w:pStyle w:val="Header"/>
              <w:jc w:val="center"/>
              <w:rPr>
                <w:rFonts w:ascii="Times New Roman" w:hAnsi="Times New Roman" w:cs="Times New Roman"/>
                <w:sz w:val="20"/>
                <w:szCs w:val="20"/>
              </w:rPr>
            </w:pPr>
          </w:p>
        </w:tc>
        <w:tc>
          <w:tcPr>
            <w:tcW w:w="0" w:type="auto"/>
            <w:vMerge/>
            <w:tcBorders>
              <w:top w:val="nil"/>
              <w:left w:val="nil"/>
              <w:bottom w:val="nil"/>
              <w:right w:val="nil"/>
            </w:tcBorders>
            <w:vAlign w:val="center"/>
            <w:hideMark/>
          </w:tcPr>
          <w:p w14:paraId="68A34F13" w14:textId="77777777" w:rsidR="00F85C19" w:rsidRDefault="00F85C19">
            <w:pPr>
              <w:rPr>
                <w:rFonts w:ascii="Times New Roman" w:hAnsi="Times New Roman" w:cs="Times New Roman"/>
                <w:sz w:val="18"/>
                <w:szCs w:val="18"/>
              </w:rPr>
            </w:pPr>
          </w:p>
        </w:tc>
      </w:tr>
      <w:tr w:rsidR="00F85C19" w14:paraId="766D55B4" w14:textId="77777777" w:rsidTr="00F85C19">
        <w:trPr>
          <w:trHeight w:hRule="exact" w:val="72"/>
        </w:trPr>
        <w:tc>
          <w:tcPr>
            <w:tcW w:w="2970" w:type="dxa"/>
            <w:tcBorders>
              <w:top w:val="nil"/>
              <w:left w:val="nil"/>
              <w:bottom w:val="nil"/>
              <w:right w:val="nil"/>
            </w:tcBorders>
          </w:tcPr>
          <w:p w14:paraId="74DC963F" w14:textId="77777777" w:rsidR="00F85C19" w:rsidRDefault="00F85C19">
            <w:pPr>
              <w:pStyle w:val="Header"/>
              <w:rPr>
                <w:rFonts w:ascii="Times New Roman" w:hAnsi="Times New Roman" w:cs="Times New Roman"/>
                <w:sz w:val="16"/>
                <w:szCs w:val="16"/>
              </w:rPr>
            </w:pPr>
          </w:p>
        </w:tc>
        <w:tc>
          <w:tcPr>
            <w:tcW w:w="4765" w:type="dxa"/>
            <w:tcBorders>
              <w:top w:val="nil"/>
              <w:left w:val="nil"/>
              <w:bottom w:val="nil"/>
              <w:right w:val="nil"/>
            </w:tcBorders>
          </w:tcPr>
          <w:p w14:paraId="4D7CD457" w14:textId="77777777" w:rsidR="00F85C19" w:rsidRDefault="00F85C19">
            <w:pPr>
              <w:pStyle w:val="Header"/>
              <w:jc w:val="center"/>
              <w:rPr>
                <w:rFonts w:ascii="Times New Roman" w:hAnsi="Times New Roman" w:cs="Times New Roman"/>
                <w:sz w:val="20"/>
                <w:szCs w:val="20"/>
              </w:rPr>
            </w:pPr>
          </w:p>
        </w:tc>
        <w:tc>
          <w:tcPr>
            <w:tcW w:w="0" w:type="auto"/>
            <w:vMerge/>
            <w:tcBorders>
              <w:top w:val="nil"/>
              <w:left w:val="nil"/>
              <w:bottom w:val="nil"/>
              <w:right w:val="nil"/>
            </w:tcBorders>
            <w:vAlign w:val="center"/>
            <w:hideMark/>
          </w:tcPr>
          <w:p w14:paraId="48EAE559" w14:textId="77777777" w:rsidR="00F85C19" w:rsidRDefault="00F85C19">
            <w:pPr>
              <w:rPr>
                <w:rFonts w:ascii="Times New Roman" w:hAnsi="Times New Roman" w:cs="Times New Roman"/>
                <w:sz w:val="18"/>
                <w:szCs w:val="18"/>
              </w:rPr>
            </w:pPr>
          </w:p>
        </w:tc>
      </w:tr>
      <w:tr w:rsidR="00F85C19" w14:paraId="255F0A0E" w14:textId="77777777" w:rsidTr="00F85C19">
        <w:tc>
          <w:tcPr>
            <w:tcW w:w="2970" w:type="dxa"/>
            <w:tcBorders>
              <w:top w:val="nil"/>
              <w:left w:val="nil"/>
              <w:bottom w:val="nil"/>
              <w:right w:val="nil"/>
            </w:tcBorders>
          </w:tcPr>
          <w:p w14:paraId="5B7DDA71" w14:textId="77777777" w:rsidR="00F85C19" w:rsidRDefault="00F85C19">
            <w:pPr>
              <w:pStyle w:val="Header"/>
              <w:rPr>
                <w:rFonts w:ascii="Times New Roman" w:hAnsi="Times New Roman" w:cs="Times New Roman"/>
                <w:sz w:val="13"/>
                <w:szCs w:val="13"/>
              </w:rPr>
            </w:pPr>
          </w:p>
        </w:tc>
        <w:tc>
          <w:tcPr>
            <w:tcW w:w="4765" w:type="dxa"/>
            <w:tcBorders>
              <w:top w:val="nil"/>
              <w:left w:val="nil"/>
              <w:bottom w:val="nil"/>
              <w:right w:val="nil"/>
            </w:tcBorders>
          </w:tcPr>
          <w:p w14:paraId="06320B3A" w14:textId="77777777" w:rsidR="00F85C19" w:rsidRDefault="00F85C19">
            <w:pPr>
              <w:pStyle w:val="Header"/>
              <w:jc w:val="center"/>
              <w:rPr>
                <w:rFonts w:ascii="Times New Roman" w:hAnsi="Times New Roman" w:cs="Times New Roman"/>
                <w:sz w:val="20"/>
                <w:szCs w:val="20"/>
              </w:rPr>
            </w:pPr>
          </w:p>
        </w:tc>
        <w:tc>
          <w:tcPr>
            <w:tcW w:w="0" w:type="auto"/>
            <w:vMerge/>
            <w:tcBorders>
              <w:top w:val="nil"/>
              <w:left w:val="nil"/>
              <w:bottom w:val="nil"/>
              <w:right w:val="nil"/>
            </w:tcBorders>
            <w:vAlign w:val="center"/>
            <w:hideMark/>
          </w:tcPr>
          <w:p w14:paraId="48E5724F" w14:textId="77777777" w:rsidR="00F85C19" w:rsidRDefault="00F85C19">
            <w:pPr>
              <w:rPr>
                <w:rFonts w:ascii="Times New Roman" w:hAnsi="Times New Roman" w:cs="Times New Roman"/>
                <w:sz w:val="18"/>
                <w:szCs w:val="18"/>
              </w:rPr>
            </w:pPr>
          </w:p>
        </w:tc>
      </w:tr>
      <w:tr w:rsidR="00F85C19" w14:paraId="3AAD6A2F" w14:textId="77777777" w:rsidTr="00F85C19">
        <w:trPr>
          <w:trHeight w:hRule="exact" w:val="72"/>
        </w:trPr>
        <w:tc>
          <w:tcPr>
            <w:tcW w:w="2970" w:type="dxa"/>
            <w:tcBorders>
              <w:top w:val="nil"/>
              <w:left w:val="nil"/>
              <w:bottom w:val="nil"/>
              <w:right w:val="nil"/>
            </w:tcBorders>
          </w:tcPr>
          <w:p w14:paraId="4A118E42" w14:textId="77777777" w:rsidR="00F85C19" w:rsidRDefault="00F85C19">
            <w:pPr>
              <w:pStyle w:val="Header"/>
              <w:rPr>
                <w:rFonts w:ascii="Times New Roman" w:hAnsi="Times New Roman" w:cs="Times New Roman"/>
                <w:sz w:val="16"/>
                <w:szCs w:val="16"/>
              </w:rPr>
            </w:pPr>
          </w:p>
        </w:tc>
        <w:tc>
          <w:tcPr>
            <w:tcW w:w="4765" w:type="dxa"/>
            <w:tcBorders>
              <w:top w:val="nil"/>
              <w:left w:val="nil"/>
              <w:bottom w:val="nil"/>
              <w:right w:val="nil"/>
            </w:tcBorders>
          </w:tcPr>
          <w:p w14:paraId="1E8B4548" w14:textId="77777777" w:rsidR="00F85C19" w:rsidRDefault="00F85C19">
            <w:pPr>
              <w:pStyle w:val="Header"/>
              <w:jc w:val="center"/>
              <w:rPr>
                <w:rFonts w:ascii="Times New Roman" w:hAnsi="Times New Roman" w:cs="Times New Roman"/>
                <w:sz w:val="20"/>
                <w:szCs w:val="20"/>
              </w:rPr>
            </w:pPr>
          </w:p>
        </w:tc>
        <w:tc>
          <w:tcPr>
            <w:tcW w:w="0" w:type="auto"/>
            <w:vMerge/>
            <w:tcBorders>
              <w:top w:val="nil"/>
              <w:left w:val="nil"/>
              <w:bottom w:val="nil"/>
              <w:right w:val="nil"/>
            </w:tcBorders>
            <w:vAlign w:val="center"/>
            <w:hideMark/>
          </w:tcPr>
          <w:p w14:paraId="5FEDA3AF" w14:textId="77777777" w:rsidR="00F85C19" w:rsidRDefault="00F85C19">
            <w:pPr>
              <w:rPr>
                <w:rFonts w:ascii="Times New Roman" w:hAnsi="Times New Roman" w:cs="Times New Roman"/>
                <w:sz w:val="18"/>
                <w:szCs w:val="18"/>
              </w:rPr>
            </w:pPr>
          </w:p>
        </w:tc>
      </w:tr>
      <w:tr w:rsidR="00F85C19" w14:paraId="2D6369B1" w14:textId="77777777" w:rsidTr="00F85C19">
        <w:tc>
          <w:tcPr>
            <w:tcW w:w="2970" w:type="dxa"/>
            <w:tcBorders>
              <w:top w:val="nil"/>
              <w:left w:val="nil"/>
              <w:bottom w:val="nil"/>
              <w:right w:val="nil"/>
            </w:tcBorders>
          </w:tcPr>
          <w:p w14:paraId="29CF5F59" w14:textId="77777777" w:rsidR="00F85C19" w:rsidRDefault="00F85C19">
            <w:pPr>
              <w:pStyle w:val="Header"/>
              <w:rPr>
                <w:rFonts w:ascii="Times New Roman" w:hAnsi="Times New Roman" w:cs="Times New Roman"/>
                <w:sz w:val="13"/>
                <w:szCs w:val="13"/>
              </w:rPr>
            </w:pPr>
          </w:p>
        </w:tc>
        <w:tc>
          <w:tcPr>
            <w:tcW w:w="4765" w:type="dxa"/>
            <w:tcBorders>
              <w:top w:val="nil"/>
              <w:left w:val="nil"/>
              <w:bottom w:val="nil"/>
              <w:right w:val="nil"/>
            </w:tcBorders>
          </w:tcPr>
          <w:p w14:paraId="13899DBF" w14:textId="77777777" w:rsidR="00F85C19" w:rsidRDefault="00F85C19">
            <w:pPr>
              <w:pStyle w:val="Header"/>
              <w:jc w:val="center"/>
              <w:rPr>
                <w:rFonts w:ascii="Times New Roman" w:hAnsi="Times New Roman" w:cs="Times New Roman"/>
                <w:sz w:val="20"/>
                <w:szCs w:val="20"/>
              </w:rPr>
            </w:pPr>
          </w:p>
        </w:tc>
        <w:tc>
          <w:tcPr>
            <w:tcW w:w="0" w:type="auto"/>
            <w:vMerge/>
            <w:tcBorders>
              <w:top w:val="nil"/>
              <w:left w:val="nil"/>
              <w:bottom w:val="nil"/>
              <w:right w:val="nil"/>
            </w:tcBorders>
            <w:vAlign w:val="center"/>
            <w:hideMark/>
          </w:tcPr>
          <w:p w14:paraId="217555A5" w14:textId="77777777" w:rsidR="00F85C19" w:rsidRDefault="00F85C19">
            <w:pPr>
              <w:rPr>
                <w:rFonts w:ascii="Times New Roman" w:hAnsi="Times New Roman" w:cs="Times New Roman"/>
                <w:sz w:val="18"/>
                <w:szCs w:val="18"/>
              </w:rPr>
            </w:pPr>
          </w:p>
        </w:tc>
      </w:tr>
      <w:tr w:rsidR="00F85C19" w14:paraId="1A869B5F" w14:textId="77777777" w:rsidTr="00F85C19">
        <w:tc>
          <w:tcPr>
            <w:tcW w:w="2970" w:type="dxa"/>
            <w:tcBorders>
              <w:top w:val="nil"/>
              <w:left w:val="nil"/>
              <w:bottom w:val="single" w:sz="4" w:space="0" w:color="auto"/>
              <w:right w:val="nil"/>
            </w:tcBorders>
          </w:tcPr>
          <w:p w14:paraId="59DA8178" w14:textId="77777777" w:rsidR="00F85C19" w:rsidRDefault="00F85C19">
            <w:pPr>
              <w:pStyle w:val="Header"/>
              <w:rPr>
                <w:rFonts w:ascii="Times New Roman" w:hAnsi="Times New Roman" w:cs="Times New Roman"/>
                <w:b/>
                <w:bCs/>
                <w:sz w:val="16"/>
                <w:szCs w:val="16"/>
              </w:rPr>
            </w:pPr>
          </w:p>
        </w:tc>
        <w:tc>
          <w:tcPr>
            <w:tcW w:w="4765" w:type="dxa"/>
            <w:tcBorders>
              <w:top w:val="nil"/>
              <w:left w:val="nil"/>
              <w:bottom w:val="single" w:sz="4" w:space="0" w:color="auto"/>
              <w:right w:val="nil"/>
            </w:tcBorders>
          </w:tcPr>
          <w:p w14:paraId="2EA5AE17" w14:textId="77777777" w:rsidR="00F85C19" w:rsidRDefault="00F85C19">
            <w:pPr>
              <w:pStyle w:val="Header"/>
              <w:rPr>
                <w:rFonts w:ascii="Times New Roman" w:hAnsi="Times New Roman" w:cs="Times New Roman"/>
                <w:b/>
                <w:bCs/>
                <w:i/>
                <w:iCs/>
              </w:rPr>
            </w:pPr>
          </w:p>
        </w:tc>
        <w:tc>
          <w:tcPr>
            <w:tcW w:w="3055" w:type="dxa"/>
            <w:tcBorders>
              <w:top w:val="nil"/>
              <w:left w:val="nil"/>
              <w:bottom w:val="single" w:sz="4" w:space="0" w:color="auto"/>
              <w:right w:val="nil"/>
            </w:tcBorders>
          </w:tcPr>
          <w:p w14:paraId="25146580" w14:textId="77777777" w:rsidR="00F85C19" w:rsidRDefault="00F85C19">
            <w:pPr>
              <w:pStyle w:val="Header"/>
              <w:jc w:val="right"/>
              <w:rPr>
                <w:rFonts w:ascii="Times New Roman" w:hAnsi="Times New Roman" w:cs="Times New Roman"/>
                <w:sz w:val="18"/>
                <w:szCs w:val="18"/>
              </w:rPr>
            </w:pPr>
          </w:p>
        </w:tc>
      </w:tr>
      <w:tr w:rsidR="00F85C19" w14:paraId="4D54D8EB" w14:textId="77777777" w:rsidTr="00F85C19">
        <w:tc>
          <w:tcPr>
            <w:tcW w:w="10790" w:type="dxa"/>
            <w:gridSpan w:val="3"/>
            <w:tcBorders>
              <w:top w:val="single" w:sz="4" w:space="0" w:color="auto"/>
              <w:left w:val="nil"/>
              <w:bottom w:val="single" w:sz="4" w:space="0" w:color="auto"/>
              <w:right w:val="nil"/>
            </w:tcBorders>
            <w:hideMark/>
          </w:tcPr>
          <w:p w14:paraId="39034402" w14:textId="77777777" w:rsidR="00F85C19" w:rsidRDefault="00F85C19">
            <w:pPr>
              <w:pStyle w:val="Header"/>
              <w:jc w:val="center"/>
              <w:rPr>
                <w:rFonts w:ascii="Times New Roman" w:hAnsi="Times New Roman" w:cs="Times New Roman"/>
                <w:sz w:val="18"/>
                <w:szCs w:val="18"/>
              </w:rPr>
            </w:pPr>
            <w:r>
              <w:rPr>
                <w:rFonts w:ascii="Times New Roman" w:hAnsi="Times New Roman" w:cs="Times New Roman"/>
                <w:b/>
                <w:bCs/>
                <w:smallCaps/>
                <w:sz w:val="20"/>
                <w:szCs w:val="20"/>
              </w:rPr>
              <w:sym w:font="Wingdings 2" w:char="F0F3"/>
            </w:r>
            <w:r>
              <w:rPr>
                <w:rFonts w:ascii="Times New Roman" w:hAnsi="Times New Roman" w:cs="Times New Roman"/>
                <w:b/>
                <w:bCs/>
                <w:smallCaps/>
                <w:sz w:val="20"/>
                <w:szCs w:val="20"/>
              </w:rPr>
              <w:t xml:space="preserve"> </w:t>
            </w:r>
            <w:r>
              <w:rPr>
                <w:rFonts w:ascii="Times New Roman" w:hAnsi="Times New Roman" w:cs="Times New Roman"/>
                <w:b/>
                <w:bCs/>
                <w:sz w:val="20"/>
                <w:szCs w:val="20"/>
              </w:rPr>
              <w:t xml:space="preserve">3365 SOUTH 900 WEST, SOUTH SALT LAKE, UT 84119 </w:t>
            </w:r>
            <w:r>
              <w:rPr>
                <w:rFonts w:ascii="Times New Roman" w:hAnsi="Times New Roman" w:cs="Times New Roman"/>
                <w:b/>
                <w:bCs/>
                <w:smallCaps/>
                <w:sz w:val="20"/>
                <w:szCs w:val="20"/>
              </w:rPr>
              <w:sym w:font="Wingdings 2" w:char="F0F3"/>
            </w:r>
            <w:r>
              <w:rPr>
                <w:rFonts w:ascii="Times New Roman" w:hAnsi="Times New Roman" w:cs="Times New Roman"/>
                <w:b/>
                <w:bCs/>
                <w:sz w:val="20"/>
                <w:szCs w:val="20"/>
              </w:rPr>
              <w:t xml:space="preserve"> (385) 468-9671 </w:t>
            </w:r>
            <w:r>
              <w:rPr>
                <w:rFonts w:ascii="Times New Roman" w:hAnsi="Times New Roman" w:cs="Times New Roman"/>
                <w:b/>
                <w:bCs/>
                <w:smallCaps/>
                <w:sz w:val="20"/>
                <w:szCs w:val="20"/>
              </w:rPr>
              <w:sym w:font="Wingdings 2" w:char="F0F3"/>
            </w:r>
          </w:p>
        </w:tc>
      </w:tr>
    </w:tbl>
    <w:p w14:paraId="4B128131" w14:textId="77777777" w:rsidR="00F85C19" w:rsidRDefault="00F85C19" w:rsidP="00F85C19">
      <w:pPr>
        <w:pStyle w:val="Header"/>
      </w:pPr>
    </w:p>
    <w:p w14:paraId="5F54D227" w14:textId="12037992" w:rsidR="00DD4D56" w:rsidRPr="00F85C19" w:rsidRDefault="00BC1CAA" w:rsidP="002B7F5C">
      <w:pPr>
        <w:jc w:val="center"/>
        <w:rPr>
          <w:b/>
          <w:sz w:val="28"/>
          <w:szCs w:val="28"/>
        </w:rPr>
      </w:pPr>
      <w:r>
        <w:rPr>
          <w:b/>
          <w:sz w:val="28"/>
          <w:szCs w:val="28"/>
        </w:rPr>
        <w:t xml:space="preserve">REPORT </w:t>
      </w:r>
      <w:r w:rsidR="0079622D">
        <w:rPr>
          <w:b/>
          <w:sz w:val="28"/>
          <w:szCs w:val="28"/>
        </w:rPr>
        <w:t xml:space="preserve">ON THE PURPOSES FOR </w:t>
      </w:r>
      <w:r w:rsidR="002A7A1D">
        <w:rPr>
          <w:b/>
          <w:sz w:val="28"/>
          <w:szCs w:val="28"/>
        </w:rPr>
        <w:t>CONSIDERING</w:t>
      </w:r>
      <w:r w:rsidR="0079622D">
        <w:rPr>
          <w:b/>
          <w:sz w:val="28"/>
          <w:szCs w:val="28"/>
        </w:rPr>
        <w:t xml:space="preserve"> AN</w:t>
      </w:r>
      <w:r w:rsidR="00B25ACF">
        <w:rPr>
          <w:b/>
          <w:sz w:val="28"/>
          <w:szCs w:val="28"/>
        </w:rPr>
        <w:t xml:space="preserve"> INCREASE IN BUDGETED </w:t>
      </w:r>
      <w:r w:rsidR="00381A1B">
        <w:rPr>
          <w:b/>
          <w:sz w:val="28"/>
          <w:szCs w:val="28"/>
        </w:rPr>
        <w:t xml:space="preserve">PROPERTY TAX </w:t>
      </w:r>
      <w:r w:rsidR="00B25ACF">
        <w:rPr>
          <w:b/>
          <w:sz w:val="28"/>
          <w:szCs w:val="28"/>
        </w:rPr>
        <w:t xml:space="preserve">REVENUES </w:t>
      </w:r>
      <w:r w:rsidR="0079622D">
        <w:rPr>
          <w:b/>
          <w:sz w:val="28"/>
          <w:szCs w:val="28"/>
        </w:rPr>
        <w:t xml:space="preserve">FROM </w:t>
      </w:r>
      <w:r w:rsidR="00381A1B">
        <w:rPr>
          <w:b/>
          <w:sz w:val="28"/>
          <w:szCs w:val="28"/>
        </w:rPr>
        <w:t xml:space="preserve">THE </w:t>
      </w:r>
      <w:r w:rsidR="0079622D">
        <w:rPr>
          <w:b/>
          <w:sz w:val="28"/>
          <w:szCs w:val="28"/>
        </w:rPr>
        <w:t xml:space="preserve">PRIOR YEAR BUDGETED </w:t>
      </w:r>
      <w:r w:rsidR="00381A1B">
        <w:rPr>
          <w:b/>
          <w:sz w:val="28"/>
          <w:szCs w:val="28"/>
        </w:rPr>
        <w:t xml:space="preserve">PROPERTY TAX </w:t>
      </w:r>
      <w:r w:rsidR="0079622D">
        <w:rPr>
          <w:b/>
          <w:sz w:val="28"/>
          <w:szCs w:val="28"/>
        </w:rPr>
        <w:t xml:space="preserve">REVENUES </w:t>
      </w:r>
      <w:r w:rsidR="00381A1B">
        <w:rPr>
          <w:b/>
          <w:sz w:val="28"/>
          <w:szCs w:val="28"/>
        </w:rPr>
        <w:t>BY</w:t>
      </w:r>
      <w:r w:rsidR="0079622D">
        <w:rPr>
          <w:b/>
          <w:sz w:val="28"/>
          <w:szCs w:val="28"/>
        </w:rPr>
        <w:t xml:space="preserve"> </w:t>
      </w:r>
      <w:r w:rsidR="00CA16E8">
        <w:rPr>
          <w:b/>
          <w:sz w:val="28"/>
          <w:szCs w:val="28"/>
        </w:rPr>
        <w:t>16</w:t>
      </w:r>
      <w:r w:rsidR="006F2F1A">
        <w:rPr>
          <w:b/>
          <w:sz w:val="28"/>
          <w:szCs w:val="28"/>
        </w:rPr>
        <w:t>.5</w:t>
      </w:r>
      <w:r w:rsidR="0079622D">
        <w:rPr>
          <w:b/>
          <w:sz w:val="28"/>
          <w:szCs w:val="28"/>
        </w:rPr>
        <w:t>% FOR CALENDAR YEAR 202</w:t>
      </w:r>
      <w:r w:rsidR="00BE73AA">
        <w:rPr>
          <w:b/>
          <w:sz w:val="28"/>
          <w:szCs w:val="28"/>
        </w:rPr>
        <w:t>2</w:t>
      </w:r>
      <w:r w:rsidR="0079622D">
        <w:rPr>
          <w:b/>
          <w:sz w:val="28"/>
          <w:szCs w:val="28"/>
        </w:rPr>
        <w:t>.</w:t>
      </w:r>
    </w:p>
    <w:p w14:paraId="5DFB7BA1" w14:textId="77777777" w:rsidR="00983192" w:rsidRDefault="00983192" w:rsidP="00983192">
      <w:pPr>
        <w:tabs>
          <w:tab w:val="left" w:pos="3885"/>
        </w:tabs>
        <w:rPr>
          <w:bCs/>
          <w:sz w:val="24"/>
          <w:szCs w:val="24"/>
        </w:rPr>
      </w:pPr>
    </w:p>
    <w:p w14:paraId="7314E568" w14:textId="04C700A9" w:rsidR="00983192" w:rsidRPr="007C3D8B" w:rsidRDefault="00983192" w:rsidP="00983192">
      <w:pPr>
        <w:tabs>
          <w:tab w:val="left" w:pos="3885"/>
        </w:tabs>
        <w:rPr>
          <w:b/>
          <w:sz w:val="24"/>
          <w:szCs w:val="24"/>
          <w:u w:val="single"/>
        </w:rPr>
      </w:pPr>
      <w:r w:rsidRPr="007C3D8B">
        <w:rPr>
          <w:b/>
          <w:sz w:val="24"/>
          <w:szCs w:val="24"/>
          <w:u w:val="single"/>
        </w:rPr>
        <w:t>Int</w:t>
      </w:r>
      <w:r w:rsidR="00381A1B" w:rsidRPr="007C3D8B">
        <w:rPr>
          <w:b/>
          <w:sz w:val="24"/>
          <w:szCs w:val="24"/>
          <w:u w:val="single"/>
        </w:rPr>
        <w:t>roduction.</w:t>
      </w:r>
    </w:p>
    <w:p w14:paraId="0E91CAB7" w14:textId="175240A0" w:rsidR="002C2B7F" w:rsidRPr="007C3D8B" w:rsidRDefault="002A7A1D" w:rsidP="00983192">
      <w:pPr>
        <w:tabs>
          <w:tab w:val="left" w:pos="3885"/>
        </w:tabs>
        <w:rPr>
          <w:bCs/>
          <w:sz w:val="24"/>
          <w:szCs w:val="24"/>
        </w:rPr>
      </w:pPr>
      <w:r w:rsidRPr="007C3D8B">
        <w:rPr>
          <w:bCs/>
          <w:sz w:val="24"/>
          <w:szCs w:val="24"/>
        </w:rPr>
        <w:t xml:space="preserve">On </w:t>
      </w:r>
      <w:r w:rsidR="00BE73AA" w:rsidRPr="007C3D8B">
        <w:rPr>
          <w:bCs/>
          <w:sz w:val="24"/>
          <w:szCs w:val="24"/>
        </w:rPr>
        <w:t>August 1</w:t>
      </w:r>
      <w:r w:rsidR="0068790A">
        <w:rPr>
          <w:bCs/>
          <w:sz w:val="24"/>
          <w:szCs w:val="24"/>
        </w:rPr>
        <w:t>9</w:t>
      </w:r>
      <w:r w:rsidR="00BE73AA" w:rsidRPr="007C3D8B">
        <w:rPr>
          <w:bCs/>
          <w:sz w:val="24"/>
          <w:szCs w:val="24"/>
        </w:rPr>
        <w:t>, 2021,</w:t>
      </w:r>
      <w:r w:rsidR="00381A1B" w:rsidRPr="007C3D8B">
        <w:rPr>
          <w:bCs/>
          <w:sz w:val="24"/>
          <w:szCs w:val="24"/>
        </w:rPr>
        <w:t xml:space="preserve"> </w:t>
      </w:r>
      <w:r w:rsidR="00983192" w:rsidRPr="007C3D8B">
        <w:rPr>
          <w:bCs/>
          <w:sz w:val="24"/>
          <w:szCs w:val="24"/>
        </w:rPr>
        <w:t>the S</w:t>
      </w:r>
      <w:r w:rsidR="00BE73AA" w:rsidRPr="007C3D8B">
        <w:rPr>
          <w:bCs/>
          <w:sz w:val="24"/>
          <w:szCs w:val="24"/>
        </w:rPr>
        <w:t xml:space="preserve">alt Lake Valley Law Enforcement Service Area (SLVLESA) </w:t>
      </w:r>
      <w:r w:rsidR="00983192" w:rsidRPr="007C3D8B">
        <w:rPr>
          <w:bCs/>
          <w:sz w:val="24"/>
          <w:szCs w:val="24"/>
        </w:rPr>
        <w:t xml:space="preserve">Board of Trustees (the “Board”) </w:t>
      </w:r>
      <w:r w:rsidR="00381A1B" w:rsidRPr="007C3D8B">
        <w:rPr>
          <w:bCs/>
          <w:sz w:val="24"/>
          <w:szCs w:val="24"/>
        </w:rPr>
        <w:t xml:space="preserve">passed a resolution stating an intent to increase </w:t>
      </w:r>
      <w:r w:rsidR="005A381E" w:rsidRPr="007C3D8B">
        <w:rPr>
          <w:bCs/>
          <w:sz w:val="24"/>
          <w:szCs w:val="24"/>
        </w:rPr>
        <w:t>it</w:t>
      </w:r>
      <w:r w:rsidR="00905172" w:rsidRPr="007C3D8B">
        <w:rPr>
          <w:bCs/>
          <w:sz w:val="24"/>
          <w:szCs w:val="24"/>
        </w:rPr>
        <w:t>s</w:t>
      </w:r>
      <w:r w:rsidR="005A381E" w:rsidRPr="007C3D8B">
        <w:rPr>
          <w:bCs/>
          <w:sz w:val="24"/>
          <w:szCs w:val="24"/>
        </w:rPr>
        <w:t xml:space="preserve"> </w:t>
      </w:r>
      <w:r w:rsidR="00381A1B" w:rsidRPr="007C3D8B">
        <w:rPr>
          <w:bCs/>
          <w:sz w:val="24"/>
          <w:szCs w:val="24"/>
        </w:rPr>
        <w:t>budgeted property tax revenue</w:t>
      </w:r>
      <w:r w:rsidRPr="007C3D8B">
        <w:rPr>
          <w:bCs/>
          <w:sz w:val="24"/>
          <w:szCs w:val="24"/>
        </w:rPr>
        <w:t>s</w:t>
      </w:r>
      <w:r w:rsidR="00381A1B" w:rsidRPr="007C3D8B">
        <w:rPr>
          <w:bCs/>
          <w:sz w:val="24"/>
          <w:szCs w:val="24"/>
        </w:rPr>
        <w:t xml:space="preserve"> from the prior year property tax revenue</w:t>
      </w:r>
      <w:r w:rsidRPr="007C3D8B">
        <w:rPr>
          <w:bCs/>
          <w:sz w:val="24"/>
          <w:szCs w:val="24"/>
        </w:rPr>
        <w:t>s</w:t>
      </w:r>
      <w:r w:rsidR="00381A1B" w:rsidRPr="007C3D8B">
        <w:rPr>
          <w:bCs/>
          <w:sz w:val="24"/>
          <w:szCs w:val="24"/>
        </w:rPr>
        <w:t xml:space="preserve"> by </w:t>
      </w:r>
      <w:r w:rsidR="00EE3A40">
        <w:rPr>
          <w:bCs/>
          <w:sz w:val="24"/>
          <w:szCs w:val="24"/>
        </w:rPr>
        <w:t>16</w:t>
      </w:r>
      <w:r w:rsidR="006F2F1A">
        <w:rPr>
          <w:bCs/>
          <w:sz w:val="24"/>
          <w:szCs w:val="24"/>
        </w:rPr>
        <w:t>.5</w:t>
      </w:r>
      <w:r w:rsidR="00381A1B" w:rsidRPr="007C3D8B">
        <w:rPr>
          <w:bCs/>
          <w:sz w:val="24"/>
          <w:szCs w:val="24"/>
        </w:rPr>
        <w:t>% for calendar year 202</w:t>
      </w:r>
      <w:r w:rsidR="00BE73AA" w:rsidRPr="007C3D8B">
        <w:rPr>
          <w:bCs/>
          <w:sz w:val="24"/>
          <w:szCs w:val="24"/>
        </w:rPr>
        <w:t>2</w:t>
      </w:r>
      <w:r w:rsidRPr="007C3D8B">
        <w:rPr>
          <w:bCs/>
          <w:sz w:val="24"/>
          <w:szCs w:val="24"/>
        </w:rPr>
        <w:t>.  As a result,</w:t>
      </w:r>
      <w:r w:rsidR="00381A1B" w:rsidRPr="007C3D8B">
        <w:rPr>
          <w:bCs/>
          <w:sz w:val="24"/>
          <w:szCs w:val="24"/>
        </w:rPr>
        <w:t xml:space="preserve"> </w:t>
      </w:r>
      <w:r w:rsidR="008D4A94" w:rsidRPr="007C3D8B">
        <w:rPr>
          <w:bCs/>
          <w:sz w:val="24"/>
          <w:szCs w:val="24"/>
        </w:rPr>
        <w:t>the Board would levy a tax rate for calendar year 202</w:t>
      </w:r>
      <w:r w:rsidR="00BE73AA" w:rsidRPr="007C3D8B">
        <w:rPr>
          <w:bCs/>
          <w:sz w:val="24"/>
          <w:szCs w:val="24"/>
        </w:rPr>
        <w:t>2</w:t>
      </w:r>
      <w:r w:rsidR="008D4A94" w:rsidRPr="007C3D8B">
        <w:rPr>
          <w:bCs/>
          <w:sz w:val="24"/>
          <w:szCs w:val="24"/>
        </w:rPr>
        <w:t xml:space="preserve"> that exceeds the certified tax rate.  </w:t>
      </w:r>
      <w:r w:rsidR="00983192" w:rsidRPr="007C3D8B">
        <w:rPr>
          <w:bCs/>
          <w:sz w:val="24"/>
          <w:szCs w:val="24"/>
        </w:rPr>
        <w:t xml:space="preserve">  </w:t>
      </w:r>
    </w:p>
    <w:p w14:paraId="48296745" w14:textId="099E40F6" w:rsidR="00801DEC" w:rsidRPr="007C3D8B" w:rsidRDefault="008D4A94" w:rsidP="00983192">
      <w:pPr>
        <w:tabs>
          <w:tab w:val="left" w:pos="3885"/>
        </w:tabs>
        <w:rPr>
          <w:bCs/>
          <w:sz w:val="24"/>
          <w:szCs w:val="24"/>
        </w:rPr>
      </w:pPr>
      <w:r w:rsidRPr="007C3D8B">
        <w:rPr>
          <w:bCs/>
          <w:sz w:val="24"/>
          <w:szCs w:val="24"/>
        </w:rPr>
        <w:t>The Board recognizes that under State law, there are strict procedural requirements that must be followed if the Board decides to approve an ad valorem property tax increase</w:t>
      </w:r>
      <w:r w:rsidR="002F0C07" w:rsidRPr="007C3D8B">
        <w:rPr>
          <w:bCs/>
          <w:sz w:val="24"/>
          <w:szCs w:val="24"/>
        </w:rPr>
        <w:t xml:space="preserve">. </w:t>
      </w:r>
      <w:r w:rsidRPr="007C3D8B">
        <w:rPr>
          <w:bCs/>
          <w:sz w:val="24"/>
          <w:szCs w:val="24"/>
        </w:rPr>
        <w:t>The</w:t>
      </w:r>
      <w:r w:rsidR="002F0C07" w:rsidRPr="007C3D8B">
        <w:rPr>
          <w:bCs/>
          <w:sz w:val="24"/>
          <w:szCs w:val="24"/>
        </w:rPr>
        <w:t xml:space="preserve"> </w:t>
      </w:r>
      <w:r w:rsidR="00381A1B" w:rsidRPr="007C3D8B">
        <w:rPr>
          <w:bCs/>
          <w:sz w:val="24"/>
          <w:szCs w:val="24"/>
        </w:rPr>
        <w:t>statement of intent to increase the ad valorem property taxes for calendar year 202</w:t>
      </w:r>
      <w:r w:rsidR="00BE73AA" w:rsidRPr="007C3D8B">
        <w:rPr>
          <w:bCs/>
          <w:sz w:val="24"/>
          <w:szCs w:val="24"/>
        </w:rPr>
        <w:t>2</w:t>
      </w:r>
      <w:r w:rsidR="00381A1B" w:rsidRPr="007C3D8B">
        <w:rPr>
          <w:bCs/>
          <w:sz w:val="24"/>
          <w:szCs w:val="24"/>
        </w:rPr>
        <w:t xml:space="preserve"> initiates the process.  </w:t>
      </w:r>
    </w:p>
    <w:p w14:paraId="3AB314D6" w14:textId="5E8D152A" w:rsidR="00041879" w:rsidRPr="007C3D8B" w:rsidRDefault="00041879" w:rsidP="00983192">
      <w:pPr>
        <w:tabs>
          <w:tab w:val="left" w:pos="3885"/>
        </w:tabs>
        <w:rPr>
          <w:bCs/>
          <w:sz w:val="24"/>
          <w:szCs w:val="24"/>
        </w:rPr>
      </w:pPr>
      <w:r w:rsidRPr="007C3D8B">
        <w:rPr>
          <w:bCs/>
          <w:sz w:val="24"/>
          <w:szCs w:val="24"/>
        </w:rPr>
        <w:t>P</w:t>
      </w:r>
      <w:r w:rsidR="000B0CAF" w:rsidRPr="007C3D8B">
        <w:rPr>
          <w:bCs/>
          <w:sz w:val="24"/>
          <w:szCs w:val="24"/>
        </w:rPr>
        <w:t xml:space="preserve">rior to the adoption of the </w:t>
      </w:r>
      <w:r w:rsidRPr="007C3D8B">
        <w:rPr>
          <w:bCs/>
          <w:sz w:val="24"/>
          <w:szCs w:val="24"/>
        </w:rPr>
        <w:t xml:space="preserve">SLVLESA </w:t>
      </w:r>
      <w:r w:rsidR="000B0CAF" w:rsidRPr="007C3D8B">
        <w:rPr>
          <w:bCs/>
          <w:sz w:val="24"/>
          <w:szCs w:val="24"/>
        </w:rPr>
        <w:t>final budget</w:t>
      </w:r>
      <w:r w:rsidRPr="007C3D8B">
        <w:rPr>
          <w:bCs/>
          <w:sz w:val="24"/>
          <w:szCs w:val="24"/>
        </w:rPr>
        <w:t xml:space="preserve"> on December </w:t>
      </w:r>
      <w:r w:rsidR="00BE73AA" w:rsidRPr="007C3D8B">
        <w:rPr>
          <w:bCs/>
          <w:sz w:val="24"/>
          <w:szCs w:val="24"/>
        </w:rPr>
        <w:t>16</w:t>
      </w:r>
      <w:r w:rsidRPr="007C3D8B">
        <w:rPr>
          <w:bCs/>
          <w:sz w:val="24"/>
          <w:szCs w:val="24"/>
        </w:rPr>
        <w:t>, 20</w:t>
      </w:r>
      <w:r w:rsidR="00BE73AA" w:rsidRPr="007C3D8B">
        <w:rPr>
          <w:bCs/>
          <w:sz w:val="24"/>
          <w:szCs w:val="24"/>
        </w:rPr>
        <w:t>2</w:t>
      </w:r>
      <w:r w:rsidR="009C5A2C" w:rsidRPr="007C3D8B">
        <w:rPr>
          <w:bCs/>
          <w:sz w:val="24"/>
          <w:szCs w:val="24"/>
        </w:rPr>
        <w:t>1</w:t>
      </w:r>
      <w:r w:rsidR="000B0CAF" w:rsidRPr="007C3D8B">
        <w:rPr>
          <w:bCs/>
          <w:sz w:val="24"/>
          <w:szCs w:val="24"/>
        </w:rPr>
        <w:t xml:space="preserve">, </w:t>
      </w:r>
      <w:r w:rsidR="00D611CC" w:rsidRPr="007C3D8B">
        <w:rPr>
          <w:bCs/>
          <w:sz w:val="24"/>
          <w:szCs w:val="24"/>
        </w:rPr>
        <w:t xml:space="preserve">the property tax increase must be reviewed in open meetings by the councils of all </w:t>
      </w:r>
      <w:r w:rsidR="002C2B7F" w:rsidRPr="007C3D8B">
        <w:rPr>
          <w:bCs/>
          <w:sz w:val="24"/>
          <w:szCs w:val="24"/>
        </w:rPr>
        <w:t xml:space="preserve">SLVLESA </w:t>
      </w:r>
      <w:r w:rsidR="00D611CC" w:rsidRPr="007C3D8B">
        <w:rPr>
          <w:bCs/>
          <w:sz w:val="24"/>
          <w:szCs w:val="24"/>
        </w:rPr>
        <w:t xml:space="preserve">members and </w:t>
      </w:r>
      <w:r w:rsidR="002B6CC2" w:rsidRPr="007C3D8B">
        <w:rPr>
          <w:bCs/>
          <w:sz w:val="24"/>
          <w:szCs w:val="24"/>
        </w:rPr>
        <w:t xml:space="preserve">be </w:t>
      </w:r>
      <w:r w:rsidR="00D611CC" w:rsidRPr="007C3D8B">
        <w:rPr>
          <w:bCs/>
          <w:sz w:val="24"/>
          <w:szCs w:val="24"/>
        </w:rPr>
        <w:t xml:space="preserve">approved by all municipal councils and the Salt Lake County Council or by a majority of the </w:t>
      </w:r>
      <w:r w:rsidR="009C5A2C" w:rsidRPr="007C3D8B">
        <w:rPr>
          <w:bCs/>
          <w:sz w:val="24"/>
          <w:szCs w:val="24"/>
        </w:rPr>
        <w:t xml:space="preserve">SLVLESA </w:t>
      </w:r>
      <w:r w:rsidR="00D611CC" w:rsidRPr="007C3D8B">
        <w:rPr>
          <w:bCs/>
          <w:sz w:val="24"/>
          <w:szCs w:val="24"/>
        </w:rPr>
        <w:t>m</w:t>
      </w:r>
      <w:r w:rsidR="00BE73AA" w:rsidRPr="007C3D8B">
        <w:rPr>
          <w:bCs/>
          <w:sz w:val="24"/>
          <w:szCs w:val="24"/>
        </w:rPr>
        <w:t xml:space="preserve">ember </w:t>
      </w:r>
      <w:r w:rsidR="00D611CC" w:rsidRPr="007C3D8B">
        <w:rPr>
          <w:bCs/>
          <w:sz w:val="24"/>
          <w:szCs w:val="24"/>
        </w:rPr>
        <w:t>councils</w:t>
      </w:r>
      <w:r w:rsidR="00BE73AA" w:rsidRPr="007C3D8B">
        <w:rPr>
          <w:bCs/>
          <w:sz w:val="24"/>
          <w:szCs w:val="24"/>
        </w:rPr>
        <w:t xml:space="preserve">, however, </w:t>
      </w:r>
      <w:r w:rsidR="00D611CC" w:rsidRPr="007C3D8B">
        <w:rPr>
          <w:bCs/>
          <w:sz w:val="24"/>
          <w:szCs w:val="24"/>
        </w:rPr>
        <w:t xml:space="preserve">the Salt Lake County Council </w:t>
      </w:r>
      <w:r w:rsidR="00BE73AA" w:rsidRPr="007C3D8B">
        <w:rPr>
          <w:bCs/>
          <w:sz w:val="24"/>
          <w:szCs w:val="24"/>
        </w:rPr>
        <w:t xml:space="preserve">must approve </w:t>
      </w:r>
      <w:r w:rsidR="009C5A2C" w:rsidRPr="007C3D8B">
        <w:rPr>
          <w:bCs/>
          <w:sz w:val="24"/>
          <w:szCs w:val="24"/>
        </w:rPr>
        <w:t xml:space="preserve">the increase </w:t>
      </w:r>
      <w:r w:rsidR="00D611CC" w:rsidRPr="007C3D8B">
        <w:rPr>
          <w:bCs/>
          <w:sz w:val="24"/>
          <w:szCs w:val="24"/>
        </w:rPr>
        <w:t xml:space="preserve">by </w:t>
      </w:r>
      <w:r w:rsidR="00BE73AA" w:rsidRPr="007C3D8B">
        <w:rPr>
          <w:bCs/>
          <w:sz w:val="24"/>
          <w:szCs w:val="24"/>
        </w:rPr>
        <w:t xml:space="preserve">at least a </w:t>
      </w:r>
      <w:r w:rsidR="00D611CC" w:rsidRPr="007C3D8B">
        <w:rPr>
          <w:bCs/>
          <w:sz w:val="24"/>
          <w:szCs w:val="24"/>
        </w:rPr>
        <w:t xml:space="preserve">two-thirds vote.  </w:t>
      </w:r>
      <w:r w:rsidR="00BE73AA" w:rsidRPr="007C3D8B">
        <w:rPr>
          <w:bCs/>
          <w:sz w:val="24"/>
          <w:szCs w:val="24"/>
        </w:rPr>
        <w:t xml:space="preserve">Notices will be mailed to all record property owners within SLVLESA.  Notice will also be published in the Salt Lake Tribune and the Deseret News.  </w:t>
      </w:r>
      <w:r w:rsidRPr="007C3D8B">
        <w:rPr>
          <w:bCs/>
          <w:sz w:val="24"/>
          <w:szCs w:val="24"/>
        </w:rPr>
        <w:t xml:space="preserve">The public </w:t>
      </w:r>
      <w:r w:rsidR="00BE73AA" w:rsidRPr="007C3D8B">
        <w:rPr>
          <w:bCs/>
          <w:sz w:val="24"/>
          <w:szCs w:val="24"/>
        </w:rPr>
        <w:t xml:space="preserve">will have </w:t>
      </w:r>
      <w:r w:rsidR="00381A1B" w:rsidRPr="007C3D8B">
        <w:rPr>
          <w:bCs/>
          <w:sz w:val="24"/>
          <w:szCs w:val="24"/>
        </w:rPr>
        <w:t xml:space="preserve">an </w:t>
      </w:r>
      <w:r w:rsidRPr="007C3D8B">
        <w:rPr>
          <w:bCs/>
          <w:sz w:val="24"/>
          <w:szCs w:val="24"/>
        </w:rPr>
        <w:t xml:space="preserve">opportunity to provide input at a duly noticed public hearing on December </w:t>
      </w:r>
      <w:r w:rsidR="00BE73AA" w:rsidRPr="007C3D8B">
        <w:rPr>
          <w:bCs/>
          <w:sz w:val="24"/>
          <w:szCs w:val="24"/>
        </w:rPr>
        <w:t>16, 2021,</w:t>
      </w:r>
      <w:r w:rsidR="00EA433F" w:rsidRPr="007C3D8B">
        <w:rPr>
          <w:bCs/>
          <w:sz w:val="24"/>
          <w:szCs w:val="24"/>
        </w:rPr>
        <w:t xml:space="preserve"> before a final decision is made.</w:t>
      </w:r>
      <w:r w:rsidRPr="007C3D8B">
        <w:rPr>
          <w:bCs/>
          <w:sz w:val="24"/>
          <w:szCs w:val="24"/>
        </w:rPr>
        <w:t xml:space="preserve">  </w:t>
      </w:r>
      <w:r w:rsidR="0068790A">
        <w:rPr>
          <w:bCs/>
          <w:sz w:val="24"/>
          <w:szCs w:val="24"/>
        </w:rPr>
        <w:t>T</w:t>
      </w:r>
      <w:r w:rsidR="00D611CC" w:rsidRPr="007C3D8B">
        <w:rPr>
          <w:bCs/>
          <w:sz w:val="24"/>
          <w:szCs w:val="24"/>
        </w:rPr>
        <w:t xml:space="preserve">he resolution approving a statement of intent to increase </w:t>
      </w:r>
      <w:r w:rsidR="009C5A2C" w:rsidRPr="007C3D8B">
        <w:rPr>
          <w:bCs/>
          <w:sz w:val="24"/>
          <w:szCs w:val="24"/>
        </w:rPr>
        <w:t xml:space="preserve">budgeted property tax revenues </w:t>
      </w:r>
      <w:r w:rsidR="00D611CC" w:rsidRPr="007C3D8B">
        <w:rPr>
          <w:bCs/>
          <w:sz w:val="24"/>
          <w:szCs w:val="24"/>
        </w:rPr>
        <w:t>starts the proce</w:t>
      </w:r>
      <w:r w:rsidR="002C2B7F" w:rsidRPr="007C3D8B">
        <w:rPr>
          <w:bCs/>
          <w:sz w:val="24"/>
          <w:szCs w:val="24"/>
        </w:rPr>
        <w:t>ss</w:t>
      </w:r>
      <w:r w:rsidR="00EA433F" w:rsidRPr="007C3D8B">
        <w:rPr>
          <w:bCs/>
          <w:sz w:val="24"/>
          <w:szCs w:val="24"/>
        </w:rPr>
        <w:t>,</w:t>
      </w:r>
      <w:r w:rsidR="002C2B7F" w:rsidRPr="007C3D8B">
        <w:rPr>
          <w:bCs/>
          <w:sz w:val="24"/>
          <w:szCs w:val="24"/>
        </w:rPr>
        <w:t xml:space="preserve"> </w:t>
      </w:r>
      <w:r w:rsidR="00D611CC" w:rsidRPr="007C3D8B">
        <w:rPr>
          <w:bCs/>
          <w:sz w:val="24"/>
          <w:szCs w:val="24"/>
        </w:rPr>
        <w:t>but</w:t>
      </w:r>
      <w:r w:rsidR="002C2B7F" w:rsidRPr="007C3D8B">
        <w:rPr>
          <w:bCs/>
          <w:sz w:val="24"/>
          <w:szCs w:val="24"/>
        </w:rPr>
        <w:t xml:space="preserve"> the </w:t>
      </w:r>
      <w:r w:rsidR="00EE3A40">
        <w:rPr>
          <w:bCs/>
          <w:sz w:val="24"/>
          <w:szCs w:val="24"/>
        </w:rPr>
        <w:t xml:space="preserve">increase in </w:t>
      </w:r>
      <w:r w:rsidR="009C5A2C" w:rsidRPr="007C3D8B">
        <w:rPr>
          <w:bCs/>
          <w:sz w:val="24"/>
          <w:szCs w:val="24"/>
        </w:rPr>
        <w:t xml:space="preserve">budgeted </w:t>
      </w:r>
      <w:r w:rsidR="005A381E" w:rsidRPr="007C3D8B">
        <w:rPr>
          <w:bCs/>
          <w:sz w:val="24"/>
          <w:szCs w:val="24"/>
        </w:rPr>
        <w:t xml:space="preserve">property </w:t>
      </w:r>
      <w:r w:rsidR="002C2B7F" w:rsidRPr="007C3D8B">
        <w:rPr>
          <w:bCs/>
          <w:sz w:val="24"/>
          <w:szCs w:val="24"/>
        </w:rPr>
        <w:t xml:space="preserve">tax </w:t>
      </w:r>
      <w:r w:rsidR="009C5A2C" w:rsidRPr="007C3D8B">
        <w:rPr>
          <w:bCs/>
          <w:sz w:val="24"/>
          <w:szCs w:val="24"/>
        </w:rPr>
        <w:t xml:space="preserve">revenue </w:t>
      </w:r>
      <w:r w:rsidR="00D611CC" w:rsidRPr="007C3D8B">
        <w:rPr>
          <w:bCs/>
          <w:sz w:val="24"/>
          <w:szCs w:val="24"/>
        </w:rPr>
        <w:t xml:space="preserve">is not </w:t>
      </w:r>
      <w:r w:rsidRPr="007C3D8B">
        <w:rPr>
          <w:bCs/>
          <w:sz w:val="24"/>
          <w:szCs w:val="24"/>
        </w:rPr>
        <w:t xml:space="preserve">finally </w:t>
      </w:r>
      <w:r w:rsidR="00D611CC" w:rsidRPr="007C3D8B">
        <w:rPr>
          <w:bCs/>
          <w:sz w:val="24"/>
          <w:szCs w:val="24"/>
        </w:rPr>
        <w:t>determined until the process is completed</w:t>
      </w:r>
      <w:r w:rsidR="002C2B7F" w:rsidRPr="007C3D8B">
        <w:rPr>
          <w:bCs/>
          <w:sz w:val="24"/>
          <w:szCs w:val="24"/>
        </w:rPr>
        <w:t xml:space="preserve"> in December.</w:t>
      </w:r>
      <w:r w:rsidRPr="007C3D8B">
        <w:rPr>
          <w:bCs/>
          <w:sz w:val="24"/>
          <w:szCs w:val="24"/>
        </w:rPr>
        <w:t xml:space="preserve"> </w:t>
      </w:r>
    </w:p>
    <w:p w14:paraId="460DA082" w14:textId="6571E32B" w:rsidR="002F0C07" w:rsidRPr="007C3D8B" w:rsidRDefault="002F0C07" w:rsidP="00983192">
      <w:pPr>
        <w:tabs>
          <w:tab w:val="left" w:pos="3885"/>
        </w:tabs>
        <w:rPr>
          <w:bCs/>
          <w:sz w:val="24"/>
          <w:szCs w:val="24"/>
        </w:rPr>
      </w:pPr>
      <w:r w:rsidRPr="007C3D8B">
        <w:rPr>
          <w:bCs/>
          <w:sz w:val="24"/>
          <w:szCs w:val="24"/>
        </w:rPr>
        <w:t xml:space="preserve">This </w:t>
      </w:r>
      <w:r w:rsidR="009F3610" w:rsidRPr="007C3D8B">
        <w:rPr>
          <w:bCs/>
          <w:sz w:val="24"/>
          <w:szCs w:val="24"/>
        </w:rPr>
        <w:t xml:space="preserve">report discusses the purposes for an increase in </w:t>
      </w:r>
      <w:r w:rsidR="005A381E" w:rsidRPr="007C3D8B">
        <w:rPr>
          <w:bCs/>
          <w:sz w:val="24"/>
          <w:szCs w:val="24"/>
        </w:rPr>
        <w:t xml:space="preserve">SLVLESA </w:t>
      </w:r>
      <w:r w:rsidR="009F3610" w:rsidRPr="007C3D8B">
        <w:rPr>
          <w:bCs/>
          <w:sz w:val="24"/>
          <w:szCs w:val="24"/>
        </w:rPr>
        <w:t>budgeted property tax revenue as reviewed and discussed by the Board.</w:t>
      </w:r>
      <w:r w:rsidRPr="007C3D8B">
        <w:rPr>
          <w:bCs/>
          <w:sz w:val="24"/>
          <w:szCs w:val="24"/>
        </w:rPr>
        <w:t xml:space="preserve"> </w:t>
      </w:r>
    </w:p>
    <w:p w14:paraId="742FFE2E" w14:textId="05B00546" w:rsidR="00B17791" w:rsidRPr="007C3D8B" w:rsidRDefault="002A7A1D" w:rsidP="002B7F5C">
      <w:pPr>
        <w:rPr>
          <w:b/>
          <w:bCs/>
          <w:sz w:val="24"/>
          <w:szCs w:val="24"/>
          <w:u w:val="single"/>
        </w:rPr>
      </w:pPr>
      <w:r w:rsidRPr="007C3D8B">
        <w:rPr>
          <w:b/>
          <w:bCs/>
          <w:sz w:val="24"/>
          <w:szCs w:val="24"/>
          <w:u w:val="single"/>
        </w:rPr>
        <w:lastRenderedPageBreak/>
        <w:t xml:space="preserve">The </w:t>
      </w:r>
      <w:r w:rsidR="00F85C19" w:rsidRPr="007C3D8B">
        <w:rPr>
          <w:b/>
          <w:bCs/>
          <w:sz w:val="24"/>
          <w:szCs w:val="24"/>
          <w:u w:val="single"/>
        </w:rPr>
        <w:t xml:space="preserve">Proposed Increase of Budgeted </w:t>
      </w:r>
      <w:r w:rsidR="005A381E" w:rsidRPr="007C3D8B">
        <w:rPr>
          <w:b/>
          <w:bCs/>
          <w:sz w:val="24"/>
          <w:szCs w:val="24"/>
          <w:u w:val="single"/>
        </w:rPr>
        <w:t xml:space="preserve">Property Tax </w:t>
      </w:r>
      <w:r w:rsidR="00F85C19" w:rsidRPr="007C3D8B">
        <w:rPr>
          <w:b/>
          <w:bCs/>
          <w:sz w:val="24"/>
          <w:szCs w:val="24"/>
          <w:u w:val="single"/>
        </w:rPr>
        <w:t>Revenues for Calendar Year 202</w:t>
      </w:r>
      <w:r w:rsidR="00BE73AA" w:rsidRPr="007C3D8B">
        <w:rPr>
          <w:b/>
          <w:bCs/>
          <w:sz w:val="24"/>
          <w:szCs w:val="24"/>
          <w:u w:val="single"/>
        </w:rPr>
        <w:t>2</w:t>
      </w:r>
      <w:r w:rsidR="00F85C19" w:rsidRPr="007C3D8B">
        <w:rPr>
          <w:b/>
          <w:bCs/>
          <w:sz w:val="24"/>
          <w:szCs w:val="24"/>
          <w:u w:val="single"/>
        </w:rPr>
        <w:t>.</w:t>
      </w:r>
    </w:p>
    <w:p w14:paraId="75F86892" w14:textId="79EB01B7" w:rsidR="00801DEC" w:rsidRPr="007C3D8B" w:rsidRDefault="005F4EC9" w:rsidP="002B7F5C">
      <w:pPr>
        <w:rPr>
          <w:sz w:val="24"/>
          <w:szCs w:val="24"/>
        </w:rPr>
      </w:pPr>
      <w:r w:rsidRPr="007C3D8B">
        <w:rPr>
          <w:sz w:val="24"/>
          <w:szCs w:val="24"/>
        </w:rPr>
        <w:t>T</w:t>
      </w:r>
      <w:r w:rsidR="00AE708C" w:rsidRPr="007C3D8B">
        <w:rPr>
          <w:sz w:val="24"/>
          <w:szCs w:val="24"/>
        </w:rPr>
        <w:t xml:space="preserve">he </w:t>
      </w:r>
      <w:r w:rsidR="0068790A">
        <w:rPr>
          <w:sz w:val="24"/>
          <w:szCs w:val="24"/>
        </w:rPr>
        <w:t>R</w:t>
      </w:r>
      <w:r w:rsidR="009F3610" w:rsidRPr="007C3D8B">
        <w:rPr>
          <w:sz w:val="24"/>
          <w:szCs w:val="24"/>
        </w:rPr>
        <w:t xml:space="preserve">esolution passed by the Board on </w:t>
      </w:r>
      <w:r w:rsidR="00255519" w:rsidRPr="007C3D8B">
        <w:rPr>
          <w:sz w:val="24"/>
          <w:szCs w:val="24"/>
        </w:rPr>
        <w:t>August 1</w:t>
      </w:r>
      <w:r w:rsidR="00AE1FCD">
        <w:rPr>
          <w:sz w:val="24"/>
          <w:szCs w:val="24"/>
        </w:rPr>
        <w:t>9</w:t>
      </w:r>
      <w:r w:rsidR="00255519" w:rsidRPr="007C3D8B">
        <w:rPr>
          <w:sz w:val="24"/>
          <w:szCs w:val="24"/>
        </w:rPr>
        <w:t>, 2</w:t>
      </w:r>
      <w:r w:rsidR="009C5A2C" w:rsidRPr="007C3D8B">
        <w:rPr>
          <w:sz w:val="24"/>
          <w:szCs w:val="24"/>
        </w:rPr>
        <w:t>0</w:t>
      </w:r>
      <w:r w:rsidR="00255519" w:rsidRPr="007C3D8B">
        <w:rPr>
          <w:sz w:val="24"/>
          <w:szCs w:val="24"/>
        </w:rPr>
        <w:t>21</w:t>
      </w:r>
      <w:r w:rsidR="00EE3A40">
        <w:rPr>
          <w:sz w:val="24"/>
          <w:szCs w:val="24"/>
        </w:rPr>
        <w:t>,</w:t>
      </w:r>
      <w:r w:rsidR="009F3610" w:rsidRPr="007C3D8B">
        <w:rPr>
          <w:sz w:val="24"/>
          <w:szCs w:val="24"/>
        </w:rPr>
        <w:t xml:space="preserve"> </w:t>
      </w:r>
      <w:r w:rsidR="00AE708C" w:rsidRPr="007C3D8B">
        <w:rPr>
          <w:sz w:val="24"/>
          <w:szCs w:val="24"/>
        </w:rPr>
        <w:t>stat</w:t>
      </w:r>
      <w:r w:rsidR="009F3610" w:rsidRPr="007C3D8B">
        <w:rPr>
          <w:sz w:val="24"/>
          <w:szCs w:val="24"/>
        </w:rPr>
        <w:t>e</w:t>
      </w:r>
      <w:r w:rsidR="00EE3A40">
        <w:rPr>
          <w:sz w:val="24"/>
          <w:szCs w:val="24"/>
        </w:rPr>
        <w:t>s</w:t>
      </w:r>
      <w:r w:rsidR="009F3610" w:rsidRPr="007C3D8B">
        <w:rPr>
          <w:sz w:val="24"/>
          <w:szCs w:val="24"/>
        </w:rPr>
        <w:t xml:space="preserve"> an i</w:t>
      </w:r>
      <w:r w:rsidR="00AE708C" w:rsidRPr="007C3D8B">
        <w:rPr>
          <w:sz w:val="24"/>
          <w:szCs w:val="24"/>
        </w:rPr>
        <w:t xml:space="preserve">ntent to </w:t>
      </w:r>
      <w:r w:rsidR="009F3610" w:rsidRPr="007C3D8B">
        <w:rPr>
          <w:sz w:val="24"/>
          <w:szCs w:val="24"/>
        </w:rPr>
        <w:t xml:space="preserve">increase </w:t>
      </w:r>
      <w:r w:rsidR="005A381E" w:rsidRPr="007C3D8B">
        <w:rPr>
          <w:sz w:val="24"/>
          <w:szCs w:val="24"/>
        </w:rPr>
        <w:t xml:space="preserve">SLVLESA </w:t>
      </w:r>
      <w:r w:rsidR="009F3610" w:rsidRPr="007C3D8B">
        <w:rPr>
          <w:sz w:val="24"/>
          <w:szCs w:val="24"/>
        </w:rPr>
        <w:t>budgeted property tax revenue</w:t>
      </w:r>
      <w:r w:rsidR="002A7A1D" w:rsidRPr="007C3D8B">
        <w:rPr>
          <w:sz w:val="24"/>
          <w:szCs w:val="24"/>
        </w:rPr>
        <w:t>s</w:t>
      </w:r>
      <w:r w:rsidR="009F3610" w:rsidRPr="007C3D8B">
        <w:rPr>
          <w:sz w:val="24"/>
          <w:szCs w:val="24"/>
        </w:rPr>
        <w:t xml:space="preserve"> from prior year budgeted property tax revenue</w:t>
      </w:r>
      <w:r w:rsidR="002A7A1D" w:rsidRPr="007C3D8B">
        <w:rPr>
          <w:sz w:val="24"/>
          <w:szCs w:val="24"/>
        </w:rPr>
        <w:t>s</w:t>
      </w:r>
      <w:r w:rsidR="009F3610" w:rsidRPr="007C3D8B">
        <w:rPr>
          <w:sz w:val="24"/>
          <w:szCs w:val="24"/>
        </w:rPr>
        <w:t xml:space="preserve"> by </w:t>
      </w:r>
      <w:r w:rsidR="00EE3A40">
        <w:rPr>
          <w:sz w:val="24"/>
          <w:szCs w:val="24"/>
        </w:rPr>
        <w:t>16</w:t>
      </w:r>
      <w:r w:rsidR="006F2F1A">
        <w:rPr>
          <w:sz w:val="24"/>
          <w:szCs w:val="24"/>
        </w:rPr>
        <w:t>.5</w:t>
      </w:r>
      <w:r w:rsidR="009F3610" w:rsidRPr="007C3D8B">
        <w:rPr>
          <w:sz w:val="24"/>
          <w:szCs w:val="24"/>
        </w:rPr>
        <w:t xml:space="preserve">%.  Effectively, the Board would </w:t>
      </w:r>
      <w:r w:rsidR="00AE708C" w:rsidRPr="007C3D8B">
        <w:rPr>
          <w:sz w:val="24"/>
          <w:szCs w:val="24"/>
        </w:rPr>
        <w:t>levy a tax rate for calendar year 202</w:t>
      </w:r>
      <w:r w:rsidR="00255519" w:rsidRPr="007C3D8B">
        <w:rPr>
          <w:sz w:val="24"/>
          <w:szCs w:val="24"/>
        </w:rPr>
        <w:t>2</w:t>
      </w:r>
      <w:r w:rsidR="00AE708C" w:rsidRPr="007C3D8B">
        <w:rPr>
          <w:sz w:val="24"/>
          <w:szCs w:val="24"/>
        </w:rPr>
        <w:t xml:space="preserve"> that exceeds </w:t>
      </w:r>
      <w:r w:rsidRPr="007C3D8B">
        <w:rPr>
          <w:sz w:val="24"/>
          <w:szCs w:val="24"/>
        </w:rPr>
        <w:t>the</w:t>
      </w:r>
      <w:r w:rsidR="00AE708C" w:rsidRPr="007C3D8B">
        <w:rPr>
          <w:sz w:val="24"/>
          <w:szCs w:val="24"/>
        </w:rPr>
        <w:t xml:space="preserve"> certified tax rate</w:t>
      </w:r>
      <w:r w:rsidR="009F3610" w:rsidRPr="007C3D8B">
        <w:rPr>
          <w:sz w:val="24"/>
          <w:szCs w:val="24"/>
        </w:rPr>
        <w:t>.</w:t>
      </w:r>
      <w:r w:rsidR="00AE708C" w:rsidRPr="007C3D8B">
        <w:rPr>
          <w:sz w:val="24"/>
          <w:szCs w:val="24"/>
        </w:rPr>
        <w:t xml:space="preserve"> </w:t>
      </w:r>
      <w:r w:rsidR="00701E39" w:rsidRPr="007C3D8B">
        <w:rPr>
          <w:sz w:val="24"/>
          <w:szCs w:val="24"/>
        </w:rPr>
        <w:t>If the increase is approved, t</w:t>
      </w:r>
      <w:r w:rsidR="00AE708C" w:rsidRPr="007C3D8B">
        <w:rPr>
          <w:sz w:val="24"/>
          <w:szCs w:val="24"/>
        </w:rPr>
        <w:t>he dollar amount of the additional ad valorem property tax</w:t>
      </w:r>
      <w:r w:rsidR="00C96CF2" w:rsidRPr="007C3D8B">
        <w:rPr>
          <w:sz w:val="24"/>
          <w:szCs w:val="24"/>
        </w:rPr>
        <w:t xml:space="preserve"> revenue</w:t>
      </w:r>
      <w:r w:rsidR="00AE708C" w:rsidRPr="007C3D8B">
        <w:rPr>
          <w:sz w:val="24"/>
          <w:szCs w:val="24"/>
        </w:rPr>
        <w:t xml:space="preserve"> for </w:t>
      </w:r>
      <w:r w:rsidR="00701E39" w:rsidRPr="007C3D8B">
        <w:rPr>
          <w:sz w:val="24"/>
          <w:szCs w:val="24"/>
        </w:rPr>
        <w:t>SLVLESA’s</w:t>
      </w:r>
      <w:r w:rsidR="00AE708C" w:rsidRPr="007C3D8B">
        <w:rPr>
          <w:sz w:val="24"/>
          <w:szCs w:val="24"/>
        </w:rPr>
        <w:t xml:space="preserve"> calendar year 202</w:t>
      </w:r>
      <w:r w:rsidR="00255519" w:rsidRPr="007C3D8B">
        <w:rPr>
          <w:sz w:val="24"/>
          <w:szCs w:val="24"/>
        </w:rPr>
        <w:t>2</w:t>
      </w:r>
      <w:r w:rsidR="00AE708C" w:rsidRPr="007C3D8B">
        <w:rPr>
          <w:sz w:val="24"/>
          <w:szCs w:val="24"/>
        </w:rPr>
        <w:t xml:space="preserve"> budget</w:t>
      </w:r>
      <w:r w:rsidR="001932F3" w:rsidRPr="007C3D8B">
        <w:rPr>
          <w:sz w:val="24"/>
          <w:szCs w:val="24"/>
        </w:rPr>
        <w:t xml:space="preserve"> would be $ </w:t>
      </w:r>
      <w:r w:rsidR="00EE3A40">
        <w:rPr>
          <w:sz w:val="24"/>
          <w:szCs w:val="24"/>
        </w:rPr>
        <w:t>2,</w:t>
      </w:r>
      <w:r w:rsidR="006F2F1A">
        <w:rPr>
          <w:sz w:val="24"/>
          <w:szCs w:val="24"/>
        </w:rPr>
        <w:t>903,624</w:t>
      </w:r>
      <w:r w:rsidR="00EE3A40">
        <w:rPr>
          <w:sz w:val="24"/>
          <w:szCs w:val="24"/>
        </w:rPr>
        <w:t>.</w:t>
      </w:r>
    </w:p>
    <w:p w14:paraId="726D4D8D" w14:textId="37DC2EF9" w:rsidR="00AE708C" w:rsidRPr="007C3D8B" w:rsidRDefault="0069534B" w:rsidP="002B7F5C">
      <w:pPr>
        <w:rPr>
          <w:sz w:val="24"/>
          <w:szCs w:val="24"/>
        </w:rPr>
      </w:pPr>
      <w:r w:rsidRPr="007C3D8B">
        <w:rPr>
          <w:sz w:val="24"/>
          <w:szCs w:val="24"/>
        </w:rPr>
        <w:t>According to the Salt Lake County Assessor, the average taxable value of a home in SLVLESA is $</w:t>
      </w:r>
      <w:r w:rsidR="00255519" w:rsidRPr="007C3D8B">
        <w:rPr>
          <w:sz w:val="24"/>
          <w:szCs w:val="24"/>
        </w:rPr>
        <w:t>328,900</w:t>
      </w:r>
      <w:r w:rsidRPr="007C3D8B">
        <w:rPr>
          <w:sz w:val="24"/>
          <w:szCs w:val="24"/>
        </w:rPr>
        <w:t>.  With the proposed property tax increase, the average homeowner would pay additional property taxes of $</w:t>
      </w:r>
      <w:r w:rsidR="00EE3A40">
        <w:rPr>
          <w:sz w:val="24"/>
          <w:szCs w:val="24"/>
        </w:rPr>
        <w:t>10</w:t>
      </w:r>
      <w:r w:rsidR="006F2F1A">
        <w:rPr>
          <w:sz w:val="24"/>
          <w:szCs w:val="24"/>
        </w:rPr>
        <w:t xml:space="preserve">7.07 </w:t>
      </w:r>
      <w:r w:rsidRPr="007C3D8B">
        <w:rPr>
          <w:sz w:val="24"/>
          <w:szCs w:val="24"/>
        </w:rPr>
        <w:t>per year ($</w:t>
      </w:r>
      <w:r w:rsidR="007546EF" w:rsidRPr="007C3D8B">
        <w:rPr>
          <w:sz w:val="24"/>
          <w:szCs w:val="24"/>
        </w:rPr>
        <w:t>64</w:t>
      </w:r>
      <w:r w:rsidR="00EE3A40">
        <w:rPr>
          <w:sz w:val="24"/>
          <w:szCs w:val="24"/>
        </w:rPr>
        <w:t>8</w:t>
      </w:r>
      <w:r w:rsidR="007546EF" w:rsidRPr="007C3D8B">
        <w:rPr>
          <w:sz w:val="24"/>
          <w:szCs w:val="24"/>
        </w:rPr>
        <w:t>.92</w:t>
      </w:r>
      <w:r w:rsidRPr="007C3D8B">
        <w:rPr>
          <w:sz w:val="24"/>
          <w:szCs w:val="24"/>
        </w:rPr>
        <w:t xml:space="preserve"> for 202</w:t>
      </w:r>
      <w:r w:rsidR="007546EF" w:rsidRPr="007C3D8B">
        <w:rPr>
          <w:sz w:val="24"/>
          <w:szCs w:val="24"/>
        </w:rPr>
        <w:t>1</w:t>
      </w:r>
      <w:r w:rsidRPr="007C3D8B">
        <w:rPr>
          <w:sz w:val="24"/>
          <w:szCs w:val="24"/>
        </w:rPr>
        <w:t xml:space="preserve"> compared to $</w:t>
      </w:r>
      <w:r w:rsidR="006F2F1A">
        <w:rPr>
          <w:sz w:val="24"/>
          <w:szCs w:val="24"/>
        </w:rPr>
        <w:t>755.99)</w:t>
      </w:r>
      <w:r w:rsidRPr="007C3D8B">
        <w:rPr>
          <w:sz w:val="24"/>
          <w:szCs w:val="24"/>
        </w:rPr>
        <w:t xml:space="preserve"> for 20</w:t>
      </w:r>
      <w:r w:rsidR="007546EF" w:rsidRPr="007C3D8B">
        <w:rPr>
          <w:sz w:val="24"/>
          <w:szCs w:val="24"/>
        </w:rPr>
        <w:t>22</w:t>
      </w:r>
      <w:r w:rsidRPr="007C3D8B">
        <w:rPr>
          <w:sz w:val="24"/>
          <w:szCs w:val="24"/>
        </w:rPr>
        <w:t>).</w:t>
      </w:r>
    </w:p>
    <w:p w14:paraId="1FF141A7" w14:textId="2A91829C" w:rsidR="003E5FC0" w:rsidRPr="007C3D8B" w:rsidRDefault="00701E39" w:rsidP="003E5FC0">
      <w:pPr>
        <w:rPr>
          <w:b/>
          <w:bCs/>
          <w:sz w:val="24"/>
          <w:szCs w:val="24"/>
          <w:u w:val="single"/>
        </w:rPr>
      </w:pPr>
      <w:r w:rsidRPr="007C3D8B">
        <w:rPr>
          <w:b/>
          <w:bCs/>
          <w:sz w:val="24"/>
          <w:szCs w:val="24"/>
          <w:u w:val="single"/>
        </w:rPr>
        <w:t xml:space="preserve">Purposes for the Additional Budgeted </w:t>
      </w:r>
      <w:r w:rsidR="00D03E6A" w:rsidRPr="007C3D8B">
        <w:rPr>
          <w:b/>
          <w:bCs/>
          <w:sz w:val="24"/>
          <w:szCs w:val="24"/>
          <w:u w:val="single"/>
        </w:rPr>
        <w:t>Property</w:t>
      </w:r>
      <w:r w:rsidRPr="007C3D8B">
        <w:rPr>
          <w:b/>
          <w:bCs/>
          <w:sz w:val="24"/>
          <w:szCs w:val="24"/>
          <w:u w:val="single"/>
        </w:rPr>
        <w:t xml:space="preserve"> Tax Revenue</w:t>
      </w:r>
      <w:r w:rsidR="00D03E6A" w:rsidRPr="007C3D8B">
        <w:rPr>
          <w:b/>
          <w:bCs/>
          <w:sz w:val="24"/>
          <w:szCs w:val="24"/>
          <w:u w:val="single"/>
        </w:rPr>
        <w:t>s</w:t>
      </w:r>
      <w:r w:rsidR="00D92102">
        <w:rPr>
          <w:b/>
          <w:bCs/>
          <w:sz w:val="24"/>
          <w:szCs w:val="24"/>
          <w:u w:val="single"/>
        </w:rPr>
        <w:t>:</w:t>
      </w:r>
    </w:p>
    <w:p w14:paraId="52D7B721" w14:textId="5A023EDF" w:rsidR="003E5FC0" w:rsidRPr="00CA16E8" w:rsidRDefault="003E5FC0" w:rsidP="003E5FC0">
      <w:pPr>
        <w:rPr>
          <w:b/>
          <w:bCs/>
          <w:sz w:val="24"/>
          <w:szCs w:val="24"/>
        </w:rPr>
      </w:pPr>
      <w:r w:rsidRPr="00CA16E8">
        <w:rPr>
          <w:b/>
          <w:bCs/>
          <w:sz w:val="24"/>
          <w:szCs w:val="24"/>
        </w:rPr>
        <w:t>Financial projections show the need to increase property tax revenue to remain viable in the future.</w:t>
      </w:r>
    </w:p>
    <w:p w14:paraId="11C0A8F3" w14:textId="77777777" w:rsidR="00D92102" w:rsidRDefault="003E5FC0" w:rsidP="00E624F0">
      <w:pPr>
        <w:rPr>
          <w:sz w:val="24"/>
          <w:szCs w:val="24"/>
        </w:rPr>
      </w:pPr>
      <w:r w:rsidRPr="007C3D8B">
        <w:rPr>
          <w:sz w:val="24"/>
          <w:szCs w:val="24"/>
        </w:rPr>
        <w:t xml:space="preserve">Property taxes within its jurisdiction </w:t>
      </w:r>
      <w:r w:rsidR="00740A61" w:rsidRPr="007C3D8B">
        <w:rPr>
          <w:sz w:val="24"/>
          <w:szCs w:val="24"/>
        </w:rPr>
        <w:t>are</w:t>
      </w:r>
      <w:r w:rsidRPr="007C3D8B">
        <w:rPr>
          <w:sz w:val="24"/>
          <w:szCs w:val="24"/>
        </w:rPr>
        <w:t xml:space="preserve"> the sole source of revenue for SLVLESA to fund law enforcement services for its members.  Even though the cost for law enforcement services has continued to increase, for calendar year 2021, the Board did not consider a property tax increase partly because SLVLESA was less than 2% below the statutory tax rate cap .0023.   The Board determined there was no value for the Board to consider a property tax increase if SLVLESA was only 2% below the statutory tax rate cap.  </w:t>
      </w:r>
    </w:p>
    <w:p w14:paraId="7EFB30F5" w14:textId="3A84BFD9" w:rsidR="00D92102" w:rsidRDefault="003E5FC0" w:rsidP="00E624F0">
      <w:pPr>
        <w:rPr>
          <w:sz w:val="24"/>
          <w:szCs w:val="24"/>
        </w:rPr>
      </w:pPr>
      <w:r w:rsidRPr="007C3D8B">
        <w:rPr>
          <w:sz w:val="24"/>
          <w:szCs w:val="24"/>
        </w:rPr>
        <w:t>In June 2021, the Salt Lake County Auditor determined that the certified tax rate for calendar year 2021 is .001973 which is approximately 16.57% below the statutory tax rate cap.  The Board adopted the certified tax rate of .001973 for calendar year 2021</w:t>
      </w:r>
      <w:r w:rsidR="00D92102">
        <w:rPr>
          <w:sz w:val="24"/>
          <w:szCs w:val="24"/>
        </w:rPr>
        <w:t>.</w:t>
      </w:r>
      <w:r w:rsidRPr="007C3D8B">
        <w:rPr>
          <w:sz w:val="24"/>
          <w:szCs w:val="24"/>
        </w:rPr>
        <w:t xml:space="preserve"> This change in the certified tax rate is due to an increase in assessed property valuations within SLVLESA.  </w:t>
      </w:r>
    </w:p>
    <w:p w14:paraId="0C625909" w14:textId="01EAAC20" w:rsidR="00E624F0" w:rsidRPr="007C3D8B" w:rsidRDefault="003E5FC0" w:rsidP="00E624F0">
      <w:pPr>
        <w:rPr>
          <w:b/>
          <w:bCs/>
          <w:sz w:val="24"/>
          <w:szCs w:val="24"/>
          <w:u w:val="single"/>
        </w:rPr>
      </w:pPr>
      <w:r w:rsidRPr="007C3D8B">
        <w:rPr>
          <w:sz w:val="24"/>
          <w:szCs w:val="24"/>
        </w:rPr>
        <w:t xml:space="preserve">With the authority to increase budgeted property revenue to meet its needs, SLVLESA </w:t>
      </w:r>
      <w:r w:rsidR="00D92102">
        <w:rPr>
          <w:sz w:val="24"/>
          <w:szCs w:val="24"/>
        </w:rPr>
        <w:t>performed</w:t>
      </w:r>
      <w:r w:rsidR="00D92102" w:rsidRPr="007C3D8B">
        <w:rPr>
          <w:sz w:val="24"/>
          <w:szCs w:val="24"/>
        </w:rPr>
        <w:t xml:space="preserve"> </w:t>
      </w:r>
      <w:r w:rsidRPr="007C3D8B">
        <w:rPr>
          <w:sz w:val="24"/>
          <w:szCs w:val="24"/>
        </w:rPr>
        <w:t>financial projections with an assumed increase in costs for law enforcement services of 5% (which is a conservative projection). Based on the financial projections, a property tax increase for calendar year 2022 is necessary to maintain the financial viability of SLVLESA.  Without an increase in budgeted revenue, SLVLESA would need to cut law enforcement services</w:t>
      </w:r>
      <w:r w:rsidR="00D92102">
        <w:rPr>
          <w:sz w:val="24"/>
          <w:szCs w:val="24"/>
        </w:rPr>
        <w:t>,</w:t>
      </w:r>
      <w:r w:rsidRPr="007C3D8B">
        <w:rPr>
          <w:sz w:val="24"/>
          <w:szCs w:val="24"/>
        </w:rPr>
        <w:t xml:space="preserve"> including staffing.  </w:t>
      </w:r>
      <w:r w:rsidR="006F2F1A">
        <w:rPr>
          <w:sz w:val="24"/>
          <w:szCs w:val="24"/>
        </w:rPr>
        <w:t>The UPD, the agency SLVLESA contracts with to provide law enforcement services, has made cuts for the 2021/2022 fiscal year to the extent it could without jeopardizing public safety.</w:t>
      </w:r>
      <w:r w:rsidRPr="007C3D8B">
        <w:rPr>
          <w:sz w:val="24"/>
          <w:szCs w:val="24"/>
        </w:rPr>
        <w:t xml:space="preserve"> </w:t>
      </w:r>
      <w:r w:rsidR="00E624F0" w:rsidRPr="007C3D8B">
        <w:rPr>
          <w:sz w:val="24"/>
          <w:szCs w:val="24"/>
        </w:rPr>
        <w:t>Further, SLVLESA would be</w:t>
      </w:r>
      <w:r w:rsidR="00AE1FCD">
        <w:rPr>
          <w:sz w:val="24"/>
          <w:szCs w:val="24"/>
        </w:rPr>
        <w:t xml:space="preserve">, in the next </w:t>
      </w:r>
      <w:r w:rsidR="00674C4E">
        <w:rPr>
          <w:sz w:val="24"/>
          <w:szCs w:val="24"/>
        </w:rPr>
        <w:t>two</w:t>
      </w:r>
      <w:r w:rsidR="00AE1FCD">
        <w:rPr>
          <w:sz w:val="24"/>
          <w:szCs w:val="24"/>
        </w:rPr>
        <w:t xml:space="preserve"> years,</w:t>
      </w:r>
      <w:r w:rsidR="00E624F0" w:rsidRPr="007C3D8B">
        <w:rPr>
          <w:sz w:val="24"/>
          <w:szCs w:val="24"/>
        </w:rPr>
        <w:t xml:space="preserve"> below the 5% fund balance minimum contrary to State law.  </w:t>
      </w:r>
    </w:p>
    <w:p w14:paraId="6C31F58B" w14:textId="20BECEB4" w:rsidR="005F7F8B" w:rsidRPr="007C3D8B" w:rsidRDefault="005F4446" w:rsidP="005F7F8B">
      <w:pPr>
        <w:pStyle w:val="ListParagraph"/>
        <w:ind w:left="0"/>
        <w:rPr>
          <w:sz w:val="24"/>
          <w:szCs w:val="24"/>
        </w:rPr>
      </w:pPr>
      <w:r>
        <w:rPr>
          <w:b/>
          <w:bCs/>
          <w:sz w:val="24"/>
          <w:szCs w:val="24"/>
          <w:u w:val="single"/>
        </w:rPr>
        <w:t>Compensation and benefits account for</w:t>
      </w:r>
      <w:r w:rsidR="00D92102">
        <w:rPr>
          <w:b/>
          <w:bCs/>
          <w:sz w:val="24"/>
          <w:szCs w:val="24"/>
          <w:u w:val="single"/>
        </w:rPr>
        <w:t xml:space="preserve"> at least</w:t>
      </w:r>
      <w:r>
        <w:rPr>
          <w:b/>
          <w:bCs/>
          <w:sz w:val="24"/>
          <w:szCs w:val="24"/>
          <w:u w:val="single"/>
        </w:rPr>
        <w:t xml:space="preserve"> </w:t>
      </w:r>
      <w:r w:rsidR="005F7F8B" w:rsidRPr="007C3D8B">
        <w:rPr>
          <w:b/>
          <w:bCs/>
          <w:sz w:val="24"/>
          <w:szCs w:val="24"/>
          <w:u w:val="single"/>
        </w:rPr>
        <w:t xml:space="preserve">80% </w:t>
      </w:r>
      <w:r w:rsidR="00E624F0" w:rsidRPr="007C3D8B">
        <w:rPr>
          <w:b/>
          <w:bCs/>
          <w:sz w:val="24"/>
          <w:szCs w:val="24"/>
          <w:u w:val="single"/>
        </w:rPr>
        <w:t>of the law enforcement cost</w:t>
      </w:r>
      <w:r w:rsidR="00D92102">
        <w:rPr>
          <w:b/>
          <w:bCs/>
          <w:sz w:val="24"/>
          <w:szCs w:val="24"/>
          <w:u w:val="single"/>
        </w:rPr>
        <w:t xml:space="preserve"> and c</w:t>
      </w:r>
      <w:r w:rsidRPr="0068790A">
        <w:rPr>
          <w:b/>
          <w:bCs/>
          <w:sz w:val="24"/>
          <w:szCs w:val="24"/>
          <w:u w:val="single"/>
        </w:rPr>
        <w:t xml:space="preserve">ompetitive compensation is necessary to </w:t>
      </w:r>
      <w:r w:rsidR="00E624F0" w:rsidRPr="0068790A">
        <w:rPr>
          <w:b/>
          <w:bCs/>
          <w:sz w:val="24"/>
          <w:szCs w:val="24"/>
          <w:u w:val="single"/>
        </w:rPr>
        <w:t>recruit police officers</w:t>
      </w:r>
      <w:r w:rsidRPr="0068790A">
        <w:rPr>
          <w:b/>
          <w:bCs/>
          <w:sz w:val="24"/>
          <w:szCs w:val="24"/>
          <w:u w:val="single"/>
        </w:rPr>
        <w:t xml:space="preserve"> from the</w:t>
      </w:r>
      <w:r w:rsidR="00E624F0" w:rsidRPr="0068790A">
        <w:rPr>
          <w:b/>
          <w:bCs/>
          <w:sz w:val="24"/>
          <w:szCs w:val="24"/>
          <w:u w:val="single"/>
        </w:rPr>
        <w:t xml:space="preserve"> limited pool of applicants</w:t>
      </w:r>
      <w:r w:rsidRPr="0068790A">
        <w:rPr>
          <w:b/>
          <w:bCs/>
          <w:sz w:val="24"/>
          <w:szCs w:val="24"/>
          <w:u w:val="single"/>
        </w:rPr>
        <w:t xml:space="preserve"> and</w:t>
      </w:r>
      <w:r w:rsidR="00E624F0" w:rsidRPr="0068790A">
        <w:rPr>
          <w:b/>
          <w:bCs/>
          <w:sz w:val="24"/>
          <w:szCs w:val="24"/>
          <w:u w:val="single"/>
        </w:rPr>
        <w:t xml:space="preserve"> retain police officers</w:t>
      </w:r>
      <w:r w:rsidR="00E624F0" w:rsidRPr="00B10297">
        <w:rPr>
          <w:b/>
          <w:bCs/>
          <w:sz w:val="24"/>
          <w:szCs w:val="24"/>
          <w:u w:val="single"/>
        </w:rPr>
        <w:t>.</w:t>
      </w:r>
      <w:r w:rsidR="00E624F0" w:rsidRPr="007C3D8B">
        <w:rPr>
          <w:b/>
          <w:bCs/>
          <w:sz w:val="24"/>
          <w:szCs w:val="24"/>
          <w:u w:val="single"/>
        </w:rPr>
        <w:t xml:space="preserve">  </w:t>
      </w:r>
    </w:p>
    <w:p w14:paraId="1C51A25C" w14:textId="77777777" w:rsidR="005F7F8B" w:rsidRPr="007C3D8B" w:rsidRDefault="005F7F8B" w:rsidP="005F7F8B">
      <w:pPr>
        <w:pStyle w:val="ListParagraph"/>
        <w:ind w:left="0"/>
        <w:rPr>
          <w:sz w:val="24"/>
          <w:szCs w:val="24"/>
        </w:rPr>
      </w:pPr>
    </w:p>
    <w:p w14:paraId="3D73B47C" w14:textId="090172F5" w:rsidR="00D92102" w:rsidRDefault="003E5FC0" w:rsidP="005F4446">
      <w:pPr>
        <w:pStyle w:val="ListParagraph"/>
        <w:ind w:left="0"/>
        <w:rPr>
          <w:sz w:val="24"/>
          <w:szCs w:val="24"/>
        </w:rPr>
      </w:pPr>
      <w:r w:rsidRPr="007C3D8B">
        <w:rPr>
          <w:sz w:val="24"/>
          <w:szCs w:val="24"/>
        </w:rPr>
        <w:lastRenderedPageBreak/>
        <w:t xml:space="preserve">SLVLESA contracts with the Unified Police Department (UPD) to provide law enforcement services to its members. </w:t>
      </w:r>
      <w:r w:rsidR="005F4446">
        <w:rPr>
          <w:sz w:val="24"/>
          <w:szCs w:val="24"/>
        </w:rPr>
        <w:t xml:space="preserve">Compensation and benefits account for </w:t>
      </w:r>
      <w:r w:rsidRPr="007C3D8B">
        <w:rPr>
          <w:sz w:val="24"/>
          <w:szCs w:val="24"/>
        </w:rPr>
        <w:t xml:space="preserve">80% to 85% of the costs of </w:t>
      </w:r>
      <w:r w:rsidR="005F4446">
        <w:rPr>
          <w:sz w:val="24"/>
          <w:szCs w:val="24"/>
        </w:rPr>
        <w:t>law enforcement</w:t>
      </w:r>
      <w:r w:rsidR="005F4446" w:rsidRPr="007C3D8B">
        <w:rPr>
          <w:sz w:val="24"/>
          <w:szCs w:val="24"/>
        </w:rPr>
        <w:t xml:space="preserve"> </w:t>
      </w:r>
      <w:r w:rsidRPr="007C3D8B">
        <w:rPr>
          <w:sz w:val="24"/>
          <w:szCs w:val="24"/>
        </w:rPr>
        <w:t xml:space="preserve">services.  </w:t>
      </w:r>
      <w:r w:rsidR="005F4446">
        <w:rPr>
          <w:sz w:val="24"/>
          <w:szCs w:val="24"/>
        </w:rPr>
        <w:t>T</w:t>
      </w:r>
      <w:r w:rsidRPr="007C3D8B">
        <w:rPr>
          <w:sz w:val="24"/>
          <w:szCs w:val="24"/>
        </w:rPr>
        <w:t>he pool of qualified applicants for police officers is limited</w:t>
      </w:r>
      <w:r w:rsidR="005F4446">
        <w:rPr>
          <w:sz w:val="24"/>
          <w:szCs w:val="24"/>
        </w:rPr>
        <w:t xml:space="preserve"> and </w:t>
      </w:r>
      <w:r w:rsidRPr="007C3D8B">
        <w:rPr>
          <w:sz w:val="24"/>
          <w:szCs w:val="24"/>
        </w:rPr>
        <w:t xml:space="preserve">law enforcement agencies within the Salt Lake Valley are competing to recruit from the limited pool while also </w:t>
      </w:r>
      <w:r w:rsidR="005F4446">
        <w:rPr>
          <w:sz w:val="24"/>
          <w:szCs w:val="24"/>
        </w:rPr>
        <w:t>struggling</w:t>
      </w:r>
      <w:r w:rsidR="005F4446" w:rsidRPr="007C3D8B">
        <w:rPr>
          <w:sz w:val="24"/>
          <w:szCs w:val="24"/>
        </w:rPr>
        <w:t xml:space="preserve"> </w:t>
      </w:r>
      <w:r w:rsidRPr="007C3D8B">
        <w:rPr>
          <w:sz w:val="24"/>
          <w:szCs w:val="24"/>
        </w:rPr>
        <w:t xml:space="preserve">to retain veteran officers.  </w:t>
      </w:r>
      <w:r w:rsidR="005F4446">
        <w:rPr>
          <w:sz w:val="24"/>
          <w:szCs w:val="24"/>
        </w:rPr>
        <w:t xml:space="preserve">To </w:t>
      </w:r>
      <w:r w:rsidRPr="007C3D8B">
        <w:rPr>
          <w:sz w:val="24"/>
          <w:szCs w:val="24"/>
        </w:rPr>
        <w:t>remain competitive</w:t>
      </w:r>
      <w:r w:rsidR="005F4446">
        <w:rPr>
          <w:sz w:val="24"/>
          <w:szCs w:val="24"/>
        </w:rPr>
        <w:t>, law enforcement agencies are increasing</w:t>
      </w:r>
      <w:r w:rsidRPr="007C3D8B">
        <w:rPr>
          <w:sz w:val="24"/>
          <w:szCs w:val="24"/>
        </w:rPr>
        <w:t xml:space="preserve"> compensation and benefits for entry level and veteran law police officers. </w:t>
      </w:r>
    </w:p>
    <w:p w14:paraId="174E2447" w14:textId="77777777" w:rsidR="00D92102" w:rsidRDefault="00D92102" w:rsidP="005F4446">
      <w:pPr>
        <w:pStyle w:val="ListParagraph"/>
        <w:ind w:left="0"/>
        <w:rPr>
          <w:sz w:val="24"/>
          <w:szCs w:val="24"/>
        </w:rPr>
      </w:pPr>
    </w:p>
    <w:p w14:paraId="51CFE294" w14:textId="30FB1577" w:rsidR="005F4446" w:rsidRPr="007C3D8B" w:rsidRDefault="005F7F8B" w:rsidP="005F4446">
      <w:pPr>
        <w:pStyle w:val="ListParagraph"/>
        <w:ind w:left="0"/>
        <w:rPr>
          <w:sz w:val="24"/>
          <w:szCs w:val="24"/>
        </w:rPr>
      </w:pPr>
      <w:r w:rsidRPr="007C3D8B">
        <w:rPr>
          <w:sz w:val="24"/>
          <w:szCs w:val="24"/>
        </w:rPr>
        <w:t xml:space="preserve">Salt Lake City increased entry level officer pay by approximately 30% and implemented other increases </w:t>
      </w:r>
      <w:r w:rsidR="00C424E1">
        <w:rPr>
          <w:sz w:val="24"/>
          <w:szCs w:val="24"/>
        </w:rPr>
        <w:t xml:space="preserve">for their </w:t>
      </w:r>
      <w:r w:rsidRPr="007C3D8B">
        <w:rPr>
          <w:sz w:val="24"/>
          <w:szCs w:val="24"/>
        </w:rPr>
        <w:t>existing officers. West Valley</w:t>
      </w:r>
      <w:r w:rsidR="005F4446">
        <w:rPr>
          <w:sz w:val="24"/>
          <w:szCs w:val="24"/>
        </w:rPr>
        <w:t xml:space="preserve"> City</w:t>
      </w:r>
      <w:r w:rsidR="00CD7437">
        <w:rPr>
          <w:sz w:val="24"/>
          <w:szCs w:val="24"/>
        </w:rPr>
        <w:t xml:space="preserve"> implemented a matching increase for their law enforcement officers</w:t>
      </w:r>
      <w:r w:rsidRPr="007C3D8B">
        <w:rPr>
          <w:sz w:val="24"/>
          <w:szCs w:val="24"/>
        </w:rPr>
        <w:t xml:space="preserve">.  </w:t>
      </w:r>
      <w:r w:rsidR="00CD7437">
        <w:rPr>
          <w:sz w:val="24"/>
          <w:szCs w:val="24"/>
        </w:rPr>
        <w:t>This forced o</w:t>
      </w:r>
      <w:r w:rsidR="00C424E1">
        <w:rPr>
          <w:sz w:val="24"/>
          <w:szCs w:val="24"/>
        </w:rPr>
        <w:t>ther police agencies in the Salt Lake Valley</w:t>
      </w:r>
      <w:r w:rsidR="007D011D">
        <w:rPr>
          <w:sz w:val="24"/>
          <w:szCs w:val="24"/>
        </w:rPr>
        <w:t xml:space="preserve">, including West Jordan and South Salt Lake, </w:t>
      </w:r>
      <w:r w:rsidR="00CD7437">
        <w:rPr>
          <w:sz w:val="24"/>
          <w:szCs w:val="24"/>
        </w:rPr>
        <w:t xml:space="preserve">to </w:t>
      </w:r>
      <w:r w:rsidR="00C424E1">
        <w:rPr>
          <w:sz w:val="24"/>
          <w:szCs w:val="24"/>
        </w:rPr>
        <w:t>increas</w:t>
      </w:r>
      <w:r w:rsidR="00CD7437">
        <w:rPr>
          <w:sz w:val="24"/>
          <w:szCs w:val="24"/>
        </w:rPr>
        <w:t>e</w:t>
      </w:r>
      <w:r w:rsidR="00C424E1">
        <w:rPr>
          <w:sz w:val="24"/>
          <w:szCs w:val="24"/>
        </w:rPr>
        <w:t xml:space="preserve"> officer compensation to try and remain competitive</w:t>
      </w:r>
      <w:r w:rsidR="008B4DAD">
        <w:rPr>
          <w:sz w:val="24"/>
          <w:szCs w:val="24"/>
        </w:rPr>
        <w:t xml:space="preserve">. </w:t>
      </w:r>
      <w:r w:rsidR="00497BF1">
        <w:rPr>
          <w:sz w:val="24"/>
          <w:szCs w:val="24"/>
        </w:rPr>
        <w:t xml:space="preserve">SLVLESA must work with its contract agency to increase </w:t>
      </w:r>
      <w:r w:rsidR="00CD7437">
        <w:rPr>
          <w:sz w:val="24"/>
          <w:szCs w:val="24"/>
        </w:rPr>
        <w:t xml:space="preserve">pay </w:t>
      </w:r>
      <w:r w:rsidR="00497BF1">
        <w:rPr>
          <w:sz w:val="24"/>
          <w:szCs w:val="24"/>
        </w:rPr>
        <w:t xml:space="preserve">of its officers </w:t>
      </w:r>
      <w:r w:rsidR="00CD7437">
        <w:rPr>
          <w:sz w:val="24"/>
          <w:szCs w:val="24"/>
        </w:rPr>
        <w:t xml:space="preserve">to remain competitive in the market and deliver critical public safety services to residents. </w:t>
      </w:r>
    </w:p>
    <w:p w14:paraId="0909595D" w14:textId="59EBF3AD" w:rsidR="003E5FC0" w:rsidRPr="007C3D8B" w:rsidRDefault="005F7F8B" w:rsidP="00E624F0">
      <w:pPr>
        <w:rPr>
          <w:b/>
          <w:bCs/>
          <w:sz w:val="24"/>
          <w:szCs w:val="24"/>
          <w:u w:val="single"/>
        </w:rPr>
      </w:pPr>
      <w:r w:rsidRPr="007C3D8B">
        <w:rPr>
          <w:b/>
          <w:bCs/>
          <w:sz w:val="24"/>
          <w:szCs w:val="24"/>
          <w:u w:val="single"/>
        </w:rPr>
        <w:t xml:space="preserve">Additional </w:t>
      </w:r>
      <w:r w:rsidR="00CD7437">
        <w:rPr>
          <w:b/>
          <w:bCs/>
          <w:sz w:val="24"/>
          <w:szCs w:val="24"/>
          <w:u w:val="single"/>
        </w:rPr>
        <w:t>s</w:t>
      </w:r>
      <w:r w:rsidRPr="007C3D8B">
        <w:rPr>
          <w:b/>
          <w:bCs/>
          <w:sz w:val="24"/>
          <w:szCs w:val="24"/>
          <w:u w:val="single"/>
        </w:rPr>
        <w:t xml:space="preserve">taffing </w:t>
      </w:r>
      <w:r w:rsidR="00CD7437">
        <w:rPr>
          <w:b/>
          <w:bCs/>
          <w:sz w:val="24"/>
          <w:szCs w:val="24"/>
          <w:u w:val="single"/>
        </w:rPr>
        <w:t>is</w:t>
      </w:r>
      <w:r w:rsidRPr="007C3D8B">
        <w:rPr>
          <w:b/>
          <w:bCs/>
          <w:sz w:val="24"/>
          <w:szCs w:val="24"/>
          <w:u w:val="single"/>
        </w:rPr>
        <w:t xml:space="preserve"> needed.</w:t>
      </w:r>
    </w:p>
    <w:p w14:paraId="46B60320" w14:textId="6468BB16" w:rsidR="003E5FC0" w:rsidRPr="007C3D8B" w:rsidRDefault="00CD7437" w:rsidP="005F7F8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sz w:val="24"/>
          <w:szCs w:val="24"/>
        </w:rPr>
      </w:pPr>
      <w:r w:rsidRPr="00CD7437">
        <w:rPr>
          <w:sz w:val="24"/>
          <w:szCs w:val="24"/>
        </w:rPr>
        <w:t xml:space="preserve">Demand for law enforcement services continues to increase as caseloads rise, populations grow and the use of the canyons and other areas of SLVLESA increase. </w:t>
      </w:r>
      <w:r>
        <w:rPr>
          <w:sz w:val="24"/>
          <w:szCs w:val="24"/>
        </w:rPr>
        <w:t xml:space="preserve"> A</w:t>
      </w:r>
      <w:r w:rsidR="003E5FC0" w:rsidRPr="007C3D8B">
        <w:rPr>
          <w:sz w:val="24"/>
          <w:szCs w:val="24"/>
        </w:rPr>
        <w:t xml:space="preserve">dditional staffing </w:t>
      </w:r>
      <w:r>
        <w:rPr>
          <w:sz w:val="24"/>
          <w:szCs w:val="24"/>
        </w:rPr>
        <w:t>is</w:t>
      </w:r>
      <w:r w:rsidRPr="007C3D8B">
        <w:rPr>
          <w:sz w:val="24"/>
          <w:szCs w:val="24"/>
        </w:rPr>
        <w:t xml:space="preserve"> </w:t>
      </w:r>
      <w:r w:rsidR="003E5FC0" w:rsidRPr="007C3D8B">
        <w:rPr>
          <w:sz w:val="24"/>
          <w:szCs w:val="24"/>
        </w:rPr>
        <w:t>needed</w:t>
      </w:r>
      <w:r>
        <w:rPr>
          <w:sz w:val="24"/>
          <w:szCs w:val="24"/>
        </w:rPr>
        <w:t xml:space="preserve"> to meet</w:t>
      </w:r>
      <w:r w:rsidR="008D3389">
        <w:rPr>
          <w:sz w:val="24"/>
          <w:szCs w:val="24"/>
        </w:rPr>
        <w:t xml:space="preserve"> the</w:t>
      </w:r>
      <w:r w:rsidR="003E5FC0" w:rsidRPr="007C3D8B">
        <w:rPr>
          <w:sz w:val="24"/>
          <w:szCs w:val="24"/>
        </w:rPr>
        <w:t xml:space="preserve"> </w:t>
      </w:r>
      <w:r>
        <w:rPr>
          <w:sz w:val="24"/>
          <w:szCs w:val="24"/>
        </w:rPr>
        <w:t>i</w:t>
      </w:r>
      <w:r w:rsidR="003E5FC0" w:rsidRPr="007C3D8B">
        <w:rPr>
          <w:sz w:val="24"/>
          <w:szCs w:val="24"/>
        </w:rPr>
        <w:t xml:space="preserve">ncrease in </w:t>
      </w:r>
      <w:r w:rsidR="00977EB2">
        <w:rPr>
          <w:sz w:val="24"/>
          <w:szCs w:val="24"/>
        </w:rPr>
        <w:t>demand</w:t>
      </w:r>
      <w:r w:rsidR="008D3389">
        <w:rPr>
          <w:sz w:val="24"/>
          <w:szCs w:val="24"/>
        </w:rPr>
        <w:t>.</w:t>
      </w:r>
      <w:r w:rsidR="005F7F8B" w:rsidRPr="007C3D8B">
        <w:rPr>
          <w:sz w:val="24"/>
          <w:szCs w:val="24"/>
        </w:rPr>
        <w:t xml:space="preserve">  For example, it was necessary to increase the number of sergeants in Kearns and Magna to meet law enforcement needs</w:t>
      </w:r>
      <w:r w:rsidR="00D92102">
        <w:rPr>
          <w:sz w:val="24"/>
          <w:szCs w:val="24"/>
        </w:rPr>
        <w:t xml:space="preserve"> and provide adequate supervision</w:t>
      </w:r>
      <w:r w:rsidR="005F7F8B" w:rsidRPr="007C3D8B">
        <w:rPr>
          <w:sz w:val="24"/>
          <w:szCs w:val="24"/>
        </w:rPr>
        <w:t xml:space="preserve">.  </w:t>
      </w:r>
    </w:p>
    <w:p w14:paraId="2BC0B605" w14:textId="1B13B57C" w:rsidR="005F7F8B" w:rsidRPr="007C3D8B" w:rsidRDefault="005F7F8B" w:rsidP="005F7F8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sz w:val="24"/>
          <w:szCs w:val="24"/>
        </w:rPr>
      </w:pPr>
    </w:p>
    <w:p w14:paraId="5E261D74" w14:textId="7E9BA7F6" w:rsidR="005F7F8B" w:rsidRPr="007C3D8B" w:rsidRDefault="005F7F8B" w:rsidP="005F7F8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b/>
          <w:bCs/>
          <w:sz w:val="24"/>
          <w:szCs w:val="24"/>
          <w:u w:val="single"/>
        </w:rPr>
      </w:pPr>
      <w:r w:rsidRPr="007C3D8B">
        <w:rPr>
          <w:b/>
          <w:bCs/>
          <w:sz w:val="24"/>
          <w:szCs w:val="24"/>
          <w:u w:val="single"/>
        </w:rPr>
        <w:t xml:space="preserve">Cost of equipment and supplies increase.  Inflation also increases.  </w:t>
      </w:r>
    </w:p>
    <w:p w14:paraId="34878EF0" w14:textId="77777777" w:rsidR="00A804A6" w:rsidRPr="007C3D8B" w:rsidRDefault="00A804A6" w:rsidP="005F7F8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b/>
          <w:bCs/>
          <w:sz w:val="24"/>
          <w:szCs w:val="24"/>
          <w:u w:val="single"/>
        </w:rPr>
      </w:pPr>
    </w:p>
    <w:p w14:paraId="4FA2C142" w14:textId="17A3E7D0" w:rsidR="003E5FC0" w:rsidRPr="007C3D8B" w:rsidRDefault="003E5FC0" w:rsidP="00A804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sz w:val="24"/>
          <w:szCs w:val="24"/>
        </w:rPr>
      </w:pPr>
      <w:r w:rsidRPr="007C3D8B">
        <w:rPr>
          <w:sz w:val="24"/>
          <w:szCs w:val="24"/>
        </w:rPr>
        <w:t xml:space="preserve">The cost of necessary equipment, cars and supplies </w:t>
      </w:r>
      <w:r w:rsidR="00977EB2">
        <w:rPr>
          <w:sz w:val="24"/>
          <w:szCs w:val="24"/>
        </w:rPr>
        <w:t>continue</w:t>
      </w:r>
      <w:r w:rsidR="00D92102">
        <w:rPr>
          <w:sz w:val="24"/>
          <w:szCs w:val="24"/>
        </w:rPr>
        <w:t>s</w:t>
      </w:r>
      <w:r w:rsidR="00977EB2">
        <w:rPr>
          <w:sz w:val="24"/>
          <w:szCs w:val="24"/>
        </w:rPr>
        <w:t xml:space="preserve"> to increase</w:t>
      </w:r>
      <w:r w:rsidRPr="007C3D8B">
        <w:rPr>
          <w:sz w:val="24"/>
          <w:szCs w:val="24"/>
        </w:rPr>
        <w:t>.  The police officers</w:t>
      </w:r>
      <w:r w:rsidR="008D3389">
        <w:rPr>
          <w:sz w:val="24"/>
          <w:szCs w:val="24"/>
        </w:rPr>
        <w:t xml:space="preserve"> </w:t>
      </w:r>
      <w:r w:rsidR="00B10297">
        <w:rPr>
          <w:sz w:val="24"/>
          <w:szCs w:val="24"/>
        </w:rPr>
        <w:t>serving</w:t>
      </w:r>
      <w:r w:rsidR="008D3389">
        <w:rPr>
          <w:sz w:val="24"/>
          <w:szCs w:val="24"/>
        </w:rPr>
        <w:t xml:space="preserve"> SLVLESA communities</w:t>
      </w:r>
      <w:r w:rsidRPr="007C3D8B">
        <w:rPr>
          <w:sz w:val="24"/>
          <w:szCs w:val="24"/>
        </w:rPr>
        <w:t xml:space="preserve"> </w:t>
      </w:r>
      <w:r w:rsidR="00977EB2">
        <w:rPr>
          <w:sz w:val="24"/>
          <w:szCs w:val="24"/>
        </w:rPr>
        <w:t>s</w:t>
      </w:r>
      <w:r w:rsidRPr="007C3D8B">
        <w:rPr>
          <w:sz w:val="24"/>
          <w:szCs w:val="24"/>
        </w:rPr>
        <w:t xml:space="preserve">hould have </w:t>
      </w:r>
      <w:r w:rsidR="00A804A6" w:rsidRPr="007C3D8B">
        <w:rPr>
          <w:sz w:val="24"/>
          <w:szCs w:val="24"/>
        </w:rPr>
        <w:t xml:space="preserve">the up-to-date </w:t>
      </w:r>
      <w:r w:rsidRPr="007C3D8B">
        <w:rPr>
          <w:sz w:val="24"/>
          <w:szCs w:val="24"/>
        </w:rPr>
        <w:t xml:space="preserve">equipment to do </w:t>
      </w:r>
      <w:r w:rsidR="00D92102">
        <w:rPr>
          <w:sz w:val="24"/>
          <w:szCs w:val="24"/>
        </w:rPr>
        <w:t>perform their</w:t>
      </w:r>
      <w:r w:rsidR="000700F9">
        <w:rPr>
          <w:sz w:val="24"/>
          <w:szCs w:val="24"/>
        </w:rPr>
        <w:t xml:space="preserve"> duties</w:t>
      </w:r>
      <w:r w:rsidR="00D92102">
        <w:rPr>
          <w:sz w:val="24"/>
          <w:szCs w:val="24"/>
        </w:rPr>
        <w:t xml:space="preserve"> safely for themselves and community members</w:t>
      </w:r>
      <w:r w:rsidRPr="007C3D8B">
        <w:rPr>
          <w:sz w:val="24"/>
          <w:szCs w:val="24"/>
        </w:rPr>
        <w:t xml:space="preserve">.  </w:t>
      </w:r>
      <w:r w:rsidR="00A804A6" w:rsidRPr="007C3D8B">
        <w:rPr>
          <w:sz w:val="24"/>
          <w:szCs w:val="24"/>
        </w:rPr>
        <w:t xml:space="preserve">Further, </w:t>
      </w:r>
      <w:r w:rsidR="008D3389">
        <w:rPr>
          <w:sz w:val="24"/>
          <w:szCs w:val="24"/>
        </w:rPr>
        <w:t>i</w:t>
      </w:r>
      <w:r w:rsidRPr="007C3D8B">
        <w:rPr>
          <w:sz w:val="24"/>
          <w:szCs w:val="24"/>
        </w:rPr>
        <w:t xml:space="preserve">nflation increases at approximately 2% a year.  </w:t>
      </w:r>
    </w:p>
    <w:p w14:paraId="0061BA38" w14:textId="403197B0" w:rsidR="00A804A6" w:rsidRPr="007C3D8B" w:rsidRDefault="00A804A6" w:rsidP="00A804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sz w:val="24"/>
          <w:szCs w:val="24"/>
        </w:rPr>
      </w:pPr>
    </w:p>
    <w:p w14:paraId="49950E42" w14:textId="3D2BEFFA" w:rsidR="00A804A6" w:rsidRPr="007C3D8B" w:rsidRDefault="00A804A6" w:rsidP="00A804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sz w:val="24"/>
          <w:szCs w:val="24"/>
        </w:rPr>
      </w:pPr>
      <w:r w:rsidRPr="007C3D8B">
        <w:rPr>
          <w:b/>
          <w:bCs/>
          <w:sz w:val="24"/>
          <w:szCs w:val="24"/>
          <w:u w:val="single"/>
        </w:rPr>
        <w:t>Cost of training increases</w:t>
      </w:r>
      <w:r w:rsidRPr="007C3D8B">
        <w:rPr>
          <w:sz w:val="24"/>
          <w:szCs w:val="24"/>
        </w:rPr>
        <w:t>.</w:t>
      </w:r>
    </w:p>
    <w:p w14:paraId="59A21CD7" w14:textId="77777777" w:rsidR="00A804A6" w:rsidRPr="007C3D8B" w:rsidRDefault="00A804A6" w:rsidP="00A804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sz w:val="24"/>
          <w:szCs w:val="24"/>
        </w:rPr>
      </w:pPr>
    </w:p>
    <w:p w14:paraId="3899E478" w14:textId="6B10E83D" w:rsidR="003E5FC0" w:rsidRPr="007C3D8B" w:rsidRDefault="00F923D4" w:rsidP="002C56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Training costs</w:t>
      </w:r>
      <w:r w:rsidR="008D3389" w:rsidRPr="008D3389">
        <w:rPr>
          <w:sz w:val="24"/>
          <w:szCs w:val="24"/>
        </w:rPr>
        <w:t xml:space="preserve"> continue to increase for many different reasons, including the variety of skills today’s police officers must have and legislative mandates.</w:t>
      </w:r>
    </w:p>
    <w:p w14:paraId="1C5F3DBE" w14:textId="570DE1DB" w:rsidR="005D507F" w:rsidRPr="007C3D8B" w:rsidRDefault="005D507F" w:rsidP="005D507F">
      <w:pPr>
        <w:rPr>
          <w:sz w:val="24"/>
          <w:szCs w:val="24"/>
        </w:rPr>
      </w:pPr>
      <w:r w:rsidRPr="007C3D8B">
        <w:rPr>
          <w:b/>
          <w:bCs/>
          <w:sz w:val="24"/>
          <w:szCs w:val="24"/>
          <w:u w:val="single"/>
        </w:rPr>
        <w:t>SLVLESA may be prohibited from increasing budgeted revenues in the future.</w:t>
      </w:r>
    </w:p>
    <w:p w14:paraId="32834A61" w14:textId="71C92E72" w:rsidR="00730667" w:rsidRDefault="00730667" w:rsidP="005D507F">
      <w:pPr>
        <w:rPr>
          <w:sz w:val="24"/>
          <w:szCs w:val="24"/>
        </w:rPr>
      </w:pPr>
      <w:r>
        <w:rPr>
          <w:sz w:val="24"/>
          <w:szCs w:val="24"/>
        </w:rPr>
        <w:t xml:space="preserve"> SLVLESA is funded through property taxes which includes the centrally assessed value of utilities, railroads and mining in its jurisdiction, a value that can fluctuate dramatically each year.  This tax increase will place SLVLESA at the statutory tax cap rate increasing its ability to prepare for the future budget needs while being held harmless should centrally assessed valuations decrease causing SLVLESA to be above the certified tax rate.</w:t>
      </w:r>
    </w:p>
    <w:p w14:paraId="4E07C8FE" w14:textId="77777777" w:rsidR="00730667" w:rsidRDefault="00730667" w:rsidP="005D507F">
      <w:pPr>
        <w:rPr>
          <w:sz w:val="24"/>
          <w:szCs w:val="24"/>
        </w:rPr>
      </w:pPr>
    </w:p>
    <w:p w14:paraId="52577622" w14:textId="582C31E7" w:rsidR="005D507F" w:rsidRPr="007C3D8B" w:rsidRDefault="005D507F" w:rsidP="005D507F">
      <w:pPr>
        <w:rPr>
          <w:b/>
          <w:bCs/>
          <w:sz w:val="24"/>
          <w:szCs w:val="24"/>
          <w:u w:val="single"/>
        </w:rPr>
      </w:pPr>
      <w:r w:rsidRPr="007C3D8B">
        <w:rPr>
          <w:b/>
          <w:bCs/>
          <w:sz w:val="24"/>
          <w:szCs w:val="24"/>
          <w:u w:val="single"/>
        </w:rPr>
        <w:lastRenderedPageBreak/>
        <w:t xml:space="preserve">Without healthy target reserves, SLVLESA </w:t>
      </w:r>
      <w:r w:rsidR="008D3389">
        <w:rPr>
          <w:b/>
          <w:bCs/>
          <w:sz w:val="24"/>
          <w:szCs w:val="24"/>
          <w:u w:val="single"/>
        </w:rPr>
        <w:t>will</w:t>
      </w:r>
      <w:r w:rsidR="008D3389" w:rsidRPr="007C3D8B">
        <w:rPr>
          <w:b/>
          <w:bCs/>
          <w:sz w:val="24"/>
          <w:szCs w:val="24"/>
          <w:u w:val="single"/>
        </w:rPr>
        <w:t xml:space="preserve"> </w:t>
      </w:r>
      <w:r w:rsidRPr="007C3D8B">
        <w:rPr>
          <w:b/>
          <w:bCs/>
          <w:sz w:val="24"/>
          <w:szCs w:val="24"/>
          <w:u w:val="single"/>
        </w:rPr>
        <w:t xml:space="preserve">not be prepared for an unforeseen reduction of revenues or a significant increase in expenditures. </w:t>
      </w:r>
    </w:p>
    <w:p w14:paraId="005BC508" w14:textId="02AA4E52" w:rsidR="005D507F" w:rsidRDefault="005D507F" w:rsidP="005D507F">
      <w:pPr>
        <w:rPr>
          <w:sz w:val="24"/>
          <w:szCs w:val="24"/>
        </w:rPr>
      </w:pPr>
      <w:r w:rsidRPr="007C3D8B">
        <w:rPr>
          <w:sz w:val="24"/>
          <w:szCs w:val="24"/>
        </w:rPr>
        <w:t>The reason for strong target reserves is to hedge against unforeseen events that may require significant increase</w:t>
      </w:r>
      <w:r w:rsidR="00730667">
        <w:rPr>
          <w:sz w:val="24"/>
          <w:szCs w:val="24"/>
        </w:rPr>
        <w:t>s</w:t>
      </w:r>
      <w:r w:rsidRPr="007C3D8B">
        <w:rPr>
          <w:sz w:val="24"/>
          <w:szCs w:val="24"/>
        </w:rPr>
        <w:t xml:space="preserve"> in expenditures.   </w:t>
      </w:r>
      <w:r w:rsidR="00DD3748">
        <w:rPr>
          <w:sz w:val="24"/>
          <w:szCs w:val="24"/>
        </w:rPr>
        <w:t>Financial projections show that, without an increase in budgeted property tax revenue, SLVLESA’s fund balance is in jeopardy of falling below the 5% statutory minimum</w:t>
      </w:r>
      <w:r w:rsidR="00B10297">
        <w:rPr>
          <w:sz w:val="24"/>
          <w:szCs w:val="24"/>
        </w:rPr>
        <w:t xml:space="preserve"> in </w:t>
      </w:r>
      <w:r w:rsidR="00F923D4">
        <w:rPr>
          <w:sz w:val="24"/>
          <w:szCs w:val="24"/>
        </w:rPr>
        <w:t>two</w:t>
      </w:r>
      <w:r w:rsidR="000700F9">
        <w:rPr>
          <w:sz w:val="24"/>
          <w:szCs w:val="24"/>
        </w:rPr>
        <w:t xml:space="preserve"> </w:t>
      </w:r>
      <w:r w:rsidR="00B10297">
        <w:rPr>
          <w:sz w:val="24"/>
          <w:szCs w:val="24"/>
        </w:rPr>
        <w:t>years.</w:t>
      </w:r>
      <w:r w:rsidR="00DD3748">
        <w:rPr>
          <w:sz w:val="24"/>
          <w:szCs w:val="24"/>
        </w:rPr>
        <w:t xml:space="preserve"> </w:t>
      </w:r>
    </w:p>
    <w:p w14:paraId="479B867C" w14:textId="77777777" w:rsidR="00DD3748" w:rsidRPr="007C3D8B" w:rsidRDefault="00DD3748" w:rsidP="005D507F">
      <w:pPr>
        <w:rPr>
          <w:sz w:val="24"/>
          <w:szCs w:val="24"/>
        </w:rPr>
      </w:pPr>
    </w:p>
    <w:p w14:paraId="0C8D4344" w14:textId="1FE35A9C" w:rsidR="001D6364" w:rsidRPr="007C3D8B" w:rsidRDefault="001D6364" w:rsidP="002B7F5C">
      <w:pPr>
        <w:rPr>
          <w:sz w:val="24"/>
          <w:szCs w:val="24"/>
        </w:rPr>
      </w:pPr>
      <w:r w:rsidRPr="007C3D8B">
        <w:rPr>
          <w:b/>
          <w:bCs/>
          <w:sz w:val="24"/>
          <w:szCs w:val="24"/>
          <w:u w:val="single"/>
        </w:rPr>
        <w:t>Conclusion:</w:t>
      </w:r>
    </w:p>
    <w:p w14:paraId="27D002D8" w14:textId="4216D979" w:rsidR="00221C77" w:rsidRPr="007C3D8B" w:rsidRDefault="007C0B17" w:rsidP="002B7F5C">
      <w:pPr>
        <w:rPr>
          <w:sz w:val="24"/>
          <w:szCs w:val="24"/>
        </w:rPr>
      </w:pPr>
      <w:r w:rsidRPr="007C3D8B">
        <w:rPr>
          <w:sz w:val="24"/>
          <w:szCs w:val="24"/>
        </w:rPr>
        <w:t>The Board has decided that</w:t>
      </w:r>
      <w:r w:rsidR="008D3389">
        <w:rPr>
          <w:sz w:val="24"/>
          <w:szCs w:val="24"/>
        </w:rPr>
        <w:t xml:space="preserve"> it must be able to fund</w:t>
      </w:r>
      <w:r w:rsidRPr="007C3D8B">
        <w:rPr>
          <w:sz w:val="24"/>
          <w:szCs w:val="24"/>
        </w:rPr>
        <w:t xml:space="preserve"> competitive compensation to </w:t>
      </w:r>
      <w:r w:rsidR="008D3389">
        <w:rPr>
          <w:sz w:val="24"/>
          <w:szCs w:val="24"/>
        </w:rPr>
        <w:t>the</w:t>
      </w:r>
      <w:r w:rsidR="008D3389" w:rsidRPr="007C3D8B">
        <w:rPr>
          <w:sz w:val="24"/>
          <w:szCs w:val="24"/>
        </w:rPr>
        <w:t xml:space="preserve"> </w:t>
      </w:r>
      <w:r w:rsidRPr="007C3D8B">
        <w:rPr>
          <w:sz w:val="24"/>
          <w:szCs w:val="24"/>
        </w:rPr>
        <w:t>police officers</w:t>
      </w:r>
      <w:r w:rsidR="008D3389">
        <w:rPr>
          <w:sz w:val="24"/>
          <w:szCs w:val="24"/>
        </w:rPr>
        <w:t xml:space="preserve"> contracted through the UPD to serve member communities</w:t>
      </w:r>
      <w:r w:rsidRPr="007C3D8B">
        <w:rPr>
          <w:sz w:val="24"/>
          <w:szCs w:val="24"/>
        </w:rPr>
        <w:t xml:space="preserve"> if it wants to recruit and retain officers.  The Board recognizes that police officer compensation is the primary factor in law enforcement cost increase.  With the competition for a limited pool of applicants and the need to retain adequate staffing, agencies throughout the Salt Lake Valley are increasing their police officer compensation.  Further, officers must have the up-to-date equipment to do their job safely</w:t>
      </w:r>
      <w:r w:rsidR="007C5AD4">
        <w:rPr>
          <w:sz w:val="24"/>
          <w:szCs w:val="24"/>
        </w:rPr>
        <w:t xml:space="preserve">.  The costs for equipment, cars and supplies continue to increase.  Increased revenue is needed to fund </w:t>
      </w:r>
      <w:r w:rsidRPr="007C3D8B">
        <w:rPr>
          <w:sz w:val="24"/>
          <w:szCs w:val="24"/>
        </w:rPr>
        <w:t>the enhance</w:t>
      </w:r>
      <w:r w:rsidR="007C5AD4">
        <w:rPr>
          <w:sz w:val="24"/>
          <w:szCs w:val="24"/>
        </w:rPr>
        <w:t>d</w:t>
      </w:r>
      <w:r w:rsidRPr="007C3D8B">
        <w:rPr>
          <w:sz w:val="24"/>
          <w:szCs w:val="24"/>
        </w:rPr>
        <w:t xml:space="preserve"> training that is required.  </w:t>
      </w:r>
      <w:r w:rsidR="00115888" w:rsidRPr="007C3D8B">
        <w:rPr>
          <w:sz w:val="24"/>
          <w:szCs w:val="24"/>
        </w:rPr>
        <w:t xml:space="preserve">The Board </w:t>
      </w:r>
      <w:r w:rsidRPr="007C3D8B">
        <w:rPr>
          <w:sz w:val="24"/>
          <w:szCs w:val="24"/>
        </w:rPr>
        <w:t xml:space="preserve">has decided that </w:t>
      </w:r>
      <w:r w:rsidR="008D3389">
        <w:rPr>
          <w:sz w:val="24"/>
          <w:szCs w:val="24"/>
        </w:rPr>
        <w:t>a</w:t>
      </w:r>
      <w:r w:rsidR="007C3D8B" w:rsidRPr="007C3D8B">
        <w:rPr>
          <w:sz w:val="24"/>
          <w:szCs w:val="24"/>
        </w:rPr>
        <w:t xml:space="preserve"> property tax increase </w:t>
      </w:r>
      <w:r w:rsidR="008D3389">
        <w:rPr>
          <w:sz w:val="24"/>
          <w:szCs w:val="24"/>
        </w:rPr>
        <w:t xml:space="preserve">is necessary </w:t>
      </w:r>
      <w:r w:rsidR="007C3D8B" w:rsidRPr="007C3D8B">
        <w:rPr>
          <w:sz w:val="24"/>
          <w:szCs w:val="24"/>
        </w:rPr>
        <w:t>to meet the demands on law enforcement in the future and maintain the viability of SLVLESA.</w:t>
      </w:r>
      <w:r w:rsidRPr="007C3D8B">
        <w:rPr>
          <w:sz w:val="24"/>
          <w:szCs w:val="24"/>
        </w:rPr>
        <w:t xml:space="preserve"> </w:t>
      </w:r>
    </w:p>
    <w:p w14:paraId="17E8BDBE" w14:textId="70CC44E2" w:rsidR="002B7F5C" w:rsidRPr="007C3D8B" w:rsidRDefault="00983EA3" w:rsidP="002B7F5C">
      <w:pPr>
        <w:rPr>
          <w:b/>
          <w:sz w:val="24"/>
          <w:szCs w:val="24"/>
        </w:rPr>
      </w:pPr>
      <w:r w:rsidRPr="007C3D8B">
        <w:rPr>
          <w:b/>
          <w:sz w:val="24"/>
          <w:szCs w:val="24"/>
        </w:rPr>
        <w:t xml:space="preserve"> </w:t>
      </w:r>
    </w:p>
    <w:sectPr w:rsidR="002B7F5C" w:rsidRPr="007C3D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86202C"/>
    <w:multiLevelType w:val="hybridMultilevel"/>
    <w:tmpl w:val="7C82EF0E"/>
    <w:lvl w:ilvl="0" w:tplc="35E28DAC">
      <w:start w:val="1"/>
      <w:numFmt w:val="lowerLetter"/>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 w15:restartNumberingAfterBreak="0">
    <w:nsid w:val="361912DB"/>
    <w:multiLevelType w:val="hybridMultilevel"/>
    <w:tmpl w:val="05C00F60"/>
    <w:lvl w:ilvl="0" w:tplc="6C44D3DA">
      <w:start w:val="80"/>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7D0BC4"/>
    <w:multiLevelType w:val="hybridMultilevel"/>
    <w:tmpl w:val="1E66A4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7F5C"/>
    <w:rsid w:val="000041E0"/>
    <w:rsid w:val="000211B2"/>
    <w:rsid w:val="00024F0C"/>
    <w:rsid w:val="00041879"/>
    <w:rsid w:val="000700F9"/>
    <w:rsid w:val="00071AB6"/>
    <w:rsid w:val="000B0CAF"/>
    <w:rsid w:val="000B12BB"/>
    <w:rsid w:val="000B74F4"/>
    <w:rsid w:val="000E0CDA"/>
    <w:rsid w:val="000F2F11"/>
    <w:rsid w:val="00115888"/>
    <w:rsid w:val="001331C9"/>
    <w:rsid w:val="001932F3"/>
    <w:rsid w:val="001C3823"/>
    <w:rsid w:val="001D6364"/>
    <w:rsid w:val="00221C77"/>
    <w:rsid w:val="00255519"/>
    <w:rsid w:val="00267675"/>
    <w:rsid w:val="002878F7"/>
    <w:rsid w:val="002A47D4"/>
    <w:rsid w:val="002A7A1D"/>
    <w:rsid w:val="002B6CC2"/>
    <w:rsid w:val="002B7F5C"/>
    <w:rsid w:val="002C2B7F"/>
    <w:rsid w:val="002C5693"/>
    <w:rsid w:val="002D5FF7"/>
    <w:rsid w:val="002F0C07"/>
    <w:rsid w:val="00330CC6"/>
    <w:rsid w:val="00334D8C"/>
    <w:rsid w:val="00350E3E"/>
    <w:rsid w:val="00357A32"/>
    <w:rsid w:val="00381A1B"/>
    <w:rsid w:val="003A6FE4"/>
    <w:rsid w:val="003E5FC0"/>
    <w:rsid w:val="0040314E"/>
    <w:rsid w:val="00405932"/>
    <w:rsid w:val="00450244"/>
    <w:rsid w:val="00473870"/>
    <w:rsid w:val="00497BF1"/>
    <w:rsid w:val="004A2CA2"/>
    <w:rsid w:val="004D5D33"/>
    <w:rsid w:val="004D72EB"/>
    <w:rsid w:val="004E2820"/>
    <w:rsid w:val="00543055"/>
    <w:rsid w:val="00543218"/>
    <w:rsid w:val="00582118"/>
    <w:rsid w:val="0059048C"/>
    <w:rsid w:val="00594672"/>
    <w:rsid w:val="005A381E"/>
    <w:rsid w:val="005D1732"/>
    <w:rsid w:val="005D507F"/>
    <w:rsid w:val="005D707F"/>
    <w:rsid w:val="005F4446"/>
    <w:rsid w:val="005F4EC9"/>
    <w:rsid w:val="005F7F8B"/>
    <w:rsid w:val="006058BB"/>
    <w:rsid w:val="00606D9D"/>
    <w:rsid w:val="006155A0"/>
    <w:rsid w:val="006261EE"/>
    <w:rsid w:val="00637BD9"/>
    <w:rsid w:val="00643ABC"/>
    <w:rsid w:val="00674C4E"/>
    <w:rsid w:val="0068790A"/>
    <w:rsid w:val="0069534B"/>
    <w:rsid w:val="00695933"/>
    <w:rsid w:val="006F2F1A"/>
    <w:rsid w:val="00701E39"/>
    <w:rsid w:val="00730667"/>
    <w:rsid w:val="00740A61"/>
    <w:rsid w:val="007546EF"/>
    <w:rsid w:val="007837AF"/>
    <w:rsid w:val="0079622D"/>
    <w:rsid w:val="0079747E"/>
    <w:rsid w:val="007C0B17"/>
    <w:rsid w:val="007C3D8B"/>
    <w:rsid w:val="007C5AD4"/>
    <w:rsid w:val="007D011D"/>
    <w:rsid w:val="00801DEC"/>
    <w:rsid w:val="00805483"/>
    <w:rsid w:val="00863F1A"/>
    <w:rsid w:val="008B4DAD"/>
    <w:rsid w:val="008D3389"/>
    <w:rsid w:val="008D4A94"/>
    <w:rsid w:val="008F139D"/>
    <w:rsid w:val="00905172"/>
    <w:rsid w:val="00930272"/>
    <w:rsid w:val="0095147B"/>
    <w:rsid w:val="00955CB5"/>
    <w:rsid w:val="00977EB2"/>
    <w:rsid w:val="00983192"/>
    <w:rsid w:val="00983EA3"/>
    <w:rsid w:val="00985282"/>
    <w:rsid w:val="009879B4"/>
    <w:rsid w:val="009C5A2C"/>
    <w:rsid w:val="009E5CC4"/>
    <w:rsid w:val="009F3610"/>
    <w:rsid w:val="00A0550F"/>
    <w:rsid w:val="00A111E9"/>
    <w:rsid w:val="00A13706"/>
    <w:rsid w:val="00A3405B"/>
    <w:rsid w:val="00A656BE"/>
    <w:rsid w:val="00A74C78"/>
    <w:rsid w:val="00A804A6"/>
    <w:rsid w:val="00AB2029"/>
    <w:rsid w:val="00AC1831"/>
    <w:rsid w:val="00AE1FCD"/>
    <w:rsid w:val="00AE708C"/>
    <w:rsid w:val="00B10297"/>
    <w:rsid w:val="00B15CE0"/>
    <w:rsid w:val="00B16769"/>
    <w:rsid w:val="00B17791"/>
    <w:rsid w:val="00B17F05"/>
    <w:rsid w:val="00B25ACF"/>
    <w:rsid w:val="00B619D9"/>
    <w:rsid w:val="00B92BDA"/>
    <w:rsid w:val="00BB2C47"/>
    <w:rsid w:val="00BC1CAA"/>
    <w:rsid w:val="00BE73AA"/>
    <w:rsid w:val="00C34DD3"/>
    <w:rsid w:val="00C362FF"/>
    <w:rsid w:val="00C424E1"/>
    <w:rsid w:val="00C435CA"/>
    <w:rsid w:val="00C7061B"/>
    <w:rsid w:val="00C775AC"/>
    <w:rsid w:val="00C96CF2"/>
    <w:rsid w:val="00CA16E8"/>
    <w:rsid w:val="00CA1D5D"/>
    <w:rsid w:val="00CA2C4E"/>
    <w:rsid w:val="00CD7437"/>
    <w:rsid w:val="00D03E6A"/>
    <w:rsid w:val="00D12C6E"/>
    <w:rsid w:val="00D611CC"/>
    <w:rsid w:val="00D92102"/>
    <w:rsid w:val="00DA2F60"/>
    <w:rsid w:val="00DD3748"/>
    <w:rsid w:val="00DD4D56"/>
    <w:rsid w:val="00E073D8"/>
    <w:rsid w:val="00E624F0"/>
    <w:rsid w:val="00EA05A5"/>
    <w:rsid w:val="00EA433F"/>
    <w:rsid w:val="00EE27D5"/>
    <w:rsid w:val="00EE3A40"/>
    <w:rsid w:val="00F10AF9"/>
    <w:rsid w:val="00F85C19"/>
    <w:rsid w:val="00F909D4"/>
    <w:rsid w:val="00F923D4"/>
    <w:rsid w:val="00FC0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1E09B"/>
  <w15:chartTrackingRefBased/>
  <w15:docId w15:val="{3141D1B0-5E8A-4E62-8B1E-9D6ECEE6C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3A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3ABC"/>
    <w:rPr>
      <w:rFonts w:ascii="Segoe UI" w:hAnsi="Segoe UI" w:cs="Segoe UI"/>
      <w:sz w:val="18"/>
      <w:szCs w:val="18"/>
    </w:rPr>
  </w:style>
  <w:style w:type="paragraph" w:styleId="Header">
    <w:name w:val="header"/>
    <w:basedOn w:val="Normal"/>
    <w:link w:val="HeaderChar"/>
    <w:uiPriority w:val="99"/>
    <w:semiHidden/>
    <w:unhideWhenUsed/>
    <w:rsid w:val="00F85C19"/>
    <w:pPr>
      <w:tabs>
        <w:tab w:val="center" w:pos="4680"/>
        <w:tab w:val="right" w:pos="9360"/>
      </w:tabs>
      <w:spacing w:after="0" w:line="240" w:lineRule="auto"/>
    </w:pPr>
    <w:rPr>
      <w:sz w:val="24"/>
      <w:szCs w:val="24"/>
    </w:rPr>
  </w:style>
  <w:style w:type="character" w:customStyle="1" w:styleId="HeaderChar">
    <w:name w:val="Header Char"/>
    <w:basedOn w:val="DefaultParagraphFont"/>
    <w:link w:val="Header"/>
    <w:uiPriority w:val="99"/>
    <w:semiHidden/>
    <w:rsid w:val="00F85C19"/>
    <w:rPr>
      <w:sz w:val="24"/>
      <w:szCs w:val="24"/>
    </w:rPr>
  </w:style>
  <w:style w:type="table" w:styleId="TableGrid">
    <w:name w:val="Table Grid"/>
    <w:basedOn w:val="TableNormal"/>
    <w:uiPriority w:val="39"/>
    <w:rsid w:val="00F85C19"/>
    <w:pPr>
      <w:spacing w:after="0" w:line="240" w:lineRule="auto"/>
    </w:pPr>
    <w:rPr>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A47D4"/>
    <w:rPr>
      <w:color w:val="0563C1" w:themeColor="hyperlink"/>
      <w:u w:val="single"/>
    </w:rPr>
  </w:style>
  <w:style w:type="character" w:styleId="UnresolvedMention">
    <w:name w:val="Unresolved Mention"/>
    <w:basedOn w:val="DefaultParagraphFont"/>
    <w:uiPriority w:val="99"/>
    <w:semiHidden/>
    <w:unhideWhenUsed/>
    <w:rsid w:val="002A47D4"/>
    <w:rPr>
      <w:color w:val="605E5C"/>
      <w:shd w:val="clear" w:color="auto" w:fill="E1DFDD"/>
    </w:rPr>
  </w:style>
  <w:style w:type="paragraph" w:styleId="ListParagraph">
    <w:name w:val="List Paragraph"/>
    <w:basedOn w:val="Normal"/>
    <w:uiPriority w:val="34"/>
    <w:qFormat/>
    <w:rsid w:val="00350E3E"/>
    <w:pPr>
      <w:ind w:left="720"/>
      <w:contextualSpacing/>
    </w:pPr>
  </w:style>
  <w:style w:type="paragraph" w:styleId="CommentText">
    <w:name w:val="annotation text"/>
    <w:basedOn w:val="Normal"/>
    <w:link w:val="CommentTextChar"/>
    <w:uiPriority w:val="99"/>
    <w:semiHidden/>
    <w:unhideWhenUsed/>
    <w:rsid w:val="005F4446"/>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5F4446"/>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8D3389"/>
    <w:rPr>
      <w:sz w:val="16"/>
      <w:szCs w:val="16"/>
    </w:rPr>
  </w:style>
  <w:style w:type="paragraph" w:styleId="CommentSubject">
    <w:name w:val="annotation subject"/>
    <w:basedOn w:val="CommentText"/>
    <w:next w:val="CommentText"/>
    <w:link w:val="CommentSubjectChar"/>
    <w:uiPriority w:val="99"/>
    <w:semiHidden/>
    <w:unhideWhenUsed/>
    <w:rsid w:val="008D3389"/>
    <w:pPr>
      <w:widowControl/>
      <w:autoSpaceDE/>
      <w:autoSpaceDN/>
      <w:adjustRightInd/>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8D3389"/>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4224471">
      <w:bodyDiv w:val="1"/>
      <w:marLeft w:val="0"/>
      <w:marRight w:val="0"/>
      <w:marTop w:val="0"/>
      <w:marBottom w:val="0"/>
      <w:divBdr>
        <w:top w:val="none" w:sz="0" w:space="0" w:color="auto"/>
        <w:left w:val="none" w:sz="0" w:space="0" w:color="auto"/>
        <w:bottom w:val="none" w:sz="0" w:space="0" w:color="auto"/>
        <w:right w:val="none" w:sz="0" w:space="0" w:color="auto"/>
      </w:divBdr>
    </w:div>
    <w:div w:id="1614287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1320</Words>
  <Characters>7528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Carver</dc:creator>
  <cp:keywords/>
  <dc:description/>
  <cp:lastModifiedBy>Frank NaKamura</cp:lastModifiedBy>
  <cp:revision>5</cp:revision>
  <cp:lastPrinted>2019-09-25T22:05:00Z</cp:lastPrinted>
  <dcterms:created xsi:type="dcterms:W3CDTF">2021-08-18T17:43:00Z</dcterms:created>
  <dcterms:modified xsi:type="dcterms:W3CDTF">2021-08-19T20:21:00Z</dcterms:modified>
</cp:coreProperties>
</file>