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569" w:rsidRPr="00FD3705" w:rsidRDefault="001B7569" w:rsidP="00B3191D">
      <w:pPr>
        <w:rPr>
          <w:b/>
          <w:sz w:val="24"/>
          <w:szCs w:val="24"/>
        </w:rPr>
      </w:pPr>
      <w:r w:rsidRPr="00FD3705">
        <w:rPr>
          <w:b/>
          <w:sz w:val="24"/>
          <w:szCs w:val="24"/>
        </w:rPr>
        <w:t>Outreach and Community Food Resources</w:t>
      </w:r>
    </w:p>
    <w:p w:rsidR="00576D8C" w:rsidRDefault="001B7569" w:rsidP="00126107">
      <w:pPr>
        <w:rPr>
          <w:color w:val="000000"/>
          <w:sz w:val="24"/>
          <w:szCs w:val="24"/>
        </w:rPr>
      </w:pPr>
      <w:r w:rsidRPr="00FD3705">
        <w:rPr>
          <w:color w:val="000000"/>
          <w:sz w:val="24"/>
          <w:szCs w:val="24"/>
        </w:rPr>
        <w:t>Belva Parr, Ken Leetham</w:t>
      </w:r>
      <w:r w:rsidR="00126107" w:rsidRPr="00FD3705">
        <w:rPr>
          <w:color w:val="000000"/>
          <w:sz w:val="24"/>
          <w:szCs w:val="24"/>
        </w:rPr>
        <w:t>, Michael Harris, Susi Feltch-Malohifoʻou, Ginette Bott</w:t>
      </w:r>
      <w:r w:rsidR="002514C4" w:rsidRPr="00FD3705">
        <w:rPr>
          <w:color w:val="000000"/>
          <w:sz w:val="24"/>
          <w:szCs w:val="24"/>
        </w:rPr>
        <w:t xml:space="preserve">, Clayton </w:t>
      </w:r>
      <w:proofErr w:type="spellStart"/>
      <w:r w:rsidR="002514C4" w:rsidRPr="00FD3705">
        <w:rPr>
          <w:color w:val="000000"/>
          <w:sz w:val="24"/>
          <w:szCs w:val="24"/>
        </w:rPr>
        <w:t>Beckstead</w:t>
      </w:r>
      <w:proofErr w:type="spellEnd"/>
      <w:r w:rsidR="002514C4" w:rsidRPr="00FD3705">
        <w:rPr>
          <w:color w:val="000000"/>
          <w:sz w:val="24"/>
          <w:szCs w:val="24"/>
        </w:rPr>
        <w:t>, Juan Becerra</w:t>
      </w:r>
    </w:p>
    <w:p w:rsidR="001D0174" w:rsidRDefault="001D0174" w:rsidP="00126107">
      <w:pPr>
        <w:rPr>
          <w:color w:val="000000"/>
          <w:sz w:val="24"/>
          <w:szCs w:val="24"/>
        </w:rPr>
      </w:pPr>
    </w:p>
    <w:p w:rsidR="001D0174" w:rsidRDefault="001D0174" w:rsidP="001D0174">
      <w:pPr>
        <w:pStyle w:val="ListParagraph"/>
        <w:numPr>
          <w:ilvl w:val="0"/>
          <w:numId w:val="27"/>
        </w:numPr>
      </w:pPr>
      <w:r>
        <w:t>Policy Recommendation: Increase State funding for the Emergency Food Assistance Fund program to $1.5 million annually to be distributed through a grant process.</w:t>
      </w:r>
    </w:p>
    <w:p w:rsidR="00897B63" w:rsidRDefault="00897B63" w:rsidP="001D0174">
      <w:pPr>
        <w:pStyle w:val="ListParagraph"/>
        <w:numPr>
          <w:ilvl w:val="0"/>
          <w:numId w:val="27"/>
        </w:numPr>
      </w:pPr>
      <w:r>
        <w:t>Dedicate funding for outreach for federal nutrition programs</w:t>
      </w:r>
      <w:bookmarkStart w:id="0" w:name="_GoBack"/>
      <w:bookmarkEnd w:id="0"/>
    </w:p>
    <w:p w:rsidR="001D0174" w:rsidRPr="001D0174" w:rsidRDefault="001D0174" w:rsidP="005B7E39">
      <w:pPr>
        <w:pStyle w:val="ListParagraph"/>
        <w:numPr>
          <w:ilvl w:val="0"/>
          <w:numId w:val="27"/>
        </w:numPr>
        <w:rPr>
          <w:b/>
          <w:sz w:val="24"/>
          <w:szCs w:val="24"/>
          <w:u w:val="single"/>
        </w:rPr>
      </w:pPr>
      <w:r>
        <w:t xml:space="preserve">Policy Recommendation: State of Utah to providing funding of $50,000 annually towards the creation of an annual conference on food security. </w:t>
      </w:r>
    </w:p>
    <w:p w:rsidR="00B3191D" w:rsidRPr="00FD3705" w:rsidRDefault="004B1A20" w:rsidP="00B3191D">
      <w:pPr>
        <w:pStyle w:val="BodyText"/>
        <w:spacing w:before="90" w:after="100" w:afterAutospacing="1"/>
        <w:ind w:left="1526" w:right="2304" w:hanging="1555"/>
        <w:contextualSpacing/>
        <w:rPr>
          <w:spacing w:val="-57"/>
        </w:rPr>
      </w:pPr>
      <w:r w:rsidRPr="00FD3705">
        <w:rPr>
          <w:b/>
        </w:rPr>
        <w:t>Economic Stability subcommittee:</w:t>
      </w:r>
      <w:r w:rsidRPr="00FD3705">
        <w:rPr>
          <w:spacing w:val="-57"/>
        </w:rPr>
        <w:t xml:space="preserve"> </w:t>
      </w:r>
    </w:p>
    <w:p w:rsidR="00263E82" w:rsidRPr="00FD3705" w:rsidRDefault="004B1A20" w:rsidP="00B3191D">
      <w:pPr>
        <w:pStyle w:val="BodyText"/>
        <w:tabs>
          <w:tab w:val="left" w:pos="0"/>
          <w:tab w:val="left" w:pos="7020"/>
        </w:tabs>
        <w:spacing w:before="90" w:line="247" w:lineRule="auto"/>
        <w:ind w:left="0" w:right="20" w:hanging="30"/>
        <w:rPr>
          <w:spacing w:val="-57"/>
        </w:rPr>
      </w:pPr>
      <w:r w:rsidRPr="00FD3705">
        <w:t>Thayne Mickelson</w:t>
      </w:r>
      <w:r w:rsidR="00B3191D" w:rsidRPr="00FD3705">
        <w:t xml:space="preserve">, </w:t>
      </w:r>
      <w:r w:rsidRPr="00FD3705">
        <w:t>Aimee</w:t>
      </w:r>
      <w:r w:rsidRPr="00FD3705">
        <w:rPr>
          <w:spacing w:val="-12"/>
        </w:rPr>
        <w:t xml:space="preserve"> </w:t>
      </w:r>
      <w:r w:rsidRPr="00FD3705">
        <w:t>Winder</w:t>
      </w:r>
      <w:r w:rsidRPr="00FD3705">
        <w:rPr>
          <w:spacing w:val="-11"/>
        </w:rPr>
        <w:t xml:space="preserve"> </w:t>
      </w:r>
      <w:r w:rsidRPr="00FD3705">
        <w:t>Newton</w:t>
      </w:r>
      <w:r w:rsidR="00B3191D" w:rsidRPr="00FD3705">
        <w:t>,</w:t>
      </w:r>
      <w:r w:rsidRPr="00FD3705">
        <w:rPr>
          <w:spacing w:val="-57"/>
        </w:rPr>
        <w:t xml:space="preserve"> </w:t>
      </w:r>
      <w:r w:rsidRPr="00FD3705">
        <w:t>Brian Emerson</w:t>
      </w:r>
      <w:r w:rsidR="00B3191D" w:rsidRPr="00FD3705">
        <w:t xml:space="preserve">, </w:t>
      </w:r>
      <w:r w:rsidRPr="00FD3705">
        <w:t>Dane Ishihara</w:t>
      </w:r>
      <w:r w:rsidR="00B3191D" w:rsidRPr="00FD3705">
        <w:t xml:space="preserve">, </w:t>
      </w:r>
      <w:r w:rsidRPr="00FD3705">
        <w:t xml:space="preserve">Kevin </w:t>
      </w:r>
      <w:proofErr w:type="gramStart"/>
      <w:r w:rsidRPr="00FD3705">
        <w:t>Burt</w:t>
      </w:r>
      <w:r w:rsidR="00B3191D" w:rsidRPr="00FD3705">
        <w:t xml:space="preserve">, </w:t>
      </w:r>
      <w:r w:rsidRPr="00FD3705">
        <w:rPr>
          <w:spacing w:val="-57"/>
        </w:rPr>
        <w:t xml:space="preserve"> </w:t>
      </w:r>
      <w:r w:rsidR="00B3191D" w:rsidRPr="00FD3705">
        <w:rPr>
          <w:spacing w:val="-57"/>
        </w:rPr>
        <w:t>,</w:t>
      </w:r>
      <w:proofErr w:type="gramEnd"/>
      <w:r w:rsidR="00B3191D" w:rsidRPr="00FD3705">
        <w:rPr>
          <w:spacing w:val="-57"/>
        </w:rPr>
        <w:t xml:space="preserve"> </w:t>
      </w:r>
      <w:r w:rsidRPr="00FD3705">
        <w:rPr>
          <w:spacing w:val="-1"/>
        </w:rPr>
        <w:t>Randy</w:t>
      </w:r>
      <w:r w:rsidRPr="00FD3705">
        <w:rPr>
          <w:spacing w:val="-12"/>
        </w:rPr>
        <w:t xml:space="preserve"> </w:t>
      </w:r>
      <w:r w:rsidRPr="00FD3705">
        <w:t>Olsen</w:t>
      </w:r>
      <w:r w:rsidR="00B3191D" w:rsidRPr="00FD3705">
        <w:t xml:space="preserve">, </w:t>
      </w:r>
      <w:r w:rsidRPr="00FD3705">
        <w:rPr>
          <w:color w:val="212121"/>
        </w:rPr>
        <w:t>Sarah Elizabeth Garza-Levitt</w:t>
      </w:r>
    </w:p>
    <w:p w:rsidR="00263E82" w:rsidRPr="00FD3705" w:rsidRDefault="002A1DA0" w:rsidP="002A1DA0">
      <w:pPr>
        <w:pStyle w:val="BodyText"/>
        <w:numPr>
          <w:ilvl w:val="0"/>
          <w:numId w:val="25"/>
        </w:numPr>
        <w:spacing w:before="2"/>
      </w:pPr>
      <w:r w:rsidRPr="00FD3705">
        <w:t>Increase funding for food pantries across the state</w:t>
      </w:r>
    </w:p>
    <w:p w:rsidR="002A1DA0" w:rsidRPr="00FD3705" w:rsidRDefault="00743C1E" w:rsidP="002A1DA0">
      <w:pPr>
        <w:pStyle w:val="BodyText"/>
        <w:numPr>
          <w:ilvl w:val="0"/>
          <w:numId w:val="25"/>
        </w:numPr>
        <w:spacing w:before="2"/>
      </w:pPr>
      <w:r w:rsidRPr="00FD3705">
        <w:t>Address the benefits cliff that prevents some families from advancing or increasing their income because of the tradeoffs</w:t>
      </w:r>
    </w:p>
    <w:p w:rsidR="00743C1E" w:rsidRPr="00FD3705" w:rsidRDefault="00743C1E" w:rsidP="002A1DA0">
      <w:pPr>
        <w:pStyle w:val="BodyText"/>
        <w:numPr>
          <w:ilvl w:val="0"/>
          <w:numId w:val="25"/>
        </w:numPr>
        <w:spacing w:before="2"/>
      </w:pPr>
      <w:r w:rsidRPr="00FD3705">
        <w:t>Incentivize (fund) people to start daycare businesses to address day care shortages</w:t>
      </w:r>
    </w:p>
    <w:p w:rsidR="00743C1E" w:rsidRPr="00FD3705" w:rsidRDefault="00743C1E" w:rsidP="002A1DA0">
      <w:pPr>
        <w:pStyle w:val="BodyText"/>
        <w:numPr>
          <w:ilvl w:val="0"/>
          <w:numId w:val="25"/>
        </w:numPr>
        <w:spacing w:before="2"/>
      </w:pPr>
      <w:r w:rsidRPr="00FD3705">
        <w:t>Increase enrollment in CHIP and Medicaid</w:t>
      </w:r>
    </w:p>
    <w:p w:rsidR="00743C1E" w:rsidRPr="00FD3705" w:rsidRDefault="00743C1E" w:rsidP="002A1DA0">
      <w:pPr>
        <w:pStyle w:val="BodyText"/>
        <w:numPr>
          <w:ilvl w:val="0"/>
          <w:numId w:val="25"/>
        </w:numPr>
        <w:spacing w:before="2"/>
      </w:pPr>
      <w:r w:rsidRPr="00FD3705">
        <w:t>Eliminate the state portion of the sales tax on food</w:t>
      </w:r>
    </w:p>
    <w:p w:rsidR="00743C1E" w:rsidRPr="00FD3705" w:rsidRDefault="00743C1E" w:rsidP="002A1DA0">
      <w:pPr>
        <w:pStyle w:val="BodyText"/>
        <w:numPr>
          <w:ilvl w:val="0"/>
          <w:numId w:val="25"/>
        </w:numPr>
        <w:spacing w:before="2"/>
      </w:pPr>
      <w:r w:rsidRPr="00FD3705">
        <w:t>Increase access to broadband</w:t>
      </w:r>
      <w:r w:rsidR="00FD1DCF" w:rsidRPr="00FD3705">
        <w:t xml:space="preserve"> in rural communities</w:t>
      </w:r>
    </w:p>
    <w:p w:rsidR="00FD1DCF" w:rsidRPr="00FD3705" w:rsidRDefault="00FD1DCF" w:rsidP="00FD1DCF">
      <w:pPr>
        <w:pStyle w:val="ListParagraph"/>
        <w:numPr>
          <w:ilvl w:val="0"/>
          <w:numId w:val="25"/>
        </w:numPr>
        <w:rPr>
          <w:sz w:val="24"/>
          <w:szCs w:val="24"/>
        </w:rPr>
      </w:pPr>
      <w:r w:rsidRPr="00FD3705">
        <w:rPr>
          <w:sz w:val="24"/>
          <w:szCs w:val="24"/>
        </w:rPr>
        <w:t>Adding food security as an issue to be addressed by the Unified Economic Opportunity Commission</w:t>
      </w:r>
    </w:p>
    <w:p w:rsidR="003542F2" w:rsidRPr="00FD3705" w:rsidRDefault="003542F2" w:rsidP="00341140">
      <w:pPr>
        <w:jc w:val="center"/>
        <w:rPr>
          <w:b/>
          <w:sz w:val="24"/>
          <w:szCs w:val="24"/>
        </w:rPr>
      </w:pPr>
    </w:p>
    <w:p w:rsidR="003542F2" w:rsidRPr="00FD3705" w:rsidRDefault="003542F2" w:rsidP="00341140">
      <w:pPr>
        <w:jc w:val="center"/>
        <w:rPr>
          <w:b/>
          <w:sz w:val="24"/>
          <w:szCs w:val="24"/>
        </w:rPr>
      </w:pPr>
    </w:p>
    <w:p w:rsidR="00341140" w:rsidRPr="00FD3705" w:rsidRDefault="00341140" w:rsidP="00B3191D">
      <w:pPr>
        <w:rPr>
          <w:b/>
          <w:sz w:val="24"/>
          <w:szCs w:val="24"/>
        </w:rPr>
      </w:pPr>
      <w:r w:rsidRPr="00FD3705">
        <w:rPr>
          <w:b/>
          <w:sz w:val="24"/>
          <w:szCs w:val="24"/>
        </w:rPr>
        <w:t>Policy and Access to Healthy Food Workgroup</w:t>
      </w:r>
    </w:p>
    <w:p w:rsidR="00341140" w:rsidRPr="00FD3705" w:rsidRDefault="00341140" w:rsidP="00341140">
      <w:pPr>
        <w:rPr>
          <w:sz w:val="24"/>
          <w:szCs w:val="24"/>
        </w:rPr>
      </w:pPr>
      <w:r w:rsidRPr="00FD3705">
        <w:rPr>
          <w:color w:val="000000"/>
          <w:sz w:val="24"/>
          <w:szCs w:val="24"/>
        </w:rPr>
        <w:t xml:space="preserve">Rob Harter, Gina Cornia, Kate Wheeler, Janae Duncan, </w:t>
      </w:r>
      <w:proofErr w:type="spellStart"/>
      <w:r w:rsidRPr="00FD3705">
        <w:rPr>
          <w:color w:val="000000"/>
          <w:sz w:val="24"/>
          <w:szCs w:val="24"/>
        </w:rPr>
        <w:t>Lais</w:t>
      </w:r>
      <w:proofErr w:type="spellEnd"/>
      <w:r w:rsidRPr="00FD3705">
        <w:rPr>
          <w:color w:val="000000"/>
          <w:sz w:val="24"/>
          <w:szCs w:val="24"/>
        </w:rPr>
        <w:t xml:space="preserve"> Martinez, Marti Woolford, Alexis Bucknam</w:t>
      </w:r>
    </w:p>
    <w:p w:rsidR="00185E2A" w:rsidRPr="00FD3705" w:rsidRDefault="00185E2A" w:rsidP="00341140">
      <w:pPr>
        <w:rPr>
          <w:sz w:val="24"/>
          <w:szCs w:val="24"/>
        </w:rPr>
      </w:pPr>
    </w:p>
    <w:p w:rsidR="00681832" w:rsidRPr="00FD3705" w:rsidRDefault="00681832" w:rsidP="00681832">
      <w:pPr>
        <w:widowControl/>
        <w:autoSpaceDE/>
        <w:autoSpaceDN/>
        <w:rPr>
          <w:sz w:val="24"/>
          <w:szCs w:val="24"/>
        </w:rPr>
      </w:pPr>
      <w:r w:rsidRPr="00FD3705">
        <w:rPr>
          <w:color w:val="000000"/>
          <w:sz w:val="24"/>
          <w:szCs w:val="24"/>
        </w:rPr>
        <w:t>The Policy &amp; Access to Healthy Food workgroup examined solutions relating to root causes of food insecurity as well as direct solutions that address immediate food needs in the state. We also discussed issues with Federal programs that are best addressed at the national level, and provide recommendations for those programs.</w:t>
      </w:r>
    </w:p>
    <w:p w:rsidR="00681832" w:rsidRPr="00FD3705" w:rsidRDefault="00681832" w:rsidP="00681832">
      <w:pPr>
        <w:widowControl/>
        <w:autoSpaceDE/>
        <w:autoSpaceDN/>
        <w:rPr>
          <w:sz w:val="24"/>
          <w:szCs w:val="24"/>
        </w:rPr>
      </w:pPr>
    </w:p>
    <w:p w:rsidR="00681832" w:rsidRPr="00FD3705" w:rsidRDefault="00681832" w:rsidP="00681832">
      <w:pPr>
        <w:widowControl/>
        <w:autoSpaceDE/>
        <w:autoSpaceDN/>
        <w:rPr>
          <w:b/>
          <w:sz w:val="24"/>
          <w:szCs w:val="24"/>
        </w:rPr>
      </w:pPr>
      <w:r w:rsidRPr="00FD3705">
        <w:rPr>
          <w:b/>
          <w:color w:val="000000"/>
          <w:sz w:val="24"/>
          <w:szCs w:val="24"/>
        </w:rPr>
        <w:t>Big picture goals that address the root causes of hunger:</w:t>
      </w:r>
    </w:p>
    <w:p w:rsidR="00681832" w:rsidRPr="00FD3705" w:rsidRDefault="00681832" w:rsidP="00681832">
      <w:pPr>
        <w:widowControl/>
        <w:numPr>
          <w:ilvl w:val="0"/>
          <w:numId w:val="17"/>
        </w:numPr>
        <w:autoSpaceDE/>
        <w:autoSpaceDN/>
        <w:textAlignment w:val="baseline"/>
        <w:rPr>
          <w:color w:val="000000"/>
          <w:sz w:val="24"/>
          <w:szCs w:val="24"/>
        </w:rPr>
      </w:pPr>
      <w:r w:rsidRPr="00FD3705">
        <w:rPr>
          <w:color w:val="000000"/>
          <w:sz w:val="24"/>
          <w:szCs w:val="24"/>
        </w:rPr>
        <w:t>Affordable housing</w:t>
      </w:r>
    </w:p>
    <w:p w:rsidR="00681832" w:rsidRPr="00FD3705" w:rsidRDefault="00681832" w:rsidP="00681832">
      <w:pPr>
        <w:widowControl/>
        <w:numPr>
          <w:ilvl w:val="0"/>
          <w:numId w:val="17"/>
        </w:numPr>
        <w:autoSpaceDE/>
        <w:autoSpaceDN/>
        <w:textAlignment w:val="baseline"/>
        <w:rPr>
          <w:color w:val="000000"/>
          <w:sz w:val="24"/>
          <w:szCs w:val="24"/>
        </w:rPr>
      </w:pPr>
      <w:r w:rsidRPr="00FD3705">
        <w:rPr>
          <w:color w:val="000000"/>
          <w:sz w:val="24"/>
          <w:szCs w:val="24"/>
        </w:rPr>
        <w:t>Living wage</w:t>
      </w:r>
    </w:p>
    <w:p w:rsidR="00681832" w:rsidRPr="00FD3705" w:rsidRDefault="00681832" w:rsidP="00681832">
      <w:pPr>
        <w:widowControl/>
        <w:numPr>
          <w:ilvl w:val="0"/>
          <w:numId w:val="17"/>
        </w:numPr>
        <w:autoSpaceDE/>
        <w:autoSpaceDN/>
        <w:textAlignment w:val="baseline"/>
        <w:rPr>
          <w:bCs/>
          <w:color w:val="000000"/>
          <w:sz w:val="24"/>
          <w:szCs w:val="24"/>
        </w:rPr>
      </w:pPr>
      <w:r w:rsidRPr="00FD3705">
        <w:rPr>
          <w:bCs/>
          <w:color w:val="000000"/>
          <w:sz w:val="24"/>
          <w:szCs w:val="24"/>
        </w:rPr>
        <w:t>Free community and technical college</w:t>
      </w:r>
    </w:p>
    <w:p w:rsidR="00681832" w:rsidRPr="00FD3705" w:rsidRDefault="00681832" w:rsidP="00681832">
      <w:pPr>
        <w:widowControl/>
        <w:numPr>
          <w:ilvl w:val="0"/>
          <w:numId w:val="18"/>
        </w:numPr>
        <w:autoSpaceDE/>
        <w:autoSpaceDN/>
        <w:textAlignment w:val="baseline"/>
        <w:rPr>
          <w:bCs/>
          <w:color w:val="000000"/>
          <w:sz w:val="24"/>
          <w:szCs w:val="24"/>
        </w:rPr>
      </w:pPr>
      <w:r w:rsidRPr="00FD3705">
        <w:rPr>
          <w:bCs/>
          <w:color w:val="000000"/>
          <w:sz w:val="24"/>
          <w:szCs w:val="24"/>
        </w:rPr>
        <w:t>Direct the State Nutrition Access Coalition (SNAC) to specifically examine root causes of food insecurity and coordinate statewide efforts to address these issues.</w:t>
      </w:r>
    </w:p>
    <w:p w:rsidR="00681832" w:rsidRPr="00FD3705" w:rsidRDefault="00681832" w:rsidP="00681832">
      <w:pPr>
        <w:widowControl/>
        <w:autoSpaceDE/>
        <w:autoSpaceDN/>
        <w:rPr>
          <w:sz w:val="24"/>
          <w:szCs w:val="24"/>
        </w:rPr>
      </w:pPr>
    </w:p>
    <w:p w:rsidR="00681832" w:rsidRPr="00FD3705" w:rsidRDefault="00681832" w:rsidP="00681832">
      <w:pPr>
        <w:widowControl/>
        <w:autoSpaceDE/>
        <w:autoSpaceDN/>
        <w:rPr>
          <w:b/>
          <w:sz w:val="24"/>
          <w:szCs w:val="24"/>
        </w:rPr>
      </w:pPr>
      <w:r w:rsidRPr="00FD3705">
        <w:rPr>
          <w:b/>
          <w:color w:val="000000"/>
          <w:sz w:val="24"/>
          <w:szCs w:val="24"/>
        </w:rPr>
        <w:t>Direct food security recommendations:</w:t>
      </w:r>
    </w:p>
    <w:p w:rsidR="00681832" w:rsidRPr="00FD3705" w:rsidRDefault="00681832" w:rsidP="00681832">
      <w:pPr>
        <w:widowControl/>
        <w:numPr>
          <w:ilvl w:val="0"/>
          <w:numId w:val="19"/>
        </w:numPr>
        <w:autoSpaceDE/>
        <w:autoSpaceDN/>
        <w:textAlignment w:val="baseline"/>
        <w:rPr>
          <w:bCs/>
          <w:color w:val="000000"/>
          <w:sz w:val="24"/>
          <w:szCs w:val="24"/>
        </w:rPr>
      </w:pPr>
      <w:r w:rsidRPr="00FD3705">
        <w:rPr>
          <w:bCs/>
          <w:color w:val="000000"/>
          <w:sz w:val="24"/>
          <w:szCs w:val="24"/>
        </w:rPr>
        <w:t>Increase funding and support for food pantries</w:t>
      </w:r>
    </w:p>
    <w:p w:rsidR="00681832" w:rsidRPr="00FD3705" w:rsidRDefault="00681832" w:rsidP="00681832">
      <w:pPr>
        <w:widowControl/>
        <w:numPr>
          <w:ilvl w:val="0"/>
          <w:numId w:val="20"/>
        </w:numPr>
        <w:autoSpaceDE/>
        <w:autoSpaceDN/>
        <w:textAlignment w:val="baseline"/>
        <w:rPr>
          <w:bCs/>
          <w:color w:val="000000"/>
          <w:sz w:val="24"/>
          <w:szCs w:val="24"/>
        </w:rPr>
      </w:pPr>
      <w:r w:rsidRPr="00FD3705">
        <w:rPr>
          <w:bCs/>
          <w:color w:val="000000"/>
          <w:sz w:val="24"/>
          <w:szCs w:val="24"/>
        </w:rPr>
        <w:t>SNAP 2 Skills partnership with the Utah System of Higher Education as part of the SNAP Education and Training approach</w:t>
      </w:r>
    </w:p>
    <w:p w:rsidR="00681832" w:rsidRPr="00FD3705" w:rsidRDefault="00681832" w:rsidP="00681832">
      <w:pPr>
        <w:widowControl/>
        <w:numPr>
          <w:ilvl w:val="0"/>
          <w:numId w:val="21"/>
        </w:numPr>
        <w:autoSpaceDE/>
        <w:autoSpaceDN/>
        <w:textAlignment w:val="baseline"/>
        <w:rPr>
          <w:bCs/>
          <w:color w:val="000000"/>
          <w:sz w:val="24"/>
          <w:szCs w:val="24"/>
        </w:rPr>
      </w:pPr>
      <w:bookmarkStart w:id="1" w:name="_Hlk80189695"/>
      <w:r w:rsidRPr="00FD3705">
        <w:rPr>
          <w:bCs/>
          <w:color w:val="000000"/>
          <w:sz w:val="24"/>
          <w:szCs w:val="24"/>
        </w:rPr>
        <w:t>Create a state SNAP program available to undocumented immigrants</w:t>
      </w:r>
    </w:p>
    <w:bookmarkEnd w:id="1"/>
    <w:p w:rsidR="00681832" w:rsidRPr="00FD3705" w:rsidRDefault="00681832" w:rsidP="00681832">
      <w:pPr>
        <w:widowControl/>
        <w:numPr>
          <w:ilvl w:val="0"/>
          <w:numId w:val="22"/>
        </w:numPr>
        <w:autoSpaceDE/>
        <w:autoSpaceDN/>
        <w:textAlignment w:val="baseline"/>
        <w:rPr>
          <w:bCs/>
          <w:color w:val="000000"/>
          <w:sz w:val="24"/>
          <w:szCs w:val="24"/>
        </w:rPr>
      </w:pPr>
      <w:r w:rsidRPr="00FD3705">
        <w:rPr>
          <w:bCs/>
          <w:color w:val="000000"/>
          <w:sz w:val="24"/>
          <w:szCs w:val="24"/>
        </w:rPr>
        <w:t>Invest in Utah’s meat processing and food distribution infrastructure</w:t>
      </w:r>
    </w:p>
    <w:p w:rsidR="00681832" w:rsidRPr="00FD3705" w:rsidRDefault="00681832" w:rsidP="00681832">
      <w:pPr>
        <w:widowControl/>
        <w:autoSpaceDE/>
        <w:autoSpaceDN/>
        <w:rPr>
          <w:color w:val="000000"/>
          <w:sz w:val="24"/>
          <w:szCs w:val="24"/>
        </w:rPr>
      </w:pPr>
    </w:p>
    <w:p w:rsidR="00681832" w:rsidRPr="00FD3705" w:rsidRDefault="00681832" w:rsidP="00681832">
      <w:pPr>
        <w:widowControl/>
        <w:autoSpaceDE/>
        <w:autoSpaceDN/>
        <w:rPr>
          <w:b/>
          <w:sz w:val="24"/>
          <w:szCs w:val="24"/>
        </w:rPr>
      </w:pPr>
      <w:r w:rsidRPr="00FD3705">
        <w:rPr>
          <w:b/>
          <w:color w:val="000000"/>
          <w:sz w:val="24"/>
          <w:szCs w:val="24"/>
        </w:rPr>
        <w:t>Federal level policies we support:</w:t>
      </w:r>
    </w:p>
    <w:p w:rsidR="00681832" w:rsidRPr="00FD3705" w:rsidRDefault="00681832" w:rsidP="00681832">
      <w:pPr>
        <w:widowControl/>
        <w:numPr>
          <w:ilvl w:val="0"/>
          <w:numId w:val="23"/>
        </w:numPr>
        <w:autoSpaceDE/>
        <w:autoSpaceDN/>
        <w:textAlignment w:val="baseline"/>
        <w:rPr>
          <w:bCs/>
          <w:color w:val="000000"/>
          <w:sz w:val="24"/>
          <w:szCs w:val="24"/>
        </w:rPr>
      </w:pPr>
      <w:r w:rsidRPr="00FD3705">
        <w:rPr>
          <w:bCs/>
          <w:color w:val="000000"/>
          <w:sz w:val="24"/>
          <w:szCs w:val="24"/>
        </w:rPr>
        <w:t>Allow current COVID-era SNAP exemptions to remain in place for college students</w:t>
      </w:r>
    </w:p>
    <w:p w:rsidR="00681832" w:rsidRPr="00FD3705" w:rsidRDefault="00681832" w:rsidP="00681832">
      <w:pPr>
        <w:widowControl/>
        <w:numPr>
          <w:ilvl w:val="0"/>
          <w:numId w:val="24"/>
        </w:numPr>
        <w:autoSpaceDE/>
        <w:autoSpaceDN/>
        <w:textAlignment w:val="baseline"/>
        <w:rPr>
          <w:bCs/>
          <w:color w:val="000000"/>
          <w:sz w:val="24"/>
          <w:szCs w:val="24"/>
        </w:rPr>
      </w:pPr>
      <w:r w:rsidRPr="00FD3705">
        <w:rPr>
          <w:bCs/>
          <w:color w:val="000000"/>
          <w:sz w:val="24"/>
          <w:szCs w:val="24"/>
        </w:rPr>
        <w:t>The Universal School Meals Program Act of 2021</w:t>
      </w:r>
    </w:p>
    <w:p w:rsidR="00341140" w:rsidRPr="00FD3705" w:rsidRDefault="00341140" w:rsidP="00681832">
      <w:pPr>
        <w:rPr>
          <w:sz w:val="24"/>
          <w:szCs w:val="24"/>
        </w:rPr>
      </w:pPr>
    </w:p>
    <w:p w:rsidR="00743C1E" w:rsidRPr="00FD3705" w:rsidRDefault="00743C1E" w:rsidP="00681832">
      <w:pPr>
        <w:rPr>
          <w:sz w:val="24"/>
          <w:szCs w:val="24"/>
        </w:rPr>
      </w:pPr>
    </w:p>
    <w:p w:rsidR="00864B4D" w:rsidRPr="00FD3705" w:rsidRDefault="00864B4D" w:rsidP="00681832">
      <w:pPr>
        <w:rPr>
          <w:sz w:val="24"/>
          <w:szCs w:val="24"/>
        </w:rPr>
        <w:sectPr w:rsidR="00864B4D" w:rsidRPr="00FD3705" w:rsidSect="00341140">
          <w:pgSz w:w="12240" w:h="15840"/>
          <w:pgMar w:top="1350" w:right="1360" w:bottom="280" w:left="1320" w:header="720" w:footer="720" w:gutter="0"/>
          <w:cols w:space="720"/>
        </w:sectPr>
      </w:pPr>
    </w:p>
    <w:p w:rsidR="00743C1E" w:rsidRPr="00FD3705" w:rsidRDefault="00743C1E" w:rsidP="00681832">
      <w:pPr>
        <w:rPr>
          <w:sz w:val="24"/>
          <w:szCs w:val="24"/>
        </w:rPr>
      </w:pPr>
    </w:p>
    <w:tbl>
      <w:tblPr>
        <w:tblStyle w:val="TableGrid"/>
        <w:tblpPr w:leftFromText="180" w:rightFromText="180" w:vertAnchor="text" w:horzAnchor="margin" w:tblpXSpec="center" w:tblpY="111"/>
        <w:tblW w:w="0" w:type="auto"/>
        <w:tblLook w:val="04A0" w:firstRow="1" w:lastRow="0" w:firstColumn="1" w:lastColumn="0" w:noHBand="0" w:noVBand="1"/>
      </w:tblPr>
      <w:tblGrid>
        <w:gridCol w:w="2387"/>
        <w:gridCol w:w="3998"/>
        <w:gridCol w:w="2340"/>
        <w:gridCol w:w="4230"/>
      </w:tblGrid>
      <w:tr w:rsidR="00864B4D" w:rsidRPr="00FD3705" w:rsidTr="00864B4D">
        <w:tc>
          <w:tcPr>
            <w:tcW w:w="2387" w:type="dxa"/>
          </w:tcPr>
          <w:p w:rsidR="00864B4D" w:rsidRPr="00FD3705" w:rsidRDefault="00864B4D" w:rsidP="00864B4D">
            <w:pPr>
              <w:rPr>
                <w:sz w:val="24"/>
                <w:szCs w:val="24"/>
              </w:rPr>
            </w:pPr>
            <w:r w:rsidRPr="00FD3705">
              <w:rPr>
                <w:sz w:val="24"/>
                <w:szCs w:val="24"/>
              </w:rPr>
              <w:t>Local –</w:t>
            </w:r>
          </w:p>
        </w:tc>
        <w:tc>
          <w:tcPr>
            <w:tcW w:w="3998" w:type="dxa"/>
          </w:tcPr>
          <w:p w:rsidR="00864B4D" w:rsidRPr="00FD3705" w:rsidRDefault="00864B4D" w:rsidP="00864B4D">
            <w:pPr>
              <w:rPr>
                <w:sz w:val="24"/>
                <w:szCs w:val="24"/>
              </w:rPr>
            </w:pPr>
            <w:r w:rsidRPr="00FD3705">
              <w:rPr>
                <w:sz w:val="24"/>
                <w:szCs w:val="24"/>
              </w:rPr>
              <w:t xml:space="preserve">State </w:t>
            </w:r>
          </w:p>
        </w:tc>
        <w:tc>
          <w:tcPr>
            <w:tcW w:w="2340" w:type="dxa"/>
          </w:tcPr>
          <w:p w:rsidR="00864B4D" w:rsidRPr="00FD3705" w:rsidRDefault="00864B4D" w:rsidP="00864B4D">
            <w:pPr>
              <w:rPr>
                <w:sz w:val="24"/>
                <w:szCs w:val="24"/>
              </w:rPr>
            </w:pPr>
            <w:r w:rsidRPr="00FD3705">
              <w:rPr>
                <w:sz w:val="24"/>
                <w:szCs w:val="24"/>
              </w:rPr>
              <w:t>State Administrative</w:t>
            </w:r>
          </w:p>
        </w:tc>
        <w:tc>
          <w:tcPr>
            <w:tcW w:w="4230" w:type="dxa"/>
          </w:tcPr>
          <w:p w:rsidR="00864B4D" w:rsidRPr="00FD3705" w:rsidRDefault="00864B4D" w:rsidP="00864B4D">
            <w:pPr>
              <w:rPr>
                <w:sz w:val="24"/>
                <w:szCs w:val="24"/>
              </w:rPr>
            </w:pPr>
            <w:r w:rsidRPr="00FD3705">
              <w:rPr>
                <w:sz w:val="24"/>
                <w:szCs w:val="24"/>
              </w:rPr>
              <w:t>Federal</w:t>
            </w:r>
          </w:p>
        </w:tc>
      </w:tr>
      <w:tr w:rsidR="00864B4D" w:rsidRPr="00FD3705" w:rsidTr="00864B4D">
        <w:tc>
          <w:tcPr>
            <w:tcW w:w="2387" w:type="dxa"/>
          </w:tcPr>
          <w:p w:rsidR="00864B4D" w:rsidRPr="00FD3705" w:rsidRDefault="00864B4D" w:rsidP="00864B4D">
            <w:pPr>
              <w:rPr>
                <w:sz w:val="24"/>
                <w:szCs w:val="24"/>
              </w:rPr>
            </w:pPr>
            <w:r w:rsidRPr="00FD3705">
              <w:rPr>
                <w:sz w:val="24"/>
                <w:szCs w:val="24"/>
              </w:rPr>
              <w:t>Affordable housing</w:t>
            </w:r>
          </w:p>
        </w:tc>
        <w:tc>
          <w:tcPr>
            <w:tcW w:w="3998" w:type="dxa"/>
          </w:tcPr>
          <w:p w:rsidR="00864B4D" w:rsidRPr="00FD3705" w:rsidRDefault="00864B4D" w:rsidP="00864B4D">
            <w:pPr>
              <w:rPr>
                <w:sz w:val="24"/>
                <w:szCs w:val="24"/>
              </w:rPr>
            </w:pPr>
            <w:r w:rsidRPr="00FD3705">
              <w:rPr>
                <w:sz w:val="24"/>
                <w:szCs w:val="24"/>
              </w:rPr>
              <w:t>Affordable housing</w:t>
            </w:r>
          </w:p>
        </w:tc>
        <w:tc>
          <w:tcPr>
            <w:tcW w:w="2340" w:type="dxa"/>
          </w:tcPr>
          <w:p w:rsidR="00864B4D" w:rsidRPr="00FD3705" w:rsidRDefault="00B66186" w:rsidP="00864B4D">
            <w:pPr>
              <w:rPr>
                <w:sz w:val="24"/>
                <w:szCs w:val="24"/>
              </w:rPr>
            </w:pPr>
            <w:r w:rsidRPr="00FD3705">
              <w:rPr>
                <w:sz w:val="24"/>
                <w:szCs w:val="24"/>
              </w:rPr>
              <w:t>SNAP 2 Skills</w:t>
            </w:r>
          </w:p>
        </w:tc>
        <w:tc>
          <w:tcPr>
            <w:tcW w:w="4230" w:type="dxa"/>
          </w:tcPr>
          <w:p w:rsidR="00864B4D" w:rsidRPr="00FD3705" w:rsidRDefault="00864B4D" w:rsidP="00864B4D">
            <w:pPr>
              <w:rPr>
                <w:sz w:val="24"/>
                <w:szCs w:val="24"/>
              </w:rPr>
            </w:pPr>
            <w:r w:rsidRPr="00FD3705">
              <w:rPr>
                <w:sz w:val="24"/>
                <w:szCs w:val="24"/>
              </w:rPr>
              <w:t>Affordable housing</w:t>
            </w: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Living wage</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r w:rsidRPr="00FD3705">
              <w:rPr>
                <w:sz w:val="24"/>
                <w:szCs w:val="24"/>
              </w:rPr>
              <w:t>Living wage</w:t>
            </w: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Free community and technical college</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r w:rsidRPr="00FD3705">
              <w:rPr>
                <w:sz w:val="24"/>
                <w:szCs w:val="24"/>
              </w:rPr>
              <w:t>Free community and technical college</w:t>
            </w: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 xml:space="preserve">SNAC coordination </w:t>
            </w:r>
          </w:p>
        </w:tc>
        <w:tc>
          <w:tcPr>
            <w:tcW w:w="2340" w:type="dxa"/>
          </w:tcPr>
          <w:p w:rsidR="00864B4D" w:rsidRPr="00FD3705" w:rsidRDefault="00864B4D" w:rsidP="00864B4D">
            <w:pPr>
              <w:rPr>
                <w:sz w:val="24"/>
                <w:szCs w:val="24"/>
              </w:rPr>
            </w:pPr>
          </w:p>
        </w:tc>
        <w:tc>
          <w:tcPr>
            <w:tcW w:w="4230" w:type="dxa"/>
          </w:tcPr>
          <w:p w:rsidR="0031391D" w:rsidRPr="00FD3705" w:rsidRDefault="00864B4D" w:rsidP="00864B4D">
            <w:pPr>
              <w:rPr>
                <w:spacing w:val="3"/>
                <w:sz w:val="24"/>
                <w:szCs w:val="24"/>
                <w:shd w:val="clear" w:color="auto" w:fill="FFFFFF"/>
              </w:rPr>
            </w:pPr>
            <w:r w:rsidRPr="00FD3705">
              <w:rPr>
                <w:sz w:val="24"/>
                <w:szCs w:val="24"/>
              </w:rPr>
              <w:t xml:space="preserve">College SNAP Eligibility - </w:t>
            </w:r>
            <w:r w:rsidRPr="00FD3705">
              <w:rPr>
                <w:spacing w:val="3"/>
                <w:sz w:val="24"/>
                <w:szCs w:val="24"/>
                <w:shd w:val="clear" w:color="auto" w:fill="FFFFFF"/>
              </w:rPr>
              <w:t>H.R. 1919</w:t>
            </w:r>
          </w:p>
          <w:p w:rsidR="00940562" w:rsidRPr="00FD3705" w:rsidRDefault="00940562" w:rsidP="00864B4D">
            <w:pPr>
              <w:rPr>
                <w:spacing w:val="3"/>
                <w:sz w:val="24"/>
                <w:szCs w:val="24"/>
                <w:shd w:val="clear" w:color="auto" w:fill="FFFFFF"/>
              </w:rPr>
            </w:pPr>
            <w:r w:rsidRPr="00FD3705">
              <w:rPr>
                <w:spacing w:val="3"/>
                <w:sz w:val="24"/>
                <w:szCs w:val="24"/>
                <w:shd w:val="clear" w:color="auto" w:fill="FFFFFF"/>
              </w:rPr>
              <w:t>Enhance Access to SNAP (EATS) Act of 2021 Senator Gillibrand</w:t>
            </w: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pStyle w:val="BodyText"/>
              <w:spacing w:before="2"/>
              <w:ind w:left="-74" w:firstLine="0"/>
              <w:jc w:val="both"/>
            </w:pPr>
            <w:r w:rsidRPr="00FD3705">
              <w:t xml:space="preserve">Increase funding for food pantries </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r w:rsidRPr="00FD3705">
              <w:rPr>
                <w:sz w:val="24"/>
                <w:szCs w:val="24"/>
              </w:rPr>
              <w:t>The Universal School Meals Program Act of 2021</w:t>
            </w: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Address the benefits cliff</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r w:rsidRPr="00FD3705">
              <w:rPr>
                <w:sz w:val="24"/>
                <w:szCs w:val="24"/>
              </w:rPr>
              <w:t>Address the benefits cliff</w:t>
            </w: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Incentivize (fund) people to start daycare businesses</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Increase enrollment in CHIP and Medicaid</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p>
        </w:tc>
      </w:tr>
      <w:tr w:rsidR="00864B4D" w:rsidRPr="00FD3705" w:rsidTr="00864B4D">
        <w:tc>
          <w:tcPr>
            <w:tcW w:w="2387" w:type="dxa"/>
          </w:tcPr>
          <w:p w:rsidR="00864B4D" w:rsidRPr="00FD3705" w:rsidRDefault="00864B4D" w:rsidP="00864B4D">
            <w:pPr>
              <w:rPr>
                <w:sz w:val="24"/>
                <w:szCs w:val="24"/>
              </w:rPr>
            </w:pPr>
          </w:p>
        </w:tc>
        <w:tc>
          <w:tcPr>
            <w:tcW w:w="3998" w:type="dxa"/>
          </w:tcPr>
          <w:p w:rsidR="00864B4D" w:rsidRPr="00FD3705" w:rsidRDefault="00864B4D" w:rsidP="00864B4D">
            <w:pPr>
              <w:rPr>
                <w:sz w:val="24"/>
                <w:szCs w:val="24"/>
              </w:rPr>
            </w:pPr>
            <w:r w:rsidRPr="00FD3705">
              <w:rPr>
                <w:sz w:val="24"/>
                <w:szCs w:val="24"/>
              </w:rPr>
              <w:t>Eliminate the state portion of the sales tax on food</w:t>
            </w:r>
          </w:p>
        </w:tc>
        <w:tc>
          <w:tcPr>
            <w:tcW w:w="2340" w:type="dxa"/>
          </w:tcPr>
          <w:p w:rsidR="00864B4D" w:rsidRPr="00FD3705" w:rsidRDefault="00864B4D" w:rsidP="00864B4D">
            <w:pPr>
              <w:rPr>
                <w:sz w:val="24"/>
                <w:szCs w:val="24"/>
              </w:rPr>
            </w:pPr>
          </w:p>
        </w:tc>
        <w:tc>
          <w:tcPr>
            <w:tcW w:w="4230" w:type="dxa"/>
          </w:tcPr>
          <w:p w:rsidR="00864B4D" w:rsidRPr="00FD3705" w:rsidRDefault="00864B4D"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653DAA" w:rsidP="00864B4D">
            <w:pPr>
              <w:rPr>
                <w:sz w:val="24"/>
                <w:szCs w:val="24"/>
              </w:rPr>
            </w:pPr>
            <w:r w:rsidRPr="00FD3705">
              <w:rPr>
                <w:sz w:val="24"/>
                <w:szCs w:val="24"/>
              </w:rPr>
              <w:t>Adding food security as an issue to be addressed by the Unified Economic Opportunity Commission</w:t>
            </w: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653DAA" w:rsidP="00864B4D">
            <w:pPr>
              <w:rPr>
                <w:sz w:val="24"/>
                <w:szCs w:val="24"/>
              </w:rPr>
            </w:pPr>
            <w:r w:rsidRPr="00FD3705">
              <w:rPr>
                <w:sz w:val="24"/>
                <w:szCs w:val="24"/>
              </w:rPr>
              <w:t>Increase access to broadband in rural communities</w:t>
            </w: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r w:rsidRPr="00FD3705">
              <w:rPr>
                <w:sz w:val="24"/>
                <w:szCs w:val="24"/>
              </w:rPr>
              <w:t>Increase access to broadband in rural communities</w:t>
            </w: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653DAA" w:rsidP="00864B4D">
            <w:pPr>
              <w:rPr>
                <w:sz w:val="24"/>
                <w:szCs w:val="24"/>
              </w:rPr>
            </w:pPr>
            <w:r w:rsidRPr="00FD3705">
              <w:rPr>
                <w:sz w:val="24"/>
                <w:szCs w:val="24"/>
              </w:rPr>
              <w:t>Funding for an annual food security conference</w:t>
            </w: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B66186" w:rsidP="00864B4D">
            <w:pPr>
              <w:rPr>
                <w:sz w:val="24"/>
                <w:szCs w:val="24"/>
              </w:rPr>
            </w:pPr>
            <w:r w:rsidRPr="00FD3705">
              <w:rPr>
                <w:sz w:val="24"/>
                <w:szCs w:val="24"/>
              </w:rPr>
              <w:t>Create a state SNAP program available to non-citizens immigrants</w:t>
            </w: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B66186" w:rsidP="00864B4D">
            <w:pPr>
              <w:rPr>
                <w:sz w:val="24"/>
                <w:szCs w:val="24"/>
              </w:rPr>
            </w:pPr>
            <w:r w:rsidRPr="00FD3705">
              <w:rPr>
                <w:sz w:val="24"/>
                <w:szCs w:val="24"/>
              </w:rPr>
              <w:t>Invest in Utah’s meat processing and food distribution infrastructure</w:t>
            </w: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653DAA" w:rsidP="00864B4D">
            <w:pPr>
              <w:rPr>
                <w:sz w:val="24"/>
                <w:szCs w:val="24"/>
              </w:rPr>
            </w:pP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653DAA" w:rsidP="00864B4D">
            <w:pPr>
              <w:rPr>
                <w:sz w:val="24"/>
                <w:szCs w:val="24"/>
              </w:rPr>
            </w:pP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r w:rsidR="00653DAA" w:rsidRPr="00FD3705" w:rsidTr="00864B4D">
        <w:tc>
          <w:tcPr>
            <w:tcW w:w="2387" w:type="dxa"/>
          </w:tcPr>
          <w:p w:rsidR="00653DAA" w:rsidRPr="00FD3705" w:rsidRDefault="00653DAA" w:rsidP="00864B4D">
            <w:pPr>
              <w:rPr>
                <w:sz w:val="24"/>
                <w:szCs w:val="24"/>
              </w:rPr>
            </w:pPr>
          </w:p>
        </w:tc>
        <w:tc>
          <w:tcPr>
            <w:tcW w:w="3998" w:type="dxa"/>
          </w:tcPr>
          <w:p w:rsidR="00653DAA" w:rsidRPr="00FD3705" w:rsidRDefault="00653DAA" w:rsidP="00864B4D">
            <w:pPr>
              <w:rPr>
                <w:sz w:val="24"/>
                <w:szCs w:val="24"/>
              </w:rPr>
            </w:pPr>
          </w:p>
        </w:tc>
        <w:tc>
          <w:tcPr>
            <w:tcW w:w="2340" w:type="dxa"/>
          </w:tcPr>
          <w:p w:rsidR="00653DAA" w:rsidRPr="00FD3705" w:rsidRDefault="00653DAA" w:rsidP="00864B4D">
            <w:pPr>
              <w:rPr>
                <w:sz w:val="24"/>
                <w:szCs w:val="24"/>
              </w:rPr>
            </w:pPr>
          </w:p>
        </w:tc>
        <w:tc>
          <w:tcPr>
            <w:tcW w:w="4230" w:type="dxa"/>
          </w:tcPr>
          <w:p w:rsidR="00653DAA" w:rsidRPr="00FD3705" w:rsidRDefault="00653DAA" w:rsidP="00864B4D">
            <w:pPr>
              <w:rPr>
                <w:sz w:val="24"/>
                <w:szCs w:val="24"/>
              </w:rPr>
            </w:pPr>
          </w:p>
        </w:tc>
      </w:tr>
    </w:tbl>
    <w:p w:rsidR="00743C1E" w:rsidRPr="00FD3705" w:rsidRDefault="00743C1E" w:rsidP="00681832">
      <w:pPr>
        <w:rPr>
          <w:sz w:val="24"/>
          <w:szCs w:val="24"/>
        </w:rPr>
      </w:pPr>
    </w:p>
    <w:p w:rsidR="00743C1E" w:rsidRPr="00FD3705" w:rsidRDefault="00743C1E" w:rsidP="00681832">
      <w:pPr>
        <w:rPr>
          <w:sz w:val="24"/>
          <w:szCs w:val="24"/>
        </w:rPr>
      </w:pPr>
    </w:p>
    <w:sectPr w:rsidR="00743C1E" w:rsidRPr="00FD3705" w:rsidSect="00864B4D">
      <w:pgSz w:w="15840" w:h="12240" w:orient="landscape"/>
      <w:pgMar w:top="1325" w:right="1354" w:bottom="1354" w:left="2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D22" w:rsidRDefault="00A42D22" w:rsidP="00341140">
      <w:r>
        <w:separator/>
      </w:r>
    </w:p>
  </w:endnote>
  <w:endnote w:type="continuationSeparator" w:id="0">
    <w:p w:rsidR="00A42D22" w:rsidRDefault="00A42D22" w:rsidP="0034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D22" w:rsidRDefault="00A42D22" w:rsidP="00341140">
      <w:r>
        <w:separator/>
      </w:r>
    </w:p>
  </w:footnote>
  <w:footnote w:type="continuationSeparator" w:id="0">
    <w:p w:rsidR="00A42D22" w:rsidRDefault="00A42D22" w:rsidP="0034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5067"/>
    <w:multiLevelType w:val="multilevel"/>
    <w:tmpl w:val="662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23CF"/>
    <w:multiLevelType w:val="hybridMultilevel"/>
    <w:tmpl w:val="DD64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46269"/>
    <w:multiLevelType w:val="hybridMultilevel"/>
    <w:tmpl w:val="198C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33DBC"/>
    <w:multiLevelType w:val="multilevel"/>
    <w:tmpl w:val="44805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C7EB5"/>
    <w:multiLevelType w:val="multilevel"/>
    <w:tmpl w:val="7F6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F144A"/>
    <w:multiLevelType w:val="hybridMultilevel"/>
    <w:tmpl w:val="08CE4264"/>
    <w:lvl w:ilvl="0" w:tplc="633090FC">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rPr>
    </w:lvl>
    <w:lvl w:ilvl="1" w:tplc="BAF02D92">
      <w:numFmt w:val="bullet"/>
      <w:lvlText w:val="•"/>
      <w:lvlJc w:val="left"/>
      <w:pPr>
        <w:ind w:left="1712" w:hanging="360"/>
      </w:pPr>
      <w:rPr>
        <w:rFonts w:hint="default"/>
      </w:rPr>
    </w:lvl>
    <w:lvl w:ilvl="2" w:tplc="A7ACFB1A">
      <w:numFmt w:val="bullet"/>
      <w:lvlText w:val="•"/>
      <w:lvlJc w:val="left"/>
      <w:pPr>
        <w:ind w:left="2584" w:hanging="360"/>
      </w:pPr>
      <w:rPr>
        <w:rFonts w:hint="default"/>
      </w:rPr>
    </w:lvl>
    <w:lvl w:ilvl="3" w:tplc="B2D4F1FC">
      <w:numFmt w:val="bullet"/>
      <w:lvlText w:val="•"/>
      <w:lvlJc w:val="left"/>
      <w:pPr>
        <w:ind w:left="3456" w:hanging="360"/>
      </w:pPr>
      <w:rPr>
        <w:rFonts w:hint="default"/>
      </w:rPr>
    </w:lvl>
    <w:lvl w:ilvl="4" w:tplc="D7149BFA">
      <w:numFmt w:val="bullet"/>
      <w:lvlText w:val="•"/>
      <w:lvlJc w:val="left"/>
      <w:pPr>
        <w:ind w:left="4328" w:hanging="360"/>
      </w:pPr>
      <w:rPr>
        <w:rFonts w:hint="default"/>
      </w:rPr>
    </w:lvl>
    <w:lvl w:ilvl="5" w:tplc="2EF49268">
      <w:numFmt w:val="bullet"/>
      <w:lvlText w:val="•"/>
      <w:lvlJc w:val="left"/>
      <w:pPr>
        <w:ind w:left="5200" w:hanging="360"/>
      </w:pPr>
      <w:rPr>
        <w:rFonts w:hint="default"/>
      </w:rPr>
    </w:lvl>
    <w:lvl w:ilvl="6" w:tplc="4320ACC0">
      <w:numFmt w:val="bullet"/>
      <w:lvlText w:val="•"/>
      <w:lvlJc w:val="left"/>
      <w:pPr>
        <w:ind w:left="6072" w:hanging="360"/>
      </w:pPr>
      <w:rPr>
        <w:rFonts w:hint="default"/>
      </w:rPr>
    </w:lvl>
    <w:lvl w:ilvl="7" w:tplc="E1BA216C">
      <w:numFmt w:val="bullet"/>
      <w:lvlText w:val="•"/>
      <w:lvlJc w:val="left"/>
      <w:pPr>
        <w:ind w:left="6944" w:hanging="360"/>
      </w:pPr>
      <w:rPr>
        <w:rFonts w:hint="default"/>
      </w:rPr>
    </w:lvl>
    <w:lvl w:ilvl="8" w:tplc="6E0E8D72">
      <w:numFmt w:val="bullet"/>
      <w:lvlText w:val="•"/>
      <w:lvlJc w:val="left"/>
      <w:pPr>
        <w:ind w:left="7816" w:hanging="360"/>
      </w:pPr>
      <w:rPr>
        <w:rFonts w:hint="default"/>
      </w:rPr>
    </w:lvl>
  </w:abstractNum>
  <w:abstractNum w:abstractNumId="6" w15:restartNumberingAfterBreak="0">
    <w:nsid w:val="18524420"/>
    <w:multiLevelType w:val="multilevel"/>
    <w:tmpl w:val="73422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CA7946"/>
    <w:multiLevelType w:val="multilevel"/>
    <w:tmpl w:val="AC0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84F4B"/>
    <w:multiLevelType w:val="hybridMultilevel"/>
    <w:tmpl w:val="7C2628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EC2CD3"/>
    <w:multiLevelType w:val="hybridMultilevel"/>
    <w:tmpl w:val="183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41912"/>
    <w:multiLevelType w:val="hybridMultilevel"/>
    <w:tmpl w:val="06789BAE"/>
    <w:lvl w:ilvl="0" w:tplc="01743CA2">
      <w:start w:val="1"/>
      <w:numFmt w:val="decimal"/>
      <w:lvlText w:val="%1."/>
      <w:lvlJc w:val="left"/>
      <w:pPr>
        <w:ind w:left="840" w:hanging="360"/>
      </w:pPr>
      <w:rPr>
        <w:rFonts w:hint="default"/>
        <w:w w:val="100"/>
      </w:rPr>
    </w:lvl>
    <w:lvl w:ilvl="1" w:tplc="7AF44638">
      <w:numFmt w:val="bullet"/>
      <w:lvlText w:val="•"/>
      <w:lvlJc w:val="left"/>
      <w:pPr>
        <w:ind w:left="1712" w:hanging="360"/>
      </w:pPr>
      <w:rPr>
        <w:rFonts w:hint="default"/>
      </w:rPr>
    </w:lvl>
    <w:lvl w:ilvl="2" w:tplc="5FE09294">
      <w:numFmt w:val="bullet"/>
      <w:lvlText w:val="•"/>
      <w:lvlJc w:val="left"/>
      <w:pPr>
        <w:ind w:left="2584" w:hanging="360"/>
      </w:pPr>
      <w:rPr>
        <w:rFonts w:hint="default"/>
      </w:rPr>
    </w:lvl>
    <w:lvl w:ilvl="3" w:tplc="E11C7690">
      <w:numFmt w:val="bullet"/>
      <w:lvlText w:val="•"/>
      <w:lvlJc w:val="left"/>
      <w:pPr>
        <w:ind w:left="3456" w:hanging="360"/>
      </w:pPr>
      <w:rPr>
        <w:rFonts w:hint="default"/>
      </w:rPr>
    </w:lvl>
    <w:lvl w:ilvl="4" w:tplc="CEF08AB4">
      <w:numFmt w:val="bullet"/>
      <w:lvlText w:val="•"/>
      <w:lvlJc w:val="left"/>
      <w:pPr>
        <w:ind w:left="4328" w:hanging="360"/>
      </w:pPr>
      <w:rPr>
        <w:rFonts w:hint="default"/>
      </w:rPr>
    </w:lvl>
    <w:lvl w:ilvl="5" w:tplc="AC4C63D4">
      <w:numFmt w:val="bullet"/>
      <w:lvlText w:val="•"/>
      <w:lvlJc w:val="left"/>
      <w:pPr>
        <w:ind w:left="5200" w:hanging="360"/>
      </w:pPr>
      <w:rPr>
        <w:rFonts w:hint="default"/>
      </w:rPr>
    </w:lvl>
    <w:lvl w:ilvl="6" w:tplc="343E9FEE">
      <w:numFmt w:val="bullet"/>
      <w:lvlText w:val="•"/>
      <w:lvlJc w:val="left"/>
      <w:pPr>
        <w:ind w:left="6072" w:hanging="360"/>
      </w:pPr>
      <w:rPr>
        <w:rFonts w:hint="default"/>
      </w:rPr>
    </w:lvl>
    <w:lvl w:ilvl="7" w:tplc="13226AF6">
      <w:numFmt w:val="bullet"/>
      <w:lvlText w:val="•"/>
      <w:lvlJc w:val="left"/>
      <w:pPr>
        <w:ind w:left="6944" w:hanging="360"/>
      </w:pPr>
      <w:rPr>
        <w:rFonts w:hint="default"/>
      </w:rPr>
    </w:lvl>
    <w:lvl w:ilvl="8" w:tplc="F30E0C60">
      <w:numFmt w:val="bullet"/>
      <w:lvlText w:val="•"/>
      <w:lvlJc w:val="left"/>
      <w:pPr>
        <w:ind w:left="7816" w:hanging="360"/>
      </w:pPr>
      <w:rPr>
        <w:rFonts w:hint="default"/>
      </w:rPr>
    </w:lvl>
  </w:abstractNum>
  <w:abstractNum w:abstractNumId="11" w15:restartNumberingAfterBreak="0">
    <w:nsid w:val="292F2891"/>
    <w:multiLevelType w:val="hybridMultilevel"/>
    <w:tmpl w:val="FB0A3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E7D37"/>
    <w:multiLevelType w:val="hybridMultilevel"/>
    <w:tmpl w:val="B662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D2408"/>
    <w:multiLevelType w:val="hybridMultilevel"/>
    <w:tmpl w:val="F71EBCBA"/>
    <w:lvl w:ilvl="0" w:tplc="B52CEDCE">
      <w:start w:val="1"/>
      <w:numFmt w:val="decimal"/>
      <w:lvlText w:val="%1."/>
      <w:lvlJc w:val="left"/>
      <w:pPr>
        <w:ind w:left="840" w:hanging="360"/>
      </w:pPr>
      <w:rPr>
        <w:rFonts w:hint="default"/>
        <w:w w:val="100"/>
      </w:rPr>
    </w:lvl>
    <w:lvl w:ilvl="1" w:tplc="7E089FB0">
      <w:numFmt w:val="bullet"/>
      <w:lvlText w:val="•"/>
      <w:lvlJc w:val="left"/>
      <w:pPr>
        <w:ind w:left="1712" w:hanging="360"/>
      </w:pPr>
      <w:rPr>
        <w:rFonts w:hint="default"/>
      </w:rPr>
    </w:lvl>
    <w:lvl w:ilvl="2" w:tplc="9FF29BEE">
      <w:numFmt w:val="bullet"/>
      <w:lvlText w:val="•"/>
      <w:lvlJc w:val="left"/>
      <w:pPr>
        <w:ind w:left="2584" w:hanging="360"/>
      </w:pPr>
      <w:rPr>
        <w:rFonts w:hint="default"/>
      </w:rPr>
    </w:lvl>
    <w:lvl w:ilvl="3" w:tplc="8D1625DE">
      <w:numFmt w:val="bullet"/>
      <w:lvlText w:val="•"/>
      <w:lvlJc w:val="left"/>
      <w:pPr>
        <w:ind w:left="3456" w:hanging="360"/>
      </w:pPr>
      <w:rPr>
        <w:rFonts w:hint="default"/>
      </w:rPr>
    </w:lvl>
    <w:lvl w:ilvl="4" w:tplc="34528E42">
      <w:numFmt w:val="bullet"/>
      <w:lvlText w:val="•"/>
      <w:lvlJc w:val="left"/>
      <w:pPr>
        <w:ind w:left="4328" w:hanging="360"/>
      </w:pPr>
      <w:rPr>
        <w:rFonts w:hint="default"/>
      </w:rPr>
    </w:lvl>
    <w:lvl w:ilvl="5" w:tplc="11100AC6">
      <w:numFmt w:val="bullet"/>
      <w:lvlText w:val="•"/>
      <w:lvlJc w:val="left"/>
      <w:pPr>
        <w:ind w:left="5200" w:hanging="360"/>
      </w:pPr>
      <w:rPr>
        <w:rFonts w:hint="default"/>
      </w:rPr>
    </w:lvl>
    <w:lvl w:ilvl="6" w:tplc="BD9813D2">
      <w:numFmt w:val="bullet"/>
      <w:lvlText w:val="•"/>
      <w:lvlJc w:val="left"/>
      <w:pPr>
        <w:ind w:left="6072" w:hanging="360"/>
      </w:pPr>
      <w:rPr>
        <w:rFonts w:hint="default"/>
      </w:rPr>
    </w:lvl>
    <w:lvl w:ilvl="7" w:tplc="D9BEF918">
      <w:numFmt w:val="bullet"/>
      <w:lvlText w:val="•"/>
      <w:lvlJc w:val="left"/>
      <w:pPr>
        <w:ind w:left="6944" w:hanging="360"/>
      </w:pPr>
      <w:rPr>
        <w:rFonts w:hint="default"/>
      </w:rPr>
    </w:lvl>
    <w:lvl w:ilvl="8" w:tplc="D38A0078">
      <w:numFmt w:val="bullet"/>
      <w:lvlText w:val="•"/>
      <w:lvlJc w:val="left"/>
      <w:pPr>
        <w:ind w:left="7816" w:hanging="360"/>
      </w:pPr>
      <w:rPr>
        <w:rFonts w:hint="default"/>
      </w:rPr>
    </w:lvl>
  </w:abstractNum>
  <w:abstractNum w:abstractNumId="14" w15:restartNumberingAfterBreak="0">
    <w:nsid w:val="4C8E3710"/>
    <w:multiLevelType w:val="hybridMultilevel"/>
    <w:tmpl w:val="04EC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F42E3"/>
    <w:multiLevelType w:val="hybridMultilevel"/>
    <w:tmpl w:val="5BD0A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93331"/>
    <w:multiLevelType w:val="multilevel"/>
    <w:tmpl w:val="25360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2C4C46"/>
    <w:multiLevelType w:val="hybridMultilevel"/>
    <w:tmpl w:val="198C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E6B80"/>
    <w:multiLevelType w:val="hybridMultilevel"/>
    <w:tmpl w:val="919EF5C4"/>
    <w:lvl w:ilvl="0" w:tplc="2B2A6664">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rPr>
    </w:lvl>
    <w:lvl w:ilvl="1" w:tplc="6A7CB44E">
      <w:numFmt w:val="bullet"/>
      <w:lvlText w:val="•"/>
      <w:lvlJc w:val="left"/>
      <w:pPr>
        <w:ind w:left="1712" w:hanging="360"/>
      </w:pPr>
      <w:rPr>
        <w:rFonts w:hint="default"/>
      </w:rPr>
    </w:lvl>
    <w:lvl w:ilvl="2" w:tplc="B4A49B80">
      <w:numFmt w:val="bullet"/>
      <w:lvlText w:val="•"/>
      <w:lvlJc w:val="left"/>
      <w:pPr>
        <w:ind w:left="2584" w:hanging="360"/>
      </w:pPr>
      <w:rPr>
        <w:rFonts w:hint="default"/>
      </w:rPr>
    </w:lvl>
    <w:lvl w:ilvl="3" w:tplc="F3CEEA08">
      <w:numFmt w:val="bullet"/>
      <w:lvlText w:val="•"/>
      <w:lvlJc w:val="left"/>
      <w:pPr>
        <w:ind w:left="3456" w:hanging="360"/>
      </w:pPr>
      <w:rPr>
        <w:rFonts w:hint="default"/>
      </w:rPr>
    </w:lvl>
    <w:lvl w:ilvl="4" w:tplc="F5FED40C">
      <w:numFmt w:val="bullet"/>
      <w:lvlText w:val="•"/>
      <w:lvlJc w:val="left"/>
      <w:pPr>
        <w:ind w:left="4328" w:hanging="360"/>
      </w:pPr>
      <w:rPr>
        <w:rFonts w:hint="default"/>
      </w:rPr>
    </w:lvl>
    <w:lvl w:ilvl="5" w:tplc="65BC5C24">
      <w:numFmt w:val="bullet"/>
      <w:lvlText w:val="•"/>
      <w:lvlJc w:val="left"/>
      <w:pPr>
        <w:ind w:left="5200" w:hanging="360"/>
      </w:pPr>
      <w:rPr>
        <w:rFonts w:hint="default"/>
      </w:rPr>
    </w:lvl>
    <w:lvl w:ilvl="6" w:tplc="3DECE442">
      <w:numFmt w:val="bullet"/>
      <w:lvlText w:val="•"/>
      <w:lvlJc w:val="left"/>
      <w:pPr>
        <w:ind w:left="6072" w:hanging="360"/>
      </w:pPr>
      <w:rPr>
        <w:rFonts w:hint="default"/>
      </w:rPr>
    </w:lvl>
    <w:lvl w:ilvl="7" w:tplc="6EB6BCC4">
      <w:numFmt w:val="bullet"/>
      <w:lvlText w:val="•"/>
      <w:lvlJc w:val="left"/>
      <w:pPr>
        <w:ind w:left="6944" w:hanging="360"/>
      </w:pPr>
      <w:rPr>
        <w:rFonts w:hint="default"/>
      </w:rPr>
    </w:lvl>
    <w:lvl w:ilvl="8" w:tplc="3B50C022">
      <w:numFmt w:val="bullet"/>
      <w:lvlText w:val="•"/>
      <w:lvlJc w:val="left"/>
      <w:pPr>
        <w:ind w:left="7816" w:hanging="360"/>
      </w:pPr>
      <w:rPr>
        <w:rFonts w:hint="default"/>
      </w:rPr>
    </w:lvl>
  </w:abstractNum>
  <w:abstractNum w:abstractNumId="19" w15:restartNumberingAfterBreak="0">
    <w:nsid w:val="5CBE30ED"/>
    <w:multiLevelType w:val="hybridMultilevel"/>
    <w:tmpl w:val="AA4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850F0"/>
    <w:multiLevelType w:val="hybridMultilevel"/>
    <w:tmpl w:val="A58C6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C93E22"/>
    <w:multiLevelType w:val="multilevel"/>
    <w:tmpl w:val="CD8C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D4B6E"/>
    <w:multiLevelType w:val="multilevel"/>
    <w:tmpl w:val="0534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102E5"/>
    <w:multiLevelType w:val="multilevel"/>
    <w:tmpl w:val="851A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3083E"/>
    <w:multiLevelType w:val="hybridMultilevel"/>
    <w:tmpl w:val="DDC68574"/>
    <w:lvl w:ilvl="0" w:tplc="4C42D040">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rPr>
    </w:lvl>
    <w:lvl w:ilvl="1" w:tplc="BDF62E06">
      <w:numFmt w:val="bullet"/>
      <w:lvlText w:val="•"/>
      <w:lvlJc w:val="left"/>
      <w:pPr>
        <w:ind w:left="1712" w:hanging="360"/>
      </w:pPr>
      <w:rPr>
        <w:rFonts w:hint="default"/>
      </w:rPr>
    </w:lvl>
    <w:lvl w:ilvl="2" w:tplc="042C43E6">
      <w:numFmt w:val="bullet"/>
      <w:lvlText w:val="•"/>
      <w:lvlJc w:val="left"/>
      <w:pPr>
        <w:ind w:left="2584" w:hanging="360"/>
      </w:pPr>
      <w:rPr>
        <w:rFonts w:hint="default"/>
      </w:rPr>
    </w:lvl>
    <w:lvl w:ilvl="3" w:tplc="20BC0FD8">
      <w:numFmt w:val="bullet"/>
      <w:lvlText w:val="•"/>
      <w:lvlJc w:val="left"/>
      <w:pPr>
        <w:ind w:left="3456" w:hanging="360"/>
      </w:pPr>
      <w:rPr>
        <w:rFonts w:hint="default"/>
      </w:rPr>
    </w:lvl>
    <w:lvl w:ilvl="4" w:tplc="4E626858">
      <w:numFmt w:val="bullet"/>
      <w:lvlText w:val="•"/>
      <w:lvlJc w:val="left"/>
      <w:pPr>
        <w:ind w:left="4328" w:hanging="360"/>
      </w:pPr>
      <w:rPr>
        <w:rFonts w:hint="default"/>
      </w:rPr>
    </w:lvl>
    <w:lvl w:ilvl="5" w:tplc="6C5EB822">
      <w:numFmt w:val="bullet"/>
      <w:lvlText w:val="•"/>
      <w:lvlJc w:val="left"/>
      <w:pPr>
        <w:ind w:left="5200" w:hanging="360"/>
      </w:pPr>
      <w:rPr>
        <w:rFonts w:hint="default"/>
      </w:rPr>
    </w:lvl>
    <w:lvl w:ilvl="6" w:tplc="65AAB29A">
      <w:numFmt w:val="bullet"/>
      <w:lvlText w:val="•"/>
      <w:lvlJc w:val="left"/>
      <w:pPr>
        <w:ind w:left="6072" w:hanging="360"/>
      </w:pPr>
      <w:rPr>
        <w:rFonts w:hint="default"/>
      </w:rPr>
    </w:lvl>
    <w:lvl w:ilvl="7" w:tplc="36DCE0CC">
      <w:numFmt w:val="bullet"/>
      <w:lvlText w:val="•"/>
      <w:lvlJc w:val="left"/>
      <w:pPr>
        <w:ind w:left="6944" w:hanging="360"/>
      </w:pPr>
      <w:rPr>
        <w:rFonts w:hint="default"/>
      </w:rPr>
    </w:lvl>
    <w:lvl w:ilvl="8" w:tplc="8C9820E8">
      <w:numFmt w:val="bullet"/>
      <w:lvlText w:val="•"/>
      <w:lvlJc w:val="left"/>
      <w:pPr>
        <w:ind w:left="7816" w:hanging="360"/>
      </w:pPr>
      <w:rPr>
        <w:rFonts w:hint="default"/>
      </w:rPr>
    </w:lvl>
  </w:abstractNum>
  <w:abstractNum w:abstractNumId="25" w15:restartNumberingAfterBreak="0">
    <w:nsid w:val="7C006F57"/>
    <w:multiLevelType w:val="multilevel"/>
    <w:tmpl w:val="366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143488"/>
    <w:multiLevelType w:val="multilevel"/>
    <w:tmpl w:val="06B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4"/>
  </w:num>
  <w:num w:numId="4">
    <w:abstractNumId w:val="18"/>
  </w:num>
  <w:num w:numId="5">
    <w:abstractNumId w:val="13"/>
  </w:num>
  <w:num w:numId="6">
    <w:abstractNumId w:val="3"/>
  </w:num>
  <w:num w:numId="7">
    <w:abstractNumId w:val="6"/>
  </w:num>
  <w:num w:numId="8">
    <w:abstractNumId w:val="16"/>
  </w:num>
  <w:num w:numId="9">
    <w:abstractNumId w:val="12"/>
  </w:num>
  <w:num w:numId="10">
    <w:abstractNumId w:val="19"/>
  </w:num>
  <w:num w:numId="11">
    <w:abstractNumId w:val="1"/>
  </w:num>
  <w:num w:numId="12">
    <w:abstractNumId w:val="11"/>
  </w:num>
  <w:num w:numId="13">
    <w:abstractNumId w:val="14"/>
  </w:num>
  <w:num w:numId="14">
    <w:abstractNumId w:val="20"/>
  </w:num>
  <w:num w:numId="15">
    <w:abstractNumId w:val="9"/>
  </w:num>
  <w:num w:numId="16">
    <w:abstractNumId w:val="8"/>
  </w:num>
  <w:num w:numId="17">
    <w:abstractNumId w:val="26"/>
  </w:num>
  <w:num w:numId="18">
    <w:abstractNumId w:val="21"/>
  </w:num>
  <w:num w:numId="19">
    <w:abstractNumId w:val="4"/>
  </w:num>
  <w:num w:numId="20">
    <w:abstractNumId w:val="22"/>
  </w:num>
  <w:num w:numId="21">
    <w:abstractNumId w:val="0"/>
  </w:num>
  <w:num w:numId="22">
    <w:abstractNumId w:val="23"/>
  </w:num>
  <w:num w:numId="23">
    <w:abstractNumId w:val="7"/>
  </w:num>
  <w:num w:numId="24">
    <w:abstractNumId w:val="25"/>
  </w:num>
  <w:num w:numId="25">
    <w:abstractNumId w:val="2"/>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82"/>
    <w:rsid w:val="00126107"/>
    <w:rsid w:val="00185E2A"/>
    <w:rsid w:val="001B7569"/>
    <w:rsid w:val="001D0174"/>
    <w:rsid w:val="002514C4"/>
    <w:rsid w:val="00263E82"/>
    <w:rsid w:val="002A1DA0"/>
    <w:rsid w:val="0031391D"/>
    <w:rsid w:val="00341140"/>
    <w:rsid w:val="003542F2"/>
    <w:rsid w:val="0043140F"/>
    <w:rsid w:val="004748E5"/>
    <w:rsid w:val="004B1A20"/>
    <w:rsid w:val="00576D8C"/>
    <w:rsid w:val="00653DAA"/>
    <w:rsid w:val="00681832"/>
    <w:rsid w:val="00703EF3"/>
    <w:rsid w:val="00706A55"/>
    <w:rsid w:val="007366F8"/>
    <w:rsid w:val="00743C1E"/>
    <w:rsid w:val="00864B4D"/>
    <w:rsid w:val="00897B63"/>
    <w:rsid w:val="00940562"/>
    <w:rsid w:val="00984153"/>
    <w:rsid w:val="00A0312A"/>
    <w:rsid w:val="00A42D22"/>
    <w:rsid w:val="00B3191D"/>
    <w:rsid w:val="00B35A06"/>
    <w:rsid w:val="00B66186"/>
    <w:rsid w:val="00B70E51"/>
    <w:rsid w:val="00C75963"/>
    <w:rsid w:val="00CB2E90"/>
    <w:rsid w:val="00D20CC0"/>
    <w:rsid w:val="00D372F7"/>
    <w:rsid w:val="00E63D05"/>
    <w:rsid w:val="00F54A22"/>
    <w:rsid w:val="00F902D2"/>
    <w:rsid w:val="00FD1DCF"/>
    <w:rsid w:val="00FD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512"/>
  <w15:docId w15:val="{A170D2A2-93B1-49BD-96B7-ABB9513D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rPr>
      <w:sz w:val="24"/>
      <w:szCs w:val="24"/>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341140"/>
    <w:pPr>
      <w:widowControl/>
      <w:autoSpaceDE/>
      <w:autoSpaceDN/>
    </w:pPr>
    <w:rPr>
      <w:rFonts w:ascii="Arial" w:eastAsia="Arial" w:hAnsi="Arial" w:cs="Arial"/>
      <w:sz w:val="20"/>
      <w:szCs w:val="20"/>
      <w:lang w:val="en"/>
    </w:rPr>
  </w:style>
  <w:style w:type="character" w:customStyle="1" w:styleId="EndnoteTextChar">
    <w:name w:val="Endnote Text Char"/>
    <w:basedOn w:val="DefaultParagraphFont"/>
    <w:link w:val="EndnoteText"/>
    <w:uiPriority w:val="99"/>
    <w:semiHidden/>
    <w:rsid w:val="00341140"/>
    <w:rPr>
      <w:rFonts w:ascii="Arial" w:eastAsia="Arial" w:hAnsi="Arial" w:cs="Arial"/>
      <w:sz w:val="20"/>
      <w:szCs w:val="20"/>
      <w:lang w:val="en"/>
    </w:rPr>
  </w:style>
  <w:style w:type="character" w:styleId="EndnoteReference">
    <w:name w:val="endnote reference"/>
    <w:basedOn w:val="DefaultParagraphFont"/>
    <w:uiPriority w:val="99"/>
    <w:semiHidden/>
    <w:unhideWhenUsed/>
    <w:rsid w:val="00341140"/>
    <w:rPr>
      <w:vertAlign w:val="superscript"/>
    </w:rPr>
  </w:style>
  <w:style w:type="paragraph" w:styleId="NormalWeb">
    <w:name w:val="Normal (Web)"/>
    <w:basedOn w:val="Normal"/>
    <w:uiPriority w:val="99"/>
    <w:semiHidden/>
    <w:unhideWhenUsed/>
    <w:rsid w:val="00576D8C"/>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63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05"/>
    <w:rPr>
      <w:rFonts w:ascii="Segoe UI" w:eastAsia="Times New Roman" w:hAnsi="Segoe UI" w:cs="Segoe UI"/>
      <w:sz w:val="18"/>
      <w:szCs w:val="18"/>
    </w:rPr>
  </w:style>
  <w:style w:type="table" w:styleId="TableGrid">
    <w:name w:val="Table Grid"/>
    <w:basedOn w:val="TableNormal"/>
    <w:uiPriority w:val="39"/>
    <w:rsid w:val="00B70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7492">
      <w:bodyDiv w:val="1"/>
      <w:marLeft w:val="0"/>
      <w:marRight w:val="0"/>
      <w:marTop w:val="0"/>
      <w:marBottom w:val="0"/>
      <w:divBdr>
        <w:top w:val="none" w:sz="0" w:space="0" w:color="auto"/>
        <w:left w:val="none" w:sz="0" w:space="0" w:color="auto"/>
        <w:bottom w:val="none" w:sz="0" w:space="0" w:color="auto"/>
        <w:right w:val="none" w:sz="0" w:space="0" w:color="auto"/>
      </w:divBdr>
    </w:div>
    <w:div w:id="1082143784">
      <w:bodyDiv w:val="1"/>
      <w:marLeft w:val="0"/>
      <w:marRight w:val="0"/>
      <w:marTop w:val="0"/>
      <w:marBottom w:val="0"/>
      <w:divBdr>
        <w:top w:val="none" w:sz="0" w:space="0" w:color="auto"/>
        <w:left w:val="none" w:sz="0" w:space="0" w:color="auto"/>
        <w:bottom w:val="none" w:sz="0" w:space="0" w:color="auto"/>
        <w:right w:val="none" w:sz="0" w:space="0" w:color="auto"/>
      </w:divBdr>
    </w:div>
    <w:div w:id="1385987706">
      <w:bodyDiv w:val="1"/>
      <w:marLeft w:val="0"/>
      <w:marRight w:val="0"/>
      <w:marTop w:val="0"/>
      <w:marBottom w:val="0"/>
      <w:divBdr>
        <w:top w:val="none" w:sz="0" w:space="0" w:color="auto"/>
        <w:left w:val="none" w:sz="0" w:space="0" w:color="auto"/>
        <w:bottom w:val="none" w:sz="0" w:space="0" w:color="auto"/>
        <w:right w:val="none" w:sz="0" w:space="0" w:color="auto"/>
      </w:divBdr>
    </w:div>
    <w:div w:id="161632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Cornia</dc:creator>
  <cp:keywords/>
  <dc:description/>
  <cp:lastModifiedBy>Gina Cornia</cp:lastModifiedBy>
  <cp:revision>12</cp:revision>
  <cp:lastPrinted>2021-07-28T18:49:00Z</cp:lastPrinted>
  <dcterms:created xsi:type="dcterms:W3CDTF">2021-08-17T15:08:00Z</dcterms:created>
  <dcterms:modified xsi:type="dcterms:W3CDTF">2021-08-20T19:50:00Z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Mozilla/5.0 (Macintosh; Intel Mac OS X 10_15_7) AppleWebKit/537.36 (KHTML, like Gecko) Chrome/91.0.4472.114 Safari/537.36</vt:lpwstr>
  </property>
  <property fmtid="{D5CDD505-2E9C-101B-9397-08002B2CF9AE}" pid="4" name="LastSaved">
    <vt:filetime>2021-07-28T00:00:00Z</vt:filetime>
  </property>
</Properties>
</file>