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117B1F" w14:paraId="376CBC38" w14:textId="77777777">
        <w:tc>
          <w:tcPr>
            <w:tcW w:w="10080" w:type="dxa"/>
          </w:tcPr>
          <w:p w14:paraId="22EE9F94" w14:textId="77777777" w:rsidR="00117B1F" w:rsidRDefault="007E20B7">
            <w:pPr>
              <w:spacing w:before="2" w:after="2"/>
              <w:jc w:val="center"/>
              <w:rPr>
                <w:b/>
                <w:bCs/>
                <w:sz w:val="28"/>
                <w:szCs w:val="28"/>
              </w:rPr>
            </w:pPr>
            <w:r>
              <w:rPr>
                <w:noProof/>
              </w:rPr>
              <w:drawing>
                <wp:inline distT="0" distB="0" distL="0" distR="0">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117B1F" w14:paraId="27A9A491" w14:textId="77777777">
        <w:tc>
          <w:tcPr>
            <w:tcW w:w="10080" w:type="dxa"/>
          </w:tcPr>
          <w:p w14:paraId="617D86CF" w14:textId="77777777" w:rsidR="00117B1F" w:rsidRDefault="007E20B7">
            <w:pPr>
              <w:spacing w:before="2" w:after="2"/>
              <w:jc w:val="center"/>
              <w:rPr>
                <w:rFonts w:ascii="Arial Bold" w:hAnsi="Arial Bold"/>
                <w:b/>
                <w:bCs/>
                <w:caps/>
              </w:rPr>
            </w:pPr>
            <w:bookmarkStart w:id="0" w:name="apMeetingName"/>
            <w:r>
              <w:rPr>
                <w:rFonts w:ascii="Arial Bold" w:hAnsi="Arial Bold"/>
                <w:b/>
                <w:bCs/>
                <w:caps/>
                <w:sz w:val="28"/>
                <w:szCs w:val="28"/>
              </w:rPr>
              <w:t>Architectural Review Committee</w:t>
            </w:r>
            <w:bookmarkEnd w:id="0"/>
          </w:p>
        </w:tc>
      </w:tr>
      <w:tr w:rsidR="00117B1F" w14:paraId="55E88D65" w14:textId="77777777">
        <w:tc>
          <w:tcPr>
            <w:tcW w:w="10080" w:type="dxa"/>
          </w:tcPr>
          <w:p w14:paraId="321B21B3" w14:textId="77777777" w:rsidR="00117B1F" w:rsidRDefault="007E20B7">
            <w:pPr>
              <w:spacing w:before="20" w:after="20"/>
              <w:jc w:val="center"/>
            </w:pPr>
            <w:bookmarkStart w:id="1" w:name="apMeetingDateLong"/>
            <w:r>
              <w:rPr>
                <w:rFonts w:cs="Arial"/>
              </w:rPr>
              <w:t>Thursday, July 08, 2021</w:t>
            </w:r>
            <w:bookmarkEnd w:id="1"/>
            <w:r>
              <w:rPr>
                <w:rFonts w:cs="Arial"/>
              </w:rPr>
              <w:t xml:space="preserve">, at </w:t>
            </w:r>
            <w:bookmarkStart w:id="2" w:name="apMeetingTime"/>
            <w:r>
              <w:rPr>
                <w:rFonts w:cs="Arial"/>
                <w:color w:val="000000"/>
              </w:rPr>
              <w:t>5:30 PM</w:t>
            </w:r>
            <w:bookmarkEnd w:id="2"/>
          </w:p>
        </w:tc>
      </w:tr>
      <w:tr w:rsidR="00117B1F" w14:paraId="7107A3B9" w14:textId="77777777">
        <w:tc>
          <w:tcPr>
            <w:tcW w:w="10080" w:type="dxa"/>
            <w:tcBorders>
              <w:bottom w:val="single" w:sz="18" w:space="0" w:color="0F6CA6"/>
            </w:tcBorders>
          </w:tcPr>
          <w:p w14:paraId="55852C77" w14:textId="77777777" w:rsidR="00117B1F" w:rsidRDefault="007E20B7">
            <w:pPr>
              <w:spacing w:before="2" w:after="120"/>
              <w:jc w:val="center"/>
            </w:pPr>
            <w:bookmarkStart w:id="3" w:name="apMeetingVenue"/>
            <w:r>
              <w:rPr>
                <w:rFonts w:cs="Arial"/>
                <w:color w:val="000000"/>
              </w:rPr>
              <w:t>Court Room/Council Chambers (2nd Floor) and Online</w:t>
            </w:r>
            <w:bookmarkEnd w:id="3"/>
          </w:p>
        </w:tc>
      </w:tr>
      <w:tr w:rsidR="00117B1F" w14:paraId="039F9EBA" w14:textId="77777777">
        <w:tc>
          <w:tcPr>
            <w:tcW w:w="10080" w:type="dxa"/>
            <w:tcBorders>
              <w:top w:val="single" w:sz="18" w:space="0" w:color="0F6CA6"/>
            </w:tcBorders>
          </w:tcPr>
          <w:p w14:paraId="4D20EFE2" w14:textId="77777777" w:rsidR="00117B1F" w:rsidRDefault="007E20B7">
            <w:pPr>
              <w:tabs>
                <w:tab w:val="left" w:pos="2175"/>
              </w:tabs>
              <w:spacing w:before="120" w:after="60"/>
              <w:jc w:val="center"/>
              <w:rPr>
                <w:color w:val="000000"/>
              </w:rPr>
            </w:pPr>
            <w:r>
              <w:rPr>
                <w:b/>
                <w:bCs/>
                <w:sz w:val="24"/>
                <w:szCs w:val="24"/>
              </w:rPr>
              <w:t>MEETINGS HELD IN PERSON &amp; ONLINE</w:t>
            </w:r>
          </w:p>
        </w:tc>
      </w:tr>
      <w:tr w:rsidR="00117B1F" w14:paraId="442CEFD6" w14:textId="77777777">
        <w:tc>
          <w:tcPr>
            <w:tcW w:w="10080" w:type="dxa"/>
            <w:vAlign w:val="center"/>
          </w:tcPr>
          <w:p w14:paraId="1D98EF15" w14:textId="77777777" w:rsidR="00117B1F" w:rsidRDefault="007E20B7">
            <w:r>
              <w:t>The public is invited to participate as outlined below:</w:t>
            </w:r>
          </w:p>
          <w:p w14:paraId="0F18C43C" w14:textId="77777777" w:rsidR="00117B1F" w:rsidRDefault="007E20B7">
            <w:pPr>
              <w:pStyle w:val="ListParagraph"/>
              <w:numPr>
                <w:ilvl w:val="0"/>
                <w:numId w:val="1"/>
              </w:numPr>
            </w:pPr>
            <w:r>
              <w:rPr>
                <w:b/>
                <w:bCs/>
              </w:rPr>
              <w:t xml:space="preserve">In Person – </w:t>
            </w:r>
            <w:r>
              <w:t>Meetings are held on the 2</w:t>
            </w:r>
            <w:r>
              <w:rPr>
                <w:vertAlign w:val="superscript"/>
              </w:rPr>
              <w:t>nd</w:t>
            </w:r>
            <w:r>
              <w:t xml:space="preserve"> floor in the Court Room/Council Chambers at City Hall</w:t>
            </w:r>
          </w:p>
        </w:tc>
      </w:tr>
      <w:tr w:rsidR="00117B1F" w14:paraId="5B9145E0" w14:textId="77777777">
        <w:tc>
          <w:tcPr>
            <w:tcW w:w="10080" w:type="dxa"/>
            <w:tcBorders>
              <w:bottom w:val="single" w:sz="18" w:space="0" w:color="0F6CA6"/>
            </w:tcBorders>
            <w:vAlign w:val="center"/>
          </w:tcPr>
          <w:p w14:paraId="0AF9CDDF" w14:textId="77777777" w:rsidR="00117B1F" w:rsidRDefault="007E20B7">
            <w:pPr>
              <w:pStyle w:val="ListParagraph"/>
              <w:numPr>
                <w:ilvl w:val="0"/>
                <w:numId w:val="4"/>
              </w:numPr>
              <w:spacing w:after="160" w:line="252" w:lineRule="auto"/>
            </w:pPr>
            <w:r>
              <w:rPr>
                <w:b/>
                <w:bCs/>
              </w:rPr>
              <w:t xml:space="preserve">YouTube Live – </w:t>
            </w:r>
            <w:r>
              <w:rPr>
                <w:bCs/>
              </w:rPr>
              <w:t>Public meetings will be shown live on the Santaquin City YouTube Channel, which can be fo</w:t>
            </w:r>
            <w:r>
              <w:rPr>
                <w:bCs/>
              </w:rPr>
              <w:t xml:space="preserve">und at </w:t>
            </w:r>
            <w:hyperlink r:id="rId10" w:history="1">
              <w:r>
                <w:rPr>
                  <w:rStyle w:val="Hyperlink"/>
                  <w:rFonts w:cs="Arial"/>
                  <w:color w:val="0645AD"/>
                  <w:shd w:val="clear" w:color="auto" w:fill="FFFFFF"/>
                </w:rPr>
                <w:t>https://bit.ly/2P7ICfQ</w:t>
              </w:r>
            </w:hyperlink>
          </w:p>
          <w:p w14:paraId="2C5B916B" w14:textId="77777777" w:rsidR="00117B1F" w:rsidRDefault="007E20B7">
            <w:pPr>
              <w:pStyle w:val="ListParagraph"/>
              <w:spacing w:before="60"/>
              <w:contextualSpacing w:val="0"/>
            </w:pPr>
            <w:r>
              <w:t>or by searching for Santaquin City Channel on YouTube.</w:t>
            </w:r>
          </w:p>
          <w:p w14:paraId="4FE6928F" w14:textId="77777777" w:rsidR="00117B1F" w:rsidRDefault="00117B1F">
            <w:pPr>
              <w:pStyle w:val="ListParagraph"/>
              <w:spacing w:before="60"/>
              <w:contextualSpacing w:val="0"/>
              <w:rPr>
                <w:sz w:val="4"/>
              </w:rPr>
            </w:pPr>
          </w:p>
        </w:tc>
      </w:tr>
      <w:tr w:rsidR="00117B1F" w14:paraId="7E4A21DB" w14:textId="77777777">
        <w:tc>
          <w:tcPr>
            <w:tcW w:w="10080" w:type="dxa"/>
            <w:tcBorders>
              <w:top w:val="single" w:sz="18" w:space="0" w:color="0F6CA6"/>
            </w:tcBorders>
          </w:tcPr>
          <w:p w14:paraId="6F32789D" w14:textId="77777777" w:rsidR="00117B1F" w:rsidRDefault="007E20B7">
            <w:pPr>
              <w:spacing w:before="120" w:after="60"/>
              <w:jc w:val="center"/>
              <w:rPr>
                <w:b/>
                <w:bCs/>
                <w:sz w:val="24"/>
                <w:szCs w:val="24"/>
              </w:rPr>
            </w:pPr>
            <w:r>
              <w:rPr>
                <w:b/>
                <w:bCs/>
                <w:sz w:val="24"/>
                <w:szCs w:val="24"/>
              </w:rPr>
              <w:t>ADA NOTICE</w:t>
            </w:r>
          </w:p>
        </w:tc>
      </w:tr>
      <w:tr w:rsidR="00117B1F" w14:paraId="4A4056C2" w14:textId="77777777">
        <w:trPr>
          <w:trHeight w:val="792"/>
        </w:trPr>
        <w:tc>
          <w:tcPr>
            <w:tcW w:w="10080" w:type="dxa"/>
          </w:tcPr>
          <w:p w14:paraId="7D01D474" w14:textId="77777777" w:rsidR="00117B1F" w:rsidRDefault="007E20B7">
            <w:pPr>
              <w:spacing w:before="2" w:after="120"/>
              <w:jc w:val="both"/>
            </w:pPr>
            <w:r>
              <w:t>If you are planning to attend this Public Meeting and</w:t>
            </w:r>
            <w:r>
              <w:t xml:space="preserve"> due to a disability need assistance in understanding or participating in the meeting, please notify the City Office ten or more hours in advance and we will, within reason, provide what assistance may be required.</w:t>
            </w:r>
          </w:p>
        </w:tc>
      </w:tr>
      <w:tr w:rsidR="00117B1F" w14:paraId="2868B695" w14:textId="77777777">
        <w:tc>
          <w:tcPr>
            <w:tcW w:w="10080" w:type="dxa"/>
            <w:shd w:val="clear" w:color="auto" w:fill="0F6CA6"/>
          </w:tcPr>
          <w:p w14:paraId="214D2A9E" w14:textId="77777777" w:rsidR="00117B1F" w:rsidRDefault="007E20B7">
            <w:pPr>
              <w:spacing w:before="60" w:after="60"/>
              <w:jc w:val="center"/>
              <w:rPr>
                <w:b/>
                <w:bCs/>
              </w:rPr>
            </w:pPr>
            <w:r>
              <w:rPr>
                <w:b/>
                <w:bCs/>
                <w:color w:val="FFFFFF"/>
                <w:sz w:val="28"/>
                <w:szCs w:val="28"/>
              </w:rPr>
              <w:t>AGENDA</w:t>
            </w:r>
          </w:p>
        </w:tc>
      </w:tr>
    </w:tbl>
    <w:p w14:paraId="40F649C1" w14:textId="77777777" w:rsidR="00117B1F" w:rsidRDefault="007E20B7">
      <w:pPr>
        <w:spacing w:before="120"/>
        <w:rPr>
          <w:rFonts w:eastAsia="Arial"/>
        </w:rPr>
      </w:pPr>
      <w:bookmarkStart w:id="4" w:name="apAgenda"/>
      <w:r>
        <w:rPr>
          <w:rFonts w:eastAsia="Arial"/>
          <w:b/>
          <w:bCs/>
        </w:rPr>
        <w:t>NEW BUSINESS</w:t>
      </w:r>
      <w:r>
        <w:rPr>
          <w:rFonts w:eastAsia="Arial"/>
        </w:rPr>
        <w:br/>
      </w:r>
    </w:p>
    <w:p w14:paraId="54313B09" w14:textId="77777777" w:rsidR="00117B1F" w:rsidRDefault="007E20B7">
      <w:pPr>
        <w:spacing w:before="120"/>
        <w:ind w:left="864" w:hanging="432"/>
        <w:rPr>
          <w:rFonts w:eastAsia="Arial"/>
        </w:rPr>
      </w:pPr>
      <w:bookmarkStart w:id="5" w:name="appIS95be0c351acb4886827d86e4802aa643"/>
      <w:r>
        <w:rPr>
          <w:rFonts w:eastAsia="Arial"/>
          <w:b/>
        </w:rPr>
        <w:t>1.</w:t>
      </w:r>
      <w:bookmarkEnd w:id="5"/>
      <w:r>
        <w:rPr>
          <w:rFonts w:ascii="Calibri" w:eastAsia="Calibri" w:hAnsi="Calibri" w:cs="Calibri"/>
        </w:rPr>
        <w:tab/>
      </w:r>
      <w:r>
        <w:rPr>
          <w:rFonts w:eastAsia="Arial"/>
          <w:b/>
          <w:bCs/>
        </w:rPr>
        <w:t>Commercial Building in Ridley's Development Pad Site A (Fiiz Drinks)</w:t>
      </w:r>
    </w:p>
    <w:p w14:paraId="7FB297FD" w14:textId="77777777" w:rsidR="00117B1F" w:rsidRDefault="007E20B7">
      <w:pPr>
        <w:spacing w:before="120"/>
        <w:ind w:left="864"/>
        <w:rPr>
          <w:rFonts w:eastAsia="Arial"/>
        </w:rPr>
      </w:pPr>
      <w:r>
        <w:rPr>
          <w:rFonts w:eastAsia="Arial"/>
        </w:rPr>
        <w:t>An architectural review of a commercial building which will be located at approximately 30 N. and 400 E. </w:t>
      </w:r>
    </w:p>
    <w:p w14:paraId="017DCF4F" w14:textId="77777777" w:rsidR="00117B1F" w:rsidRDefault="007E20B7">
      <w:pPr>
        <w:spacing w:before="120"/>
        <w:ind w:left="864" w:hanging="432"/>
        <w:rPr>
          <w:rFonts w:eastAsia="Arial"/>
        </w:rPr>
      </w:pPr>
      <w:bookmarkStart w:id="6" w:name="appISa88cdbe501e34c5eaa04cc3c62ed7f93"/>
      <w:r>
        <w:rPr>
          <w:rFonts w:eastAsia="Arial"/>
          <w:b/>
        </w:rPr>
        <w:t>2.</w:t>
      </w:r>
      <w:bookmarkEnd w:id="6"/>
      <w:r>
        <w:rPr>
          <w:rFonts w:ascii="Calibri" w:eastAsia="Calibri" w:hAnsi="Calibri" w:cs="Calibri"/>
        </w:rPr>
        <w:tab/>
      </w:r>
      <w:r>
        <w:rPr>
          <w:rFonts w:eastAsia="Arial"/>
          <w:b/>
          <w:bCs/>
        </w:rPr>
        <w:t>Commercial Building in Ridley's Development (Tommy's Car Wash) </w:t>
      </w:r>
    </w:p>
    <w:p w14:paraId="5286A9B1" w14:textId="77777777" w:rsidR="00117B1F" w:rsidRDefault="007E20B7">
      <w:pPr>
        <w:spacing w:before="120"/>
        <w:ind w:left="864"/>
        <w:rPr>
          <w:rFonts w:eastAsia="Arial"/>
        </w:rPr>
      </w:pPr>
      <w:r>
        <w:rPr>
          <w:rFonts w:eastAsia="Arial"/>
        </w:rPr>
        <w:t>An architectur</w:t>
      </w:r>
      <w:r>
        <w:rPr>
          <w:rFonts w:eastAsia="Arial"/>
        </w:rPr>
        <w:t>al review of a commercial building which will be located at approximately 60 N. 400 E.</w:t>
      </w:r>
    </w:p>
    <w:p w14:paraId="1328DAA6" w14:textId="4786F64E" w:rsidR="00117B1F" w:rsidRDefault="007E20B7">
      <w:pPr>
        <w:spacing w:before="120"/>
        <w:rPr>
          <w:rFonts w:eastAsia="Arial"/>
        </w:rPr>
      </w:pPr>
      <w:r>
        <w:rPr>
          <w:rFonts w:eastAsia="Arial"/>
          <w:b/>
          <w:bCs/>
        </w:rPr>
        <w:t>MEETING MINUTES APPROVAL</w:t>
      </w:r>
    </w:p>
    <w:p w14:paraId="2158CE1A" w14:textId="77777777" w:rsidR="00117B1F" w:rsidRDefault="007E20B7">
      <w:pPr>
        <w:spacing w:before="120"/>
        <w:ind w:left="864" w:hanging="432"/>
        <w:rPr>
          <w:rFonts w:eastAsia="Arial"/>
        </w:rPr>
      </w:pPr>
      <w:bookmarkStart w:id="7" w:name="appISd26936ace02d4bf2b70003cb0619a25a"/>
      <w:r w:rsidRPr="007E20B7">
        <w:rPr>
          <w:rFonts w:eastAsia="Arial"/>
          <w:b/>
          <w:bCs/>
        </w:rPr>
        <w:t>3.</w:t>
      </w:r>
      <w:bookmarkEnd w:id="7"/>
      <w:r w:rsidRPr="007E20B7">
        <w:rPr>
          <w:rFonts w:ascii="Calibri" w:eastAsia="Calibri" w:hAnsi="Calibri" w:cs="Calibri"/>
          <w:b/>
          <w:bCs/>
        </w:rPr>
        <w:tab/>
      </w:r>
      <w:r>
        <w:rPr>
          <w:rFonts w:eastAsia="Arial"/>
        </w:rPr>
        <w:t>May 24, 2021 </w:t>
      </w:r>
    </w:p>
    <w:p w14:paraId="66E76CF9" w14:textId="77777777" w:rsidR="00117B1F" w:rsidRDefault="007E20B7">
      <w:pPr>
        <w:spacing w:before="120"/>
        <w:rPr>
          <w:rFonts w:eastAsia="Arial"/>
        </w:rPr>
      </w:pPr>
      <w:r>
        <w:rPr>
          <w:rFonts w:eastAsia="Arial"/>
          <w:b/>
          <w:bCs/>
        </w:rPr>
        <w:t>ADJOURNMENT</w:t>
      </w:r>
      <w:r>
        <w:rPr>
          <w:rFonts w:eastAsia="Arial"/>
        </w:rPr>
        <w:br/>
      </w:r>
      <w:bookmarkEnd w:id="4"/>
    </w:p>
    <w:p w14:paraId="153DE4BD" w14:textId="77777777" w:rsidR="00117B1F" w:rsidRDefault="00117B1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600"/>
        <w:gridCol w:w="5855"/>
      </w:tblGrid>
      <w:tr w:rsidR="00117B1F" w14:paraId="295C1F04" w14:textId="77777777">
        <w:tc>
          <w:tcPr>
            <w:tcW w:w="10080" w:type="dxa"/>
            <w:gridSpan w:val="3"/>
            <w:shd w:val="clear" w:color="auto" w:fill="0F6CA6"/>
          </w:tcPr>
          <w:p w14:paraId="574C68C5" w14:textId="77777777" w:rsidR="00117B1F" w:rsidRDefault="007E20B7">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117B1F" w14:paraId="0D1829ED" w14:textId="77777777">
        <w:tc>
          <w:tcPr>
            <w:tcW w:w="10080" w:type="dxa"/>
            <w:gridSpan w:val="3"/>
          </w:tcPr>
          <w:p w14:paraId="4E1EA0F0" w14:textId="77777777" w:rsidR="00117B1F" w:rsidRDefault="007E20B7">
            <w:pPr>
              <w:pStyle w:val="BodyText"/>
              <w:tabs>
                <w:tab w:val="left" w:pos="1440"/>
              </w:tabs>
              <w:spacing w:before="120"/>
              <w:rPr>
                <w:rFonts w:ascii="Arial" w:hAnsi="Arial" w:cs="Arial"/>
                <w:sz w:val="22"/>
                <w:szCs w:val="22"/>
              </w:rPr>
            </w:pPr>
            <w:r>
              <w:rPr>
                <w:rFonts w:ascii="Arial" w:hAnsi="Arial" w:cs="Arial"/>
                <w:sz w:val="22"/>
                <w:szCs w:val="22"/>
              </w:rPr>
              <w:t xml:space="preserve">The undersigned duly appointed City Recorder for the municipality of Santaquin City hereby certifies that a copy of the foregoing Notice and Agenda was e-mailed to the Payson Chronicle, Payson, UT, 84651, posted on </w:t>
            </w:r>
            <w:hyperlink r:id="rId11" w:history="1">
              <w:r>
                <w:rPr>
                  <w:rStyle w:val="Hyperlink"/>
                  <w:rFonts w:ascii="Arial" w:hAnsi="Arial" w:cs="Arial"/>
                  <w:sz w:val="22"/>
                  <w:szCs w:val="22"/>
                </w:rPr>
                <w:t>www.</w:t>
              </w:r>
              <w:r>
                <w:rPr>
                  <w:rStyle w:val="Hyperlink"/>
                  <w:rFonts w:ascii="Arial" w:hAnsi="Arial" w:cs="Arial"/>
                  <w:sz w:val="22"/>
                  <w:szCs w:val="22"/>
                </w:rPr>
                <w:t>santaquin.org</w:t>
              </w:r>
            </w:hyperlink>
            <w:r>
              <w:rPr>
                <w:rFonts w:ascii="Arial" w:hAnsi="Arial" w:cs="Arial"/>
                <w:sz w:val="22"/>
                <w:szCs w:val="22"/>
              </w:rPr>
              <w:t>, as well as posted on the State of Utah’s Public Notice Website.</w:t>
            </w:r>
          </w:p>
          <w:p w14:paraId="0810F1C8" w14:textId="77777777" w:rsidR="00117B1F" w:rsidRDefault="00117B1F">
            <w:pPr>
              <w:pStyle w:val="BodyText"/>
              <w:tabs>
                <w:tab w:val="left" w:pos="1440"/>
              </w:tabs>
              <w:rPr>
                <w:rFonts w:ascii="Arial" w:hAnsi="Arial" w:cs="Arial"/>
                <w:sz w:val="22"/>
                <w:szCs w:val="22"/>
              </w:rPr>
            </w:pPr>
          </w:p>
        </w:tc>
      </w:tr>
      <w:tr w:rsidR="00117B1F" w14:paraId="33D2994B" w14:textId="77777777">
        <w:tc>
          <w:tcPr>
            <w:tcW w:w="625" w:type="dxa"/>
            <w:vAlign w:val="bottom"/>
          </w:tcPr>
          <w:p w14:paraId="730D1946" w14:textId="77777777" w:rsidR="00117B1F" w:rsidRDefault="007E20B7">
            <w:pPr>
              <w:pStyle w:val="BodyText"/>
              <w:tabs>
                <w:tab w:val="left" w:pos="1440"/>
              </w:tabs>
              <w:jc w:val="left"/>
              <w:rPr>
                <w:rFonts w:ascii="Arial" w:hAnsi="Arial" w:cs="Arial"/>
                <w:sz w:val="22"/>
                <w:szCs w:val="22"/>
              </w:rPr>
            </w:pPr>
            <w:r>
              <w:rPr>
                <w:rFonts w:ascii="Arial" w:hAnsi="Arial" w:cs="Arial"/>
                <w:sz w:val="22"/>
                <w:szCs w:val="22"/>
              </w:rPr>
              <w:t>BY:</w:t>
            </w:r>
          </w:p>
        </w:tc>
        <w:tc>
          <w:tcPr>
            <w:tcW w:w="3600" w:type="dxa"/>
            <w:tcBorders>
              <w:bottom w:val="single" w:sz="8" w:space="0" w:color="auto"/>
            </w:tcBorders>
          </w:tcPr>
          <w:p w14:paraId="588F8AC3" w14:textId="77777777" w:rsidR="00117B1F" w:rsidRDefault="007E20B7">
            <w:pPr>
              <w:pStyle w:val="BodyText"/>
              <w:tabs>
                <w:tab w:val="left" w:pos="1440"/>
              </w:tabs>
              <w:rPr>
                <w:rFonts w:ascii="Arial" w:hAnsi="Arial" w:cs="Arial"/>
                <w:sz w:val="48"/>
                <w:szCs w:val="48"/>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-1270</wp:posOffset>
                  </wp:positionH>
                  <wp:positionV relativeFrom="paragraph">
                    <wp:posOffset>-254</wp:posOffset>
                  </wp:positionV>
                  <wp:extent cx="1796415" cy="528320"/>
                  <wp:effectExtent l="0" t="0" r="0" b="5080"/>
                  <wp:wrapNone/>
                  <wp:docPr id="2" name="Picture 2" descr="Aaron Shirle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a14="http://schemas.microsoft.com/office/drawing/2010/main" val="0"/>
                              </a:ext>
                            </a:extLst>
                          </a:blip>
                          <a:srcRect t="26618" b="9107"/>
                          <a:stretch>
                            <a:fillRect/>
                          </a:stretch>
                        </pic:blipFill>
                        <pic:spPr bwMode="auto">
                          <a:xfrm>
                            <a:off x="0" y="0"/>
                            <a:ext cx="1796415" cy="528320"/>
                          </a:xfrm>
                          <a:prstGeom prst="rect">
                            <a:avLst/>
                          </a:prstGeom>
                          <a:extLst>
                            <a:ext uri="{53640926-AAD7-44D8-BBD7-CCE9431645EC}">
                              <a14:shadowObscured xmlns:a14="http://schemas.microsoft.com/office/drawing/2010/main"/>
                            </a:ext>
                          </a:extLst>
                        </pic:spPr>
                      </pic:pic>
                    </a:graphicData>
                  </a:graphic>
                </wp:anchor>
              </w:drawing>
            </w:r>
            <w:r>
              <w:rPr>
                <w:rFonts w:ascii="Arial" w:hAnsi="Arial" w:cs="Arial"/>
                <w:sz w:val="144"/>
                <w:szCs w:val="144"/>
              </w:rPr>
              <w:t xml:space="preserve"> </w:t>
            </w:r>
          </w:p>
        </w:tc>
        <w:tc>
          <w:tcPr>
            <w:tcW w:w="5855" w:type="dxa"/>
          </w:tcPr>
          <w:p w14:paraId="15CB5041" w14:textId="77777777" w:rsidR="00117B1F" w:rsidRDefault="00117B1F">
            <w:pPr>
              <w:pStyle w:val="BodyText"/>
              <w:tabs>
                <w:tab w:val="left" w:pos="1440"/>
              </w:tabs>
              <w:jc w:val="center"/>
              <w:rPr>
                <w:rFonts w:ascii="Arial" w:hAnsi="Arial" w:cs="Arial"/>
                <w:sz w:val="22"/>
                <w:szCs w:val="22"/>
              </w:rPr>
            </w:pPr>
          </w:p>
        </w:tc>
      </w:tr>
      <w:tr w:rsidR="00117B1F" w14:paraId="546FAFA9" w14:textId="77777777">
        <w:tc>
          <w:tcPr>
            <w:tcW w:w="625" w:type="dxa"/>
          </w:tcPr>
          <w:p w14:paraId="314F9742" w14:textId="77777777" w:rsidR="00117B1F" w:rsidRDefault="00117B1F">
            <w:pPr>
              <w:pStyle w:val="BodyText"/>
              <w:tabs>
                <w:tab w:val="left" w:pos="1440"/>
              </w:tabs>
              <w:jc w:val="center"/>
              <w:rPr>
                <w:rFonts w:ascii="Arial" w:hAnsi="Arial" w:cs="Arial"/>
                <w:sz w:val="22"/>
                <w:szCs w:val="22"/>
              </w:rPr>
            </w:pPr>
          </w:p>
        </w:tc>
        <w:tc>
          <w:tcPr>
            <w:tcW w:w="3600" w:type="dxa"/>
            <w:tcBorders>
              <w:top w:val="single" w:sz="8" w:space="0" w:color="auto"/>
            </w:tcBorders>
          </w:tcPr>
          <w:p w14:paraId="556A7D9E" w14:textId="77777777" w:rsidR="00117B1F" w:rsidRDefault="007E20B7">
            <w:pPr>
              <w:pStyle w:val="BodyText"/>
              <w:tabs>
                <w:tab w:val="left" w:pos="1440"/>
              </w:tabs>
              <w:jc w:val="center"/>
              <w:rPr>
                <w:rFonts w:ascii="Arial" w:hAnsi="Arial" w:cs="Arial"/>
                <w:sz w:val="22"/>
                <w:szCs w:val="22"/>
              </w:rPr>
            </w:pPr>
            <w:r>
              <w:rPr>
                <w:rFonts w:ascii="Arial" w:hAnsi="Arial" w:cs="Arial"/>
                <w:sz w:val="22"/>
                <w:szCs w:val="22"/>
              </w:rPr>
              <w:t xml:space="preserve">K. Aaron Shirley, </w:t>
            </w:r>
            <w:r>
              <w:rPr>
                <w:rFonts w:ascii="Arial" w:hAnsi="Arial" w:cs="Arial"/>
                <w:bCs/>
                <w:sz w:val="22"/>
                <w:szCs w:val="22"/>
              </w:rPr>
              <w:t>City Recorder</w:t>
            </w:r>
          </w:p>
        </w:tc>
        <w:tc>
          <w:tcPr>
            <w:tcW w:w="5855" w:type="dxa"/>
          </w:tcPr>
          <w:p w14:paraId="7161EA8A" w14:textId="77777777" w:rsidR="00117B1F" w:rsidRDefault="00117B1F">
            <w:pPr>
              <w:pStyle w:val="BodyText"/>
              <w:tabs>
                <w:tab w:val="left" w:pos="1440"/>
              </w:tabs>
              <w:jc w:val="left"/>
              <w:rPr>
                <w:rFonts w:ascii="Arial" w:hAnsi="Arial" w:cs="Arial"/>
                <w:sz w:val="22"/>
                <w:szCs w:val="22"/>
              </w:rPr>
            </w:pPr>
          </w:p>
        </w:tc>
      </w:tr>
    </w:tbl>
    <w:p w14:paraId="0A68CB05" w14:textId="77777777" w:rsidR="00117B1F" w:rsidRDefault="00117B1F"/>
    <w:sectPr w:rsidR="00117B1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315F"/>
    <w:multiLevelType w:val="multilevel"/>
    <w:tmpl w:val="7BFE4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5566C0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FFA2B0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857E9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1F"/>
    <w:rsid w:val="00117B1F"/>
    <w:rsid w:val="007E20B7"/>
    <w:rsid w:val="00DE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825D"/>
  <w15:docId w15:val="{1732F2C9-272D-4AE8-8EA2-7BBAC78B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taquin.org" TargetMode="External"/><Relationship Id="rId5" Type="http://schemas.openxmlformats.org/officeDocument/2006/relationships/numbering" Target="numbering.xml"/><Relationship Id="rId10" Type="http://schemas.openxmlformats.org/officeDocument/2006/relationships/hyperlink" Target="https://bit.ly/2P7ICfQ"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1414</Characters>
  <Application>Microsoft Office Word</Application>
  <DocSecurity>0</DocSecurity>
  <Lines>11</Lines>
  <Paragraphs>3</Paragraphs>
  <ScaleCrop>false</ScaleCrop>
  <Company>Municipal Code Corporation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Kira Petersen</cp:lastModifiedBy>
  <cp:revision>3</cp:revision>
  <dcterms:created xsi:type="dcterms:W3CDTF">2021-07-07T20:28:00Z</dcterms:created>
  <dcterms:modified xsi:type="dcterms:W3CDTF">2021-07-07T20:30:00Z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