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</w:rPr>
        <w:drawing>
          <wp:inline distB="114300" distT="114300" distL="114300" distR="114300">
            <wp:extent cx="1171575" cy="11715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June 3, 2021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MEMO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To:</w:t>
        <w:tab/>
        <w:t xml:space="preserve">Budget/Finance/Audit Committee Members:</w:t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ab/>
        <w:tab/>
        <w:t xml:space="preserve">Treasurer/Chair: Mayor Jeff Silvestrini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ab/>
        <w:tab/>
        <w:t xml:space="preserve">Mayor Harris Sondak</w:t>
      </w:r>
    </w:p>
    <w:p w:rsidR="00000000" w:rsidDel="00000000" w:rsidP="00000000" w:rsidRDefault="00000000" w:rsidRPr="00000000" w14:paraId="00000007">
      <w:pPr>
        <w:ind w:left="720" w:firstLine="72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Councilman Jim Bradley</w:t>
      </w:r>
    </w:p>
    <w:p w:rsidR="00000000" w:rsidDel="00000000" w:rsidP="00000000" w:rsidRDefault="00000000" w:rsidRPr="00000000" w14:paraId="00000008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Cc:</w:t>
        <w:tab/>
        <w:t xml:space="preserve">CWC Chair: Chris Robinson</w:t>
        <w:tab/>
        <w:tab/>
        <w:tab/>
        <w:t xml:space="preserve">Ralph Becker, Executive Director</w:t>
      </w:r>
    </w:p>
    <w:p w:rsidR="00000000" w:rsidDel="00000000" w:rsidP="00000000" w:rsidRDefault="00000000" w:rsidRPr="00000000" w14:paraId="00000009">
      <w:pPr>
        <w:ind w:left="0" w:firstLine="72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Laura Briefer: Salt Lake City</w:t>
        <w:tab/>
        <w:tab/>
        <w:tab/>
        <w:t xml:space="preserve">Blake Perez</w:t>
      </w:r>
    </w:p>
    <w:p w:rsidR="00000000" w:rsidDel="00000000" w:rsidP="00000000" w:rsidRDefault="00000000" w:rsidRPr="00000000" w14:paraId="0000000A">
      <w:pPr>
        <w:ind w:left="72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Catherine Kanter: Salt Lake County </w:t>
        <w:tab/>
        <w:tab/>
        <w:t xml:space="preserve">Lindsey Nielsen</w:t>
      </w:r>
    </w:p>
    <w:p w:rsidR="00000000" w:rsidDel="00000000" w:rsidP="00000000" w:rsidRDefault="00000000" w:rsidRPr="00000000" w14:paraId="0000000B">
      <w:pPr>
        <w:ind w:left="72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Robert Sampson: Salt Lake County </w:t>
        <w:tab/>
        <w:tab/>
        <w:t xml:space="preserve">From: Kaye Mickelson </w:t>
      </w:r>
    </w:p>
    <w:p w:rsidR="00000000" w:rsidDel="00000000" w:rsidP="00000000" w:rsidRDefault="00000000" w:rsidRPr="00000000" w14:paraId="0000000C">
      <w:pPr>
        <w:ind w:left="72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Reference:</w:t>
        <w:tab/>
        <w:t xml:space="preserve">May  2021 Financial Report --  7 Documents attached to email</w:t>
      </w:r>
    </w:p>
    <w:p w:rsidR="00000000" w:rsidDel="00000000" w:rsidP="00000000" w:rsidRDefault="00000000" w:rsidRPr="00000000" w14:paraId="0000000E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NOTE: The attached Profit &amp; Loss Budget vs Actual: July 1, 2020 - May 7, 2021 reflects the line item budget changes to build Account 51-4321 Short Term Projects to $67.500 as discussed at the Budget Finance Audit Committee on 4.13.2021, Executive Committee on 4.19.2021 and CWC Board Meeting on 5.3.2021. </w:t>
      </w:r>
    </w:p>
    <w:p w:rsidR="00000000" w:rsidDel="00000000" w:rsidP="00000000" w:rsidRDefault="00000000" w:rsidRPr="00000000" w14:paraId="0000000F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May 2021   </w:t>
      </w:r>
    </w:p>
    <w:p w:rsidR="00000000" w:rsidDel="00000000" w:rsidP="00000000" w:rsidRDefault="00000000" w:rsidRPr="00000000" w14:paraId="00000010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Income: </w:t>
      </w:r>
    </w:p>
    <w:p w:rsidR="00000000" w:rsidDel="00000000" w:rsidP="00000000" w:rsidRDefault="00000000" w:rsidRPr="00000000" w14:paraId="00000011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1.</w:t>
        <w:tab/>
        <w:t xml:space="preserve">All member contributions as billed have been received for this fiscal year 2020-2021.  </w:t>
      </w:r>
    </w:p>
    <w:p w:rsidR="00000000" w:rsidDel="00000000" w:rsidP="00000000" w:rsidRDefault="00000000" w:rsidRPr="00000000" w14:paraId="00000012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2.</w:t>
        <w:tab/>
        <w:t xml:space="preserve">Interest income continues below budgeted projection - current rate is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 0.4029  - $387.10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for the month of May.  We continue to project low interest income for the next fiscal year. </w:t>
      </w:r>
    </w:p>
    <w:p w:rsidR="00000000" w:rsidDel="00000000" w:rsidP="00000000" w:rsidRDefault="00000000" w:rsidRPr="00000000" w14:paraId="00000013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3.</w:t>
        <w:tab/>
        <w:t xml:space="preserve">Public Trust Investment Fund balance as of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 5.31.2021 is $1,079,206.80</w:t>
      </w:r>
    </w:p>
    <w:p w:rsidR="00000000" w:rsidDel="00000000" w:rsidP="00000000" w:rsidRDefault="00000000" w:rsidRPr="00000000" w14:paraId="00000014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Expenses:</w:t>
      </w:r>
    </w:p>
    <w:p w:rsidR="00000000" w:rsidDel="00000000" w:rsidP="00000000" w:rsidRDefault="00000000" w:rsidRPr="00000000" w14:paraId="00000016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1.</w:t>
        <w:tab/>
        <w:t xml:space="preserve">Five  items continue to be over budget: </w:t>
      </w:r>
    </w:p>
    <w:p w:rsidR="00000000" w:rsidDel="00000000" w:rsidP="00000000" w:rsidRDefault="00000000" w:rsidRPr="00000000" w14:paraId="00000017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Accounting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(auditor plus accountants work on behalf of auditor), these are separate line items in 2021-2022 fiscal year budget. </w:t>
      </w:r>
    </w:p>
    <w:p w:rsidR="00000000" w:rsidDel="00000000" w:rsidP="00000000" w:rsidRDefault="00000000" w:rsidRPr="00000000" w14:paraId="00000018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Transcriber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(reflects the increased number of board education sessions and committees), increased in new fiscal year budget.</w:t>
      </w:r>
    </w:p>
    <w:p w:rsidR="00000000" w:rsidDel="00000000" w:rsidP="00000000" w:rsidRDefault="00000000" w:rsidRPr="00000000" w14:paraId="00000019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Software.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(These items will be adjusted as the 2021-2022 fiscal year budget is being created)</w:t>
      </w:r>
    </w:p>
    <w:p w:rsidR="00000000" w:rsidDel="00000000" w:rsidP="00000000" w:rsidRDefault="00000000" w:rsidRPr="00000000" w14:paraId="0000001A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Insurance: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Utah Local Government Trust billing cycle adjustment.</w:t>
      </w:r>
    </w:p>
    <w:p w:rsidR="00000000" w:rsidDel="00000000" w:rsidP="00000000" w:rsidRDefault="00000000" w:rsidRPr="00000000" w14:paraId="0000001B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Bank Charges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currently working this issue with Zions Rep/making adjustments. </w:t>
      </w:r>
    </w:p>
    <w:p w:rsidR="00000000" w:rsidDel="00000000" w:rsidP="00000000" w:rsidRDefault="00000000" w:rsidRPr="00000000" w14:paraId="0000001C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Projects: </w:t>
      </w:r>
    </w:p>
    <w:p w:rsidR="00000000" w:rsidDel="00000000" w:rsidP="00000000" w:rsidRDefault="00000000" w:rsidRPr="00000000" w14:paraId="0000001E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1.</w:t>
        <w:tab/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Visitor Use Study 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no funds have been expended from this account- with the appropriation these funds are being returned to reserve in the 2021-2022 tentative budget which was approved 5.3.2021: as noted before we will receive 75% of the state appropriation - ($95,000), in July 2021. Staff is in communication with our GOED liaison and has established metrics for this project as requested.  </w:t>
      </w:r>
    </w:p>
    <w:p w:rsidR="00000000" w:rsidDel="00000000" w:rsidP="00000000" w:rsidRDefault="00000000" w:rsidRPr="00000000" w14:paraId="0000001F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2.</w:t>
        <w:tab/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Environmental Dashboard: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 we have one more payment of $27,500 in this fiscal year. On the agenda for 6.7.2020 is Resolution increasing U of U scope of work and time frame based upon ESRI changes. </w:t>
      </w:r>
    </w:p>
    <w:p w:rsidR="00000000" w:rsidDel="00000000" w:rsidP="00000000" w:rsidRDefault="00000000" w:rsidRPr="00000000" w14:paraId="00000020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3.</w:t>
        <w:tab/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Short Term Projects: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$67,500 for short term projects will be paid out by 6.30.2021. </w:t>
      </w:r>
    </w:p>
    <w:p w:rsidR="00000000" w:rsidDel="00000000" w:rsidP="00000000" w:rsidRDefault="00000000" w:rsidRPr="00000000" w14:paraId="00000021">
      <w:pPr>
        <w:ind w:left="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