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</w:rPr>
        <w:drawing>
          <wp:inline distB="114300" distT="114300" distL="114300" distR="114300">
            <wp:extent cx="1171575" cy="11715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Georgia" w:cs="Georgia" w:eastAsia="Georgia" w:hAnsi="Georgia"/>
          <w:b w:val="1"/>
          <w:sz w:val="16"/>
          <w:szCs w:val="16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January 6, 2021</w:t>
      </w:r>
      <w:r w:rsidDel="00000000" w:rsidR="00000000" w:rsidRPr="00000000">
        <w:rPr>
          <w:rFonts w:ascii="Georgia" w:cs="Georgia" w:eastAsia="Georgia" w:hAnsi="Georgia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MEMO </w:t>
      </w:r>
    </w:p>
    <w:p w:rsidR="00000000" w:rsidDel="00000000" w:rsidP="00000000" w:rsidRDefault="00000000" w:rsidRPr="00000000" w14:paraId="00000005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To:</w:t>
        <w:tab/>
        <w:t xml:space="preserve">Budget/Finance/Audit Committee Members:</w:t>
      </w:r>
    </w:p>
    <w:p w:rsidR="00000000" w:rsidDel="00000000" w:rsidP="00000000" w:rsidRDefault="00000000" w:rsidRPr="00000000" w14:paraId="00000006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 xml:space="preserve">Chair: Mayor Jeff Silvestrini</w:t>
      </w:r>
    </w:p>
    <w:p w:rsidR="00000000" w:rsidDel="00000000" w:rsidP="00000000" w:rsidRDefault="00000000" w:rsidRPr="00000000" w14:paraId="00000007">
      <w:pPr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ab/>
        <w:tab/>
        <w:t xml:space="preserve">Mayor Harris Sondak</w:t>
      </w:r>
    </w:p>
    <w:p w:rsidR="00000000" w:rsidDel="00000000" w:rsidP="00000000" w:rsidRDefault="00000000" w:rsidRPr="00000000" w14:paraId="00000008">
      <w:pPr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Councilman Jim Bradley</w:t>
      </w:r>
    </w:p>
    <w:p w:rsidR="00000000" w:rsidDel="00000000" w:rsidP="00000000" w:rsidRDefault="00000000" w:rsidRPr="00000000" w14:paraId="00000009">
      <w:pPr>
        <w:ind w:left="72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Cc:</w:t>
        <w:tab/>
        <w:t xml:space="preserve">CWC Chair: Chris Robinson</w:t>
        <w:tab/>
        <w:tab/>
        <w:tab/>
        <w:t xml:space="preserve">Ralph Becker, Executive Director</w:t>
      </w:r>
    </w:p>
    <w:p w:rsidR="00000000" w:rsidDel="00000000" w:rsidP="00000000" w:rsidRDefault="00000000" w:rsidRPr="00000000" w14:paraId="0000000B">
      <w:pPr>
        <w:ind w:left="0" w:firstLine="72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Laura Briefer: Salt Lake City</w:t>
        <w:tab/>
        <w:tab/>
        <w:tab/>
        <w:t xml:space="preserve">Blake Perez</w:t>
      </w:r>
    </w:p>
    <w:p w:rsidR="00000000" w:rsidDel="00000000" w:rsidP="00000000" w:rsidRDefault="00000000" w:rsidRPr="00000000" w14:paraId="0000000C">
      <w:pPr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Catherine Kanter: Salt Lake County </w:t>
        <w:tab/>
        <w:tab/>
        <w:t xml:space="preserve">Lindsey Nielsen</w:t>
      </w:r>
    </w:p>
    <w:p w:rsidR="00000000" w:rsidDel="00000000" w:rsidP="00000000" w:rsidRDefault="00000000" w:rsidRPr="00000000" w14:paraId="0000000D">
      <w:pPr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Robert Sampson: Salt Lake County </w:t>
        <w:tab/>
        <w:tab/>
        <w:t xml:space="preserve">From: Kaye Mickelson </w:t>
      </w:r>
    </w:p>
    <w:p w:rsidR="00000000" w:rsidDel="00000000" w:rsidP="00000000" w:rsidRDefault="00000000" w:rsidRPr="00000000" w14:paraId="0000000E">
      <w:pPr>
        <w:ind w:left="72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Reference:</w:t>
        <w:tab/>
        <w:t xml:space="preserve">December  2020 Financials: end of second quarter 2020-2021 Fiscal Year</w:t>
      </w:r>
    </w:p>
    <w:p w:rsidR="00000000" w:rsidDel="00000000" w:rsidP="00000000" w:rsidRDefault="00000000" w:rsidRPr="00000000" w14:paraId="00000010">
      <w:pPr>
        <w:ind w:left="720" w:firstLine="72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6 Documents attached to email</w:t>
      </w:r>
    </w:p>
    <w:p w:rsidR="00000000" w:rsidDel="00000000" w:rsidP="00000000" w:rsidRDefault="00000000" w:rsidRPr="00000000" w14:paraId="00000011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December: </w:t>
      </w:r>
    </w:p>
    <w:p w:rsidR="00000000" w:rsidDel="00000000" w:rsidP="00000000" w:rsidRDefault="00000000" w:rsidRPr="00000000" w14:paraId="00000013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4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Income: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1.</w:t>
        <w:tab/>
        <w:t xml:space="preserve"> Interest income continues below budgeted projects: current rate is 0.4828%. Current balance in the Utah Public Treasurers’ Investment Fund is (12.31.2020) $1,378,911.43.</w:t>
      </w:r>
    </w:p>
    <w:p w:rsidR="00000000" w:rsidDel="00000000" w:rsidP="00000000" w:rsidRDefault="00000000" w:rsidRPr="00000000" w14:paraId="00000016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2.</w:t>
        <w:tab/>
        <w:t xml:space="preserve">Sandy City member contribution continues in process.</w:t>
      </w:r>
    </w:p>
    <w:p w:rsidR="00000000" w:rsidDel="00000000" w:rsidP="00000000" w:rsidRDefault="00000000" w:rsidRPr="00000000" w14:paraId="00000017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8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Expenses:</w:t>
      </w:r>
    </w:p>
    <w:p w:rsidR="00000000" w:rsidDel="00000000" w:rsidP="00000000" w:rsidRDefault="00000000" w:rsidRPr="00000000" w14:paraId="00000019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Staff continue to monitor expenses closely: there are a couple of accounts which we will review and adjust within current budget expense total:</w:t>
      </w:r>
    </w:p>
    <w:p w:rsidR="00000000" w:rsidDel="00000000" w:rsidP="00000000" w:rsidRDefault="00000000" w:rsidRPr="00000000" w14:paraId="0000001A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Transcriber (51-4314)  expenses over budget due to increased meetings/etc. - </w:t>
      </w:r>
    </w:p>
    <w:p w:rsidR="00000000" w:rsidDel="00000000" w:rsidP="00000000" w:rsidRDefault="00000000" w:rsidRPr="00000000" w14:paraId="0000001B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Accounting (51-4312)  expenses over budget due to accountant use during audit financial tasks which auditor can no longer complete.  </w:t>
      </w:r>
    </w:p>
    <w:p w:rsidR="00000000" w:rsidDel="00000000" w:rsidP="00000000" w:rsidRDefault="00000000" w:rsidRPr="00000000" w14:paraId="0000001C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sz w:val="20"/>
          <w:szCs w:val="20"/>
          <w:rtl w:val="0"/>
        </w:rPr>
        <w:t xml:space="preserve">Other: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Staff continues to review federal, state, private grants availability; currently major funding sources are primarily supporting coronavirus related needs.  </w:t>
      </w:r>
    </w:p>
    <w:p w:rsidR="00000000" w:rsidDel="00000000" w:rsidP="00000000" w:rsidRDefault="00000000" w:rsidRPr="00000000" w14:paraId="0000001F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rFonts w:ascii="Georgia" w:cs="Georgia" w:eastAsia="Georgia" w:hAnsi="Georg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