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color w:val="000000"/>
        </w:rPr>
      </w:pPr>
      <w:r>
        <w:rPr/>
        <w:t xml:space="preserve"> </w:t>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jc w:val="both"/>
        <w:rPr>
          <w:color w:val="000000"/>
          <w:szCs w:val="20"/>
        </w:rPr>
      </w:pPr>
      <w:r>
        <w:rPr>
          <w:color w:val="000000"/>
          <w:szCs w:val="20"/>
        </w:rPr>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jc w:val="both"/>
        <w:rPr>
          <w:color w:val="000000"/>
          <w:szCs w:val="20"/>
        </w:rPr>
      </w:pPr>
      <w:r>
        <w:rPr>
          <w:color w:val="000000"/>
          <w:szCs w:val="20"/>
        </w:rPr>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jc w:val="center"/>
        <w:rPr>
          <w:b/>
          <w:b/>
          <w:bCs/>
          <w:color w:val="000000"/>
          <w:szCs w:val="20"/>
        </w:rPr>
      </w:pPr>
      <w:r>
        <w:rPr>
          <w:b/>
          <w:bCs/>
          <w:color w:val="000000"/>
          <w:szCs w:val="20"/>
          <w:u w:val="single"/>
        </w:rPr>
        <w:t>COMMUNITY DEVELOPMENT BLOCK GRANT PUBLIC HEARING</w:t>
      </w:r>
      <w:r>
        <w:rPr>
          <w:b/>
          <w:bCs/>
          <w:color w:val="000000"/>
          <w:szCs w:val="20"/>
        </w:rPr>
        <w:t>:</w:t>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jc w:val="both"/>
        <w:rPr>
          <w:color w:val="000000"/>
          <w:szCs w:val="20"/>
        </w:rPr>
      </w:pPr>
      <w:r>
        <w:rPr>
          <w:b/>
          <w:bCs/>
          <w:color w:val="000000"/>
          <w:szCs w:val="20"/>
        </w:rPr>
        <w:t xml:space="preserve"> </w:t>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ind w:firstLine="720"/>
        <w:jc w:val="both"/>
        <w:rPr>
          <w:color w:val="000000"/>
          <w:szCs w:val="20"/>
        </w:rPr>
      </w:pPr>
      <w:r>
        <w:rPr>
          <w:color w:val="000000"/>
          <w:szCs w:val="20"/>
        </w:rPr>
        <w:t>This hearing is being called to consider potential projects for which funding may be applied under the 2021 Community Development Block Grant Program.  The grant money must be spent on projects benefiting primarily low and moderate-income persons.  Mountainlands Association of Governments</w:t>
      </w:r>
      <w:r>
        <w:rPr>
          <w:color w:val="000000"/>
          <w:szCs w:val="20"/>
          <w:u w:val="single"/>
        </w:rPr>
        <w:t>,</w:t>
      </w:r>
      <w:r>
        <w:rPr>
          <w:color w:val="000000"/>
          <w:szCs w:val="20"/>
        </w:rPr>
        <w:t xml:space="preserve"> in which Wallsburg is a member, is expecting to receive approximately $500,000 in this new program year.  All eligible activities that can be accomplished under this program are identified in the CDBG Application Policies and Procedures Manual and interested persons can review it at any time.  Several of the eligible activities listed including examples, such as Construction of public works and facilities, ie: water and sewer lines, fire stations, acquisition of real property, provision of public services such as food banks or homeless shelters.  Also eligible are loan programs for private businesses which would then hire low income persons and the program can also pay for housing rehabilitation or down payment assistance for low income homeowners.  In the past Wallsburg has received 12</w:t>
      </w:r>
      <w:bookmarkStart w:id="0" w:name="_GoBack"/>
      <w:bookmarkEnd w:id="0"/>
      <w:r>
        <w:rPr>
          <w:color w:val="000000"/>
          <w:szCs w:val="20"/>
        </w:rPr>
        <w:t xml:space="preserve"> grants to upgrade the water system.  The city as part of the regional “</w:t>
      </w:r>
      <w:r>
        <w:rPr>
          <w:bCs/>
          <w:color w:val="000000"/>
          <w:szCs w:val="20"/>
        </w:rPr>
        <w:t>Consolidated Plan” identified projects as being needed in the community.</w:t>
      </w:r>
      <w:r>
        <w:rPr>
          <w:color w:val="000000"/>
          <w:szCs w:val="20"/>
        </w:rPr>
        <w:t xml:space="preserve">  </w:t>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ind w:firstLine="720"/>
        <w:jc w:val="both"/>
        <w:rPr>
          <w:color w:val="000000"/>
          <w:szCs w:val="20"/>
        </w:rPr>
      </w:pPr>
      <w:r>
        <w:rPr>
          <w:color w:val="000000"/>
          <w:szCs w:val="20"/>
        </w:rPr>
      </w:r>
    </w:p>
    <w:p>
      <w:pPr>
        <w:pStyle w:val="Normal"/>
        <w:tabs>
          <w:tab w:val="left" w:pos="-1440" w:leader="none"/>
          <w:tab w:val="left" w:pos="-720" w:leader="none"/>
          <w:tab w:val="left" w:pos="0" w:leader="none"/>
          <w:tab w:val="left" w:pos="720" w:leader="none"/>
          <w:tab w:val="left" w:pos="1441" w:leader="none"/>
          <w:tab w:val="left" w:pos="2162" w:leader="none"/>
          <w:tab w:val="left" w:pos="2883" w:leader="none"/>
          <w:tab w:val="left" w:pos="3604" w:leader="none"/>
          <w:tab w:val="left" w:pos="4326" w:leader="none"/>
          <w:tab w:val="left" w:pos="5047" w:leader="none"/>
          <w:tab w:val="left" w:pos="5768" w:leader="none"/>
          <w:tab w:val="left" w:pos="6489" w:leader="none"/>
          <w:tab w:val="left" w:pos="7210" w:leader="none"/>
          <w:tab w:val="left" w:pos="7932" w:leader="none"/>
          <w:tab w:val="left" w:pos="8653" w:leader="none"/>
        </w:tabs>
        <w:ind w:firstLine="720"/>
        <w:jc w:val="both"/>
        <w:rPr/>
      </w:pPr>
      <w:r>
        <w:rPr>
          <w:color w:val="000000"/>
          <w:szCs w:val="20"/>
        </w:rPr>
        <w:t>Open Public Hearing</w:t>
      </w:r>
    </w:p>
    <w:p>
      <w:pPr>
        <w:pStyle w:val="Normal"/>
        <w:rPr/>
      </w:pPr>
      <w:r>
        <w:rPr/>
      </w:r>
    </w:p>
    <w:sectPr>
      <w:type w:val="nextPage"/>
      <w:pgSz w:w="12240" w:h="15840"/>
      <w:pgMar w:left="1440" w:right="1440"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en-US" w:eastAsia="en-US" w:bidi="ar-SA"/>
    </w:rPr>
  </w:style>
  <w:style w:type="paragraph" w:styleId="Heading2">
    <w:name w:val="Heading 2"/>
    <w:basedOn w:val="Normal"/>
    <w:next w:val="Normal"/>
    <w:qFormat/>
    <w:pPr>
      <w:keepNext w:val="true"/>
      <w:jc w:val="center"/>
      <w:outlineLvl w:val="1"/>
    </w:pPr>
    <w:rPr>
      <w:b/>
      <w:bCs/>
      <w:szCs w:val="20"/>
    </w:rPr>
  </w:style>
  <w:style w:type="character" w:styleId="DefaultParagraphFont" w:default="1">
    <w:name w:val="Default Paragraph Font"/>
    <w:uiPriority w:val="1"/>
    <w:semiHidden/>
    <w:unhideWhenUsed/>
    <w:qFormat/>
    <w:rPr/>
  </w:style>
  <w:style w:type="character" w:styleId="Footnotereference">
    <w:name w:val="footnote reference"/>
    <w:semiHidden/>
    <w:qFormat/>
    <w:rPr/>
  </w:style>
  <w:style w:type="character" w:styleId="FootnoteTextChar" w:customStyle="1">
    <w:name w:val="Footnote Text Char"/>
    <w:basedOn w:val="DefaultParagraphFont"/>
    <w:link w:val="FootnoteText"/>
    <w:qFormat/>
    <w:rsid w:val="00990e4c"/>
    <w:rPr/>
  </w:style>
  <w:style w:type="character" w:styleId="BalloonTextChar" w:customStyle="1">
    <w:name w:val="Balloon Text Char"/>
    <w:basedOn w:val="DefaultParagraphFont"/>
    <w:link w:val="BalloonText"/>
    <w:semiHidden/>
    <w:qFormat/>
    <w:rsid w:val="007a572d"/>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qFormat/>
    <w:pPr>
      <w:jc w:val="center"/>
    </w:pPr>
    <w:rPr>
      <w:b/>
      <w:bCs/>
      <w:szCs w:val="20"/>
    </w:rPr>
  </w:style>
  <w:style w:type="paragraph" w:styleId="Footnotetext">
    <w:name w:val="footnote text"/>
    <w:basedOn w:val="Normal"/>
    <w:link w:val="FootnoteTextChar"/>
    <w:qFormat/>
    <w:rsid w:val="00990e4c"/>
    <w:pPr/>
    <w:rPr>
      <w:sz w:val="20"/>
      <w:szCs w:val="20"/>
    </w:rPr>
  </w:style>
  <w:style w:type="paragraph" w:styleId="BalloonText">
    <w:name w:val="Balloon Text"/>
    <w:basedOn w:val="Normal"/>
    <w:link w:val="BalloonTextChar"/>
    <w:semiHidden/>
    <w:unhideWhenUsed/>
    <w:qFormat/>
    <w:rsid w:val="007a572d"/>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2C016-1C4D-4126-B219-8F9E9B934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LibreOffice/5.4.4.2$Windows_X86_64 LibreOffice_project/2524958677847fb3bb44820e40380acbe820f960</Application>
  <Pages>1</Pages>
  <Words>196</Words>
  <Characters>1100</Characters>
  <CharactersWithSpaces>1304</CharactersWithSpaces>
  <Paragraphs>5</Paragraphs>
  <Company>State of Utah-DCED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2020-12-03T22:26:00Z</dcterms:created>
  <dc:creator>gmatekel</dc:creator>
  <dc:description/>
  <dc:language>en-US</dc:language>
  <cp:lastModifiedBy>Scott Kettle</cp:lastModifiedBy>
  <cp:lastPrinted>2016-12-02T00:37:00Z</cp:lastPrinted>
  <dcterms:modified xsi:type="dcterms:W3CDTF">2020-12-03T22:27:00Z</dcterms:modified>
  <cp:revision>3</cp:revision>
  <dc:subject/>
  <dc:title>APPENDIX B</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State of Utah-DCED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