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Agenda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71575" cy="1171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anchor>
        </w:drawing>
      </w:r>
    </w:p>
    <w:p w:rsidR="00000000" w:rsidDel="00000000" w:rsidP="00000000" w:rsidRDefault="00000000" w:rsidRPr="00000000" w14:paraId="00000002">
      <w:pPr>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Commission</w:t>
      </w:r>
    </w:p>
    <w:p w:rsidR="00000000" w:rsidDel="00000000" w:rsidP="00000000" w:rsidRDefault="00000000" w:rsidRPr="00000000" w14:paraId="00000003">
      <w:pPr>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Legislative/Land Tenure Committee </w:t>
      </w:r>
    </w:p>
    <w:p w:rsidR="00000000" w:rsidDel="00000000" w:rsidP="00000000" w:rsidRDefault="00000000" w:rsidRPr="00000000" w14:paraId="00000004">
      <w:pPr>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Thursday: October 1, 2020</w:t>
      </w:r>
    </w:p>
    <w:p w:rsidR="00000000" w:rsidDel="00000000" w:rsidP="00000000" w:rsidRDefault="00000000" w:rsidRPr="00000000" w14:paraId="00000005">
      <w:pPr>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10:30 a.m. – 11:30 a.m.</w:t>
      </w:r>
    </w:p>
    <w:p w:rsidR="00000000" w:rsidDel="00000000" w:rsidP="00000000" w:rsidRDefault="00000000" w:rsidRPr="00000000" w14:paraId="00000006">
      <w:pPr>
        <w:spacing w:line="240" w:lineRule="auto"/>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Committee Membership:</w:t>
      </w:r>
    </w:p>
    <w:p w:rsidR="00000000" w:rsidDel="00000000" w:rsidP="00000000" w:rsidRDefault="00000000" w:rsidRPr="00000000" w14:paraId="0000000B">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Mayor Jenny Wilson: Chair</w:t>
      </w:r>
    </w:p>
    <w:p w:rsidR="00000000" w:rsidDel="00000000" w:rsidP="00000000" w:rsidRDefault="00000000" w:rsidRPr="00000000" w14:paraId="0000000C">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Mayor Jeff Silvestrini: Co-Chair</w:t>
      </w:r>
    </w:p>
    <w:p w:rsidR="00000000" w:rsidDel="00000000" w:rsidP="00000000" w:rsidRDefault="00000000" w:rsidRPr="00000000" w14:paraId="0000000D">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Mayor Harris Sondak: Member </w:t>
      </w:r>
    </w:p>
    <w:p w:rsidR="00000000" w:rsidDel="00000000" w:rsidP="00000000" w:rsidRDefault="00000000" w:rsidRPr="00000000" w14:paraId="0000000E">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Ralph Becker: CWC Staff to the committee</w:t>
      </w:r>
    </w:p>
    <w:p w:rsidR="00000000" w:rsidDel="00000000" w:rsidP="00000000" w:rsidRDefault="00000000" w:rsidRPr="00000000" w14:paraId="0000000F">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0">
      <w:pPr>
        <w:spacing w:line="240" w:lineRule="auto"/>
        <w:jc w:val="center"/>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11">
      <w:pPr>
        <w:spacing w:line="240" w:lineRule="auto"/>
        <w:jc w:val="center"/>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w:t>
      </w:r>
    </w:p>
    <w:p w:rsidR="00000000" w:rsidDel="00000000" w:rsidP="00000000" w:rsidRDefault="00000000" w:rsidRPr="00000000" w14:paraId="00000012">
      <w:pPr>
        <w:spacing w:line="240" w:lineRule="auto"/>
        <w:jc w:val="center"/>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13">
      <w:pPr>
        <w:spacing w:line="240" w:lineRule="auto"/>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HB5002.  The public may remotely hear the open portions of the meeting through live broadcast by connecting to: </w:t>
      </w:r>
      <w:hyperlink r:id="rId7">
        <w:r w:rsidDel="00000000" w:rsidR="00000000" w:rsidRPr="00000000">
          <w:rPr>
            <w:rFonts w:ascii="Georgia" w:cs="Georgia" w:eastAsia="Georgia" w:hAnsi="Georgia"/>
            <w:b w:val="1"/>
            <w:i w:val="1"/>
            <w:color w:val="1155cc"/>
            <w:sz w:val="20"/>
            <w:szCs w:val="20"/>
            <w:u w:val="single"/>
            <w:rtl w:val="0"/>
          </w:rPr>
          <w:t xml:space="preserve">https://zoom.us/j/99821226808?pwd=MHplaXdnc0RmbU5Jd0l6WmkxdVQydz09</w:t>
        </w:r>
      </w:hyperlink>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w:t>
        <w:tab/>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OPENING</w:t>
      </w:r>
      <w:r w:rsidDel="00000000" w:rsidR="00000000" w:rsidRPr="00000000">
        <w:rPr>
          <w:rFonts w:ascii="Georgia" w:cs="Georgia" w:eastAsia="Georgia" w:hAnsi="Georgia"/>
          <w:b w:val="1"/>
          <w:sz w:val="20"/>
          <w:szCs w:val="20"/>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Chair/Mayor Jenny Wilson will convene the committee. </w:t>
        <w:tab/>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10:30 a.m.</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1"/>
          <w:sz w:val="20"/>
          <w:szCs w:val="20"/>
          <w:u w:val="none"/>
        </w:rPr>
      </w:pPr>
      <w:r w:rsidDel="00000000" w:rsidR="00000000" w:rsidRPr="00000000">
        <w:rPr>
          <w:rFonts w:ascii="Georgia" w:cs="Georgia" w:eastAsia="Georgia" w:hAnsi="Georgia"/>
          <w:b w:val="1"/>
          <w:sz w:val="20"/>
          <w:szCs w:val="20"/>
          <w:rtl w:val="0"/>
        </w:rPr>
        <w:t xml:space="preserve">June 4, 2020 Committee Minutes: review and approve.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2.</w:t>
        <w:tab/>
        <w:t xml:space="preserve">Items for Discussion and Potential Action </w:t>
        <w:tab/>
        <w:tab/>
        <w:tab/>
        <w:tab/>
        <w:t xml:space="preserve">10:35 a.m.</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Review of Legislative Land Tenure Committee work &amp; direction</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Review of meetings with ski areas and Conservation Groups on moving ahead with Legislation.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ab/>
        <w:t xml:space="preserve">       c.</w:t>
        <w:tab/>
        <w:t xml:space="preserve">Discussion of recommendations for pursuing steps going forward.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w:t>
        <w:tab/>
        <w:t xml:space="preserve">Next Steps and Followup</w:t>
        <w:tab/>
        <w:tab/>
        <w:tab/>
        <w:tab/>
        <w:tab/>
        <w:tab/>
        <w:tab/>
        <w:t xml:space="preserve">11:10 a.m.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sz w:val="20"/>
          <w:szCs w:val="20"/>
          <w:rtl w:val="0"/>
        </w:rPr>
        <w:t xml:space="preserve">4.</w:t>
        <w:tab/>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ADJOURNMENT</w:t>
        <w:tab/>
        <w:tab/>
        <w:tab/>
        <w:tab/>
        <w:tab/>
        <w:tab/>
        <w:tab/>
        <w:tab/>
        <w:t xml:space="preserve">11:30 a.m.</w:t>
      </w:r>
    </w:p>
    <w:p w:rsidR="00000000" w:rsidDel="00000000" w:rsidP="00000000" w:rsidRDefault="00000000" w:rsidRPr="00000000" w14:paraId="00000023">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24">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5">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Please take notice that a quorum the Board of Commissioners (</w:t>
      </w:r>
      <w:r w:rsidDel="00000000" w:rsidR="00000000" w:rsidRPr="00000000">
        <w:rPr>
          <w:rFonts w:ascii="Georgia" w:cs="Georgia" w:eastAsia="Georgia" w:hAnsi="Georgia"/>
          <w:b w:val="1"/>
          <w:i w:val="1"/>
          <w:sz w:val="20"/>
          <w:szCs w:val="20"/>
          <w:rtl w:val="0"/>
        </w:rPr>
        <w:t xml:space="preserve">the “Board”) </w:t>
      </w:r>
      <w:r w:rsidDel="00000000" w:rsidR="00000000" w:rsidRPr="00000000">
        <w:rPr>
          <w:rFonts w:ascii="Georgia" w:cs="Georgia" w:eastAsia="Georgia" w:hAnsi="Georgia"/>
          <w:b w:val="1"/>
          <w:sz w:val="20"/>
          <w:szCs w:val="20"/>
          <w:rtl w:val="0"/>
        </w:rPr>
        <w:t xml:space="preserve">of the Central Wasatch Commission (</w:t>
      </w:r>
      <w:r w:rsidDel="00000000" w:rsidR="00000000" w:rsidRPr="00000000">
        <w:rPr>
          <w:rFonts w:ascii="Georgia" w:cs="Georgia" w:eastAsia="Georgia" w:hAnsi="Georgia"/>
          <w:b w:val="1"/>
          <w:i w:val="1"/>
          <w:sz w:val="20"/>
          <w:szCs w:val="20"/>
          <w:rtl w:val="0"/>
        </w:rPr>
        <w:t xml:space="preserve">the “CWC”) </w:t>
      </w:r>
      <w:r w:rsidDel="00000000" w:rsidR="00000000" w:rsidRPr="00000000">
        <w:rPr>
          <w:rFonts w:ascii="Georgia" w:cs="Georgia" w:eastAsia="Georgia" w:hAnsi="Georgia"/>
          <w:b w:val="1"/>
          <w:sz w:val="20"/>
          <w:szCs w:val="20"/>
          <w:rtl w:val="0"/>
        </w:rPr>
        <w:t xml:space="preserve">may attend the meeting of the Board’s Short Term Projects Committee scheduled for Friday, 1 May 2020; beginning at 10:30 a.m. The agenda for that meeting of the Committee is accessible here: Utah Public Notice Website, CWC’s website, The Salt Lake Tribune and Deseret News.</w:t>
      </w:r>
    </w:p>
    <w:p w:rsidR="00000000" w:rsidDel="00000000" w:rsidP="00000000" w:rsidRDefault="00000000" w:rsidRPr="00000000" w14:paraId="00000027">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9">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A">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F">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30">
      <w:pPr>
        <w:spacing w:line="240" w:lineRule="auto"/>
        <w:jc w:val="cente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CERTIFICATE OF POSTING</w:t>
      </w:r>
    </w:p>
    <w:p w:rsidR="00000000" w:rsidDel="00000000" w:rsidP="00000000" w:rsidRDefault="00000000" w:rsidRPr="00000000" w14:paraId="00000031">
      <w:pPr>
        <w:spacing w:line="240" w:lineRule="auto"/>
        <w:jc w:val="center"/>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32">
      <w:pPr>
        <w:spacing w:line="240" w:lineRule="auto"/>
        <w:jc w:val="left"/>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This meeting was conducted solely electronically.</w:t>
      </w:r>
    </w:p>
    <w:p w:rsidR="00000000" w:rsidDel="00000000" w:rsidP="00000000" w:rsidRDefault="00000000" w:rsidRPr="00000000" w14:paraId="00000033">
      <w:pPr>
        <w:spacing w:line="240" w:lineRule="auto"/>
        <w:jc w:val="left"/>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34">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At or before 10:30 a.m. on Wednesday -  September 30, 2020,  the undersigned does hereby certify that the above notice agenda was:</w:t>
      </w:r>
    </w:p>
    <w:p w:rsidR="00000000" w:rsidDel="00000000" w:rsidP="00000000" w:rsidRDefault="00000000" w:rsidRPr="00000000" w14:paraId="00000035">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36">
      <w:pPr>
        <w:spacing w:line="240" w:lineRule="auto"/>
        <w:ind w:left="72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    Posted on the Utah Public Notice Website created under Utah Code Ann. 63F-1-701; and</w:t>
      </w:r>
    </w:p>
    <w:p w:rsidR="00000000" w:rsidDel="00000000" w:rsidP="00000000" w:rsidRDefault="00000000" w:rsidRPr="00000000" w14:paraId="00000037">
      <w:pPr>
        <w:spacing w:line="240" w:lineRule="auto"/>
        <w:ind w:left="72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(2)   Provided to The Salt Lake Tribune and/or Deseret News or to a local media correspondent.</w:t>
      </w:r>
    </w:p>
    <w:p w:rsidR="00000000" w:rsidDel="00000000" w:rsidP="00000000" w:rsidRDefault="00000000" w:rsidRPr="00000000" w14:paraId="00000038">
      <w:pPr>
        <w:spacing w:line="240" w:lineRule="auto"/>
        <w:ind w:left="720" w:firstLine="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9">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Final action may be taken in relation to any topic listed on the agenda, including but not limited to adoption, rejection, amendment, addition of conditions and variations of options discussed. Members of the Central Wasatch Commission may participate electronically. Meetings may be closed for reasons allowed by statute.</w:t>
      </w:r>
    </w:p>
    <w:p w:rsidR="00000000" w:rsidDel="00000000" w:rsidP="00000000" w:rsidRDefault="00000000" w:rsidRPr="00000000" w14:paraId="0000003A">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B">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3C">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3D">
      <w:pPr>
        <w:spacing w:line="240" w:lineRule="auto"/>
        <w:jc w:val="right"/>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Kaye V. Mickelson, Central Wasatch Commission Office Administrator</w:t>
      </w:r>
    </w:p>
    <w:p w:rsidR="00000000" w:rsidDel="00000000" w:rsidP="00000000" w:rsidRDefault="00000000" w:rsidRPr="00000000" w14:paraId="0000003E">
      <w:pPr>
        <w:rPr>
          <w:rFonts w:ascii="Georgia" w:cs="Georgia" w:eastAsia="Georgia" w:hAnsi="Georgia"/>
          <w:b w:val="1"/>
          <w:i w:val="1"/>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9821226808?pwd=MHplaXdnc0RmbU5Jd0l6WmkxdVQy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