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4582F601" w:rsidR="001B7948" w:rsidRPr="0012755C" w:rsidRDefault="00E92555"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August 19</w:t>
      </w:r>
      <w:r w:rsidR="00FE1858">
        <w:rPr>
          <w:rFonts w:ascii="Times New Roman" w:hAnsi="Times New Roman" w:cs="Times New Roman"/>
          <w:b/>
          <w:sz w:val="24"/>
          <w:szCs w:val="24"/>
        </w:rPr>
        <w:t>, 2020</w:t>
      </w:r>
      <w:r w:rsidR="0012755C">
        <w:rPr>
          <w:rFonts w:ascii="Times New Roman" w:hAnsi="Times New Roman" w:cs="Times New Roman"/>
          <w:b/>
          <w:sz w:val="24"/>
          <w:szCs w:val="24"/>
        </w:rPr>
        <w:t xml:space="preserve"> at 6:30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7F015FB2"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Manning Butterworth</w:t>
      </w:r>
      <w:r w:rsidR="00C715F9">
        <w:rPr>
          <w:rFonts w:ascii="Times New Roman" w:hAnsi="Times New Roman" w:cs="Times New Roman"/>
          <w:bCs/>
          <w:sz w:val="23"/>
          <w:szCs w:val="23"/>
        </w:rPr>
        <w:t>;</w:t>
      </w:r>
      <w:r w:rsidR="00E0039C">
        <w:rPr>
          <w:rFonts w:ascii="Times New Roman" w:hAnsi="Times New Roman" w:cs="Times New Roman"/>
          <w:bCs/>
          <w:sz w:val="23"/>
          <w:szCs w:val="23"/>
        </w:rPr>
        <w:t xml:space="preserve"> Commissioners: Greg Turner</w:t>
      </w:r>
      <w:r w:rsidR="0012755C">
        <w:rPr>
          <w:rFonts w:ascii="Times New Roman" w:hAnsi="Times New Roman" w:cs="Times New Roman"/>
          <w:bCs/>
          <w:sz w:val="23"/>
          <w:szCs w:val="23"/>
        </w:rPr>
        <w:t>, Rebecca Hansen, Dan Catlin</w:t>
      </w:r>
      <w:r w:rsidR="00E0039C">
        <w:rPr>
          <w:rFonts w:ascii="Times New Roman" w:hAnsi="Times New Roman" w:cs="Times New Roman"/>
          <w:bCs/>
          <w:sz w:val="23"/>
          <w:szCs w:val="23"/>
        </w:rPr>
        <w:t>, Joey Campbell</w:t>
      </w:r>
      <w:r w:rsidR="00C715F9">
        <w:rPr>
          <w:rFonts w:ascii="Times New Roman" w:hAnsi="Times New Roman" w:cs="Times New Roman"/>
          <w:bCs/>
          <w:sz w:val="23"/>
          <w:szCs w:val="23"/>
        </w:rPr>
        <w:t>;</w:t>
      </w:r>
      <w:r w:rsidR="00B7106E">
        <w:rPr>
          <w:rFonts w:ascii="Times New Roman" w:hAnsi="Times New Roman" w:cs="Times New Roman"/>
          <w:bCs/>
          <w:sz w:val="23"/>
          <w:szCs w:val="23"/>
        </w:rPr>
        <w:t xml:space="preserve"> Alternate Planning Commission</w:t>
      </w:r>
      <w:r w:rsidR="0012755C">
        <w:rPr>
          <w:rFonts w:ascii="Times New Roman" w:hAnsi="Times New Roman" w:cs="Times New Roman"/>
          <w:bCs/>
          <w:sz w:val="23"/>
          <w:szCs w:val="23"/>
        </w:rPr>
        <w:t xml:space="preserve">ers: </w:t>
      </w:r>
      <w:r w:rsidR="00D6203E">
        <w:rPr>
          <w:rFonts w:ascii="Times New Roman" w:hAnsi="Times New Roman" w:cs="Times New Roman"/>
          <w:bCs/>
          <w:sz w:val="23"/>
          <w:szCs w:val="23"/>
        </w:rPr>
        <w:t xml:space="preserve"> </w:t>
      </w:r>
      <w:r w:rsidR="00EC1890">
        <w:rPr>
          <w:rFonts w:ascii="Times New Roman" w:hAnsi="Times New Roman" w:cs="Times New Roman"/>
          <w:bCs/>
          <w:sz w:val="23"/>
          <w:szCs w:val="23"/>
        </w:rPr>
        <w:t>David Browning</w:t>
      </w:r>
      <w:r w:rsidR="00C715F9">
        <w:rPr>
          <w:rFonts w:ascii="Times New Roman" w:hAnsi="Times New Roman" w:cs="Times New Roman"/>
          <w:bCs/>
          <w:sz w:val="23"/>
          <w:szCs w:val="23"/>
        </w:rPr>
        <w:t>;</w:t>
      </w:r>
      <w:r w:rsidR="00E0039C">
        <w:rPr>
          <w:rFonts w:ascii="Times New Roman" w:hAnsi="Times New Roman" w:cs="Times New Roman"/>
          <w:bCs/>
          <w:sz w:val="23"/>
          <w:szCs w:val="23"/>
        </w:rPr>
        <w:t xml:space="preserve"> Staff: </w:t>
      </w:r>
      <w:r w:rsidR="00FE1858">
        <w:rPr>
          <w:rFonts w:ascii="Times New Roman" w:hAnsi="Times New Roman" w:cs="Times New Roman"/>
          <w:bCs/>
          <w:sz w:val="23"/>
          <w:szCs w:val="23"/>
        </w:rPr>
        <w:t xml:space="preserve">Zoning Official </w:t>
      </w:r>
      <w:r w:rsidR="00C715F9">
        <w:rPr>
          <w:rFonts w:ascii="Times New Roman" w:hAnsi="Times New Roman" w:cs="Times New Roman"/>
          <w:bCs/>
          <w:sz w:val="23"/>
          <w:szCs w:val="23"/>
        </w:rPr>
        <w:t>Mike Vercimak;</w:t>
      </w:r>
      <w:r w:rsidR="00E0039C">
        <w:rPr>
          <w:rFonts w:ascii="Times New Roman" w:hAnsi="Times New Roman" w:cs="Times New Roman"/>
          <w:bCs/>
          <w:sz w:val="23"/>
          <w:szCs w:val="23"/>
        </w:rPr>
        <w:t xml:space="preserve"> Re</w:t>
      </w:r>
      <w:r w:rsidR="00C715F9">
        <w:rPr>
          <w:rFonts w:ascii="Times New Roman" w:hAnsi="Times New Roman" w:cs="Times New Roman"/>
          <w:bCs/>
          <w:sz w:val="23"/>
          <w:szCs w:val="23"/>
        </w:rPr>
        <w:t>corder Ruth Evans;</w:t>
      </w:r>
      <w:r w:rsidR="00E0039C">
        <w:rPr>
          <w:rFonts w:ascii="Times New Roman" w:hAnsi="Times New Roman" w:cs="Times New Roman"/>
          <w:bCs/>
          <w:sz w:val="23"/>
          <w:szCs w:val="23"/>
        </w:rPr>
        <w:t xml:space="preserve"> Public: </w:t>
      </w:r>
      <w:r w:rsidR="00C715F9">
        <w:rPr>
          <w:rFonts w:ascii="Times New Roman" w:hAnsi="Times New Roman" w:cs="Times New Roman"/>
          <w:bCs/>
          <w:sz w:val="23"/>
          <w:szCs w:val="23"/>
        </w:rPr>
        <w:t xml:space="preserve">Tim Scott; Absent: City Council Liaison Gary Chaves, Alternate Planning Commissioner Jason Grygla. </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75DDA025" w14:textId="1DCDCAB7" w:rsidR="0012755C" w:rsidRPr="0012755C" w:rsidRDefault="0012755C" w:rsidP="0012755C">
      <w:pPr>
        <w:pStyle w:val="ListParagraph"/>
        <w:numPr>
          <w:ilvl w:val="0"/>
          <w:numId w:val="10"/>
        </w:numPr>
        <w:ind w:left="360"/>
        <w:jc w:val="both"/>
        <w:outlineLvl w:val="0"/>
        <w:rPr>
          <w:b/>
          <w:sz w:val="23"/>
          <w:szCs w:val="23"/>
        </w:rPr>
      </w:pPr>
      <w:r>
        <w:rPr>
          <w:b/>
          <w:sz w:val="23"/>
          <w:szCs w:val="23"/>
        </w:rPr>
        <w:t>CALL TO ORDER:</w:t>
      </w:r>
    </w:p>
    <w:p w14:paraId="2D7088B6" w14:textId="23052B2C" w:rsidR="0012755C" w:rsidRPr="0012755C" w:rsidRDefault="00FE1858" w:rsidP="0012755C">
      <w:pPr>
        <w:spacing w:line="240" w:lineRule="auto"/>
        <w:ind w:left="360"/>
        <w:jc w:val="both"/>
        <w:outlineLvl w:val="0"/>
        <w:rPr>
          <w:rFonts w:ascii="Times New Roman" w:hAnsi="Times New Roman" w:cs="Times New Roman"/>
          <w:sz w:val="23"/>
          <w:szCs w:val="23"/>
        </w:rPr>
      </w:pPr>
      <w:r>
        <w:rPr>
          <w:rFonts w:ascii="Times New Roman" w:hAnsi="Times New Roman" w:cs="Times New Roman"/>
          <w:sz w:val="23"/>
          <w:szCs w:val="23"/>
        </w:rPr>
        <w:t xml:space="preserve">Chairman </w:t>
      </w:r>
      <w:r w:rsidR="0012755C" w:rsidRPr="0012755C">
        <w:rPr>
          <w:rFonts w:ascii="Times New Roman" w:hAnsi="Times New Roman" w:cs="Times New Roman"/>
          <w:sz w:val="23"/>
          <w:szCs w:val="23"/>
        </w:rPr>
        <w:t>Butterworth ca</w:t>
      </w:r>
      <w:r>
        <w:rPr>
          <w:rFonts w:ascii="Times New Roman" w:hAnsi="Times New Roman" w:cs="Times New Roman"/>
          <w:sz w:val="23"/>
          <w:szCs w:val="23"/>
        </w:rPr>
        <w:t>lled the meeting to order at 6:30 p.m. Commissioner</w:t>
      </w:r>
      <w:r w:rsidR="0012755C" w:rsidRPr="0012755C">
        <w:rPr>
          <w:rFonts w:ascii="Times New Roman" w:hAnsi="Times New Roman" w:cs="Times New Roman"/>
          <w:sz w:val="23"/>
          <w:szCs w:val="23"/>
        </w:rPr>
        <w:t xml:space="preserve"> </w:t>
      </w:r>
      <w:r w:rsidR="00C715F9">
        <w:rPr>
          <w:rFonts w:ascii="Times New Roman" w:hAnsi="Times New Roman" w:cs="Times New Roman"/>
          <w:sz w:val="23"/>
          <w:szCs w:val="23"/>
        </w:rPr>
        <w:t>Catlin</w:t>
      </w:r>
      <w:r w:rsidR="0012755C" w:rsidRPr="0012755C">
        <w:rPr>
          <w:rFonts w:ascii="Times New Roman" w:hAnsi="Times New Roman" w:cs="Times New Roman"/>
          <w:sz w:val="23"/>
          <w:szCs w:val="23"/>
        </w:rPr>
        <w:t xml:space="preserve"> led the Pledge of Allegiance. There were no disclosures, nor conflict declarations from </w:t>
      </w:r>
      <w:r>
        <w:rPr>
          <w:rFonts w:ascii="Times New Roman" w:hAnsi="Times New Roman" w:cs="Times New Roman"/>
          <w:sz w:val="23"/>
          <w:szCs w:val="23"/>
        </w:rPr>
        <w:t>Commissioners</w:t>
      </w:r>
      <w:r w:rsidR="0012755C" w:rsidRPr="0012755C">
        <w:rPr>
          <w:rFonts w:ascii="Times New Roman" w:hAnsi="Times New Roman" w:cs="Times New Roman"/>
          <w:sz w:val="23"/>
          <w:szCs w:val="23"/>
        </w:rPr>
        <w:t xml:space="preserve">. </w:t>
      </w:r>
    </w:p>
    <w:p w14:paraId="38CE7034" w14:textId="0BFCA1F3" w:rsidR="001B7948" w:rsidRDefault="0012755C"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B</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REVIEW OF MINUTES:</w:t>
      </w:r>
    </w:p>
    <w:p w14:paraId="122929A4" w14:textId="2A7088CC" w:rsidR="001E0318" w:rsidRDefault="00FE1858" w:rsidP="00C715F9">
      <w:pPr>
        <w:ind w:firstLine="360"/>
        <w:jc w:val="both"/>
        <w:rPr>
          <w:sz w:val="23"/>
          <w:szCs w:val="23"/>
        </w:rPr>
      </w:pPr>
      <w:proofErr w:type="gramStart"/>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 xml:space="preserve">inutes from </w:t>
      </w:r>
      <w:r w:rsidR="00C715F9">
        <w:rPr>
          <w:rFonts w:ascii="Times New Roman" w:hAnsi="Times New Roman" w:cs="Times New Roman"/>
          <w:sz w:val="23"/>
          <w:szCs w:val="23"/>
        </w:rPr>
        <w:t>July 2020.</w:t>
      </w:r>
      <w:proofErr w:type="gramEnd"/>
    </w:p>
    <w:p w14:paraId="250E1A80" w14:textId="3593DA99" w:rsidR="00C33F50" w:rsidRPr="0076360D" w:rsidRDefault="002C4942" w:rsidP="00AA059D">
      <w:pPr>
        <w:pStyle w:val="ListParagraph"/>
        <w:ind w:left="360"/>
        <w:jc w:val="both"/>
        <w:rPr>
          <w:b/>
          <w:bCs/>
          <w:i/>
          <w:iCs/>
          <w:sz w:val="23"/>
          <w:szCs w:val="23"/>
        </w:rPr>
      </w:pPr>
      <w:r>
        <w:rPr>
          <w:b/>
          <w:bCs/>
          <w:i/>
          <w:iCs/>
          <w:sz w:val="23"/>
          <w:szCs w:val="23"/>
        </w:rPr>
        <w:t xml:space="preserve">Commissioner </w:t>
      </w:r>
      <w:r w:rsidR="000A6F37">
        <w:rPr>
          <w:b/>
          <w:bCs/>
          <w:i/>
          <w:iCs/>
          <w:sz w:val="23"/>
          <w:szCs w:val="23"/>
        </w:rPr>
        <w:t>Rebecca Hansen</w:t>
      </w:r>
      <w:r w:rsidR="0076360D" w:rsidRPr="0076360D">
        <w:rPr>
          <w:b/>
          <w:bCs/>
          <w:i/>
          <w:iCs/>
          <w:sz w:val="23"/>
          <w:szCs w:val="23"/>
        </w:rPr>
        <w:t xml:space="preserve"> moved to </w:t>
      </w:r>
      <w:r w:rsidR="00C715F9">
        <w:rPr>
          <w:b/>
          <w:bCs/>
          <w:i/>
          <w:iCs/>
          <w:sz w:val="23"/>
          <w:szCs w:val="23"/>
        </w:rPr>
        <w:t>approve</w:t>
      </w:r>
      <w:r w:rsidR="0076360D" w:rsidRPr="0076360D">
        <w:rPr>
          <w:b/>
          <w:bCs/>
          <w:i/>
          <w:iCs/>
          <w:sz w:val="23"/>
          <w:szCs w:val="23"/>
        </w:rPr>
        <w:t xml:space="preserve"> the meeting minutes from</w:t>
      </w:r>
      <w:r w:rsidR="009B24BA">
        <w:rPr>
          <w:b/>
          <w:bCs/>
          <w:i/>
          <w:iCs/>
          <w:sz w:val="23"/>
          <w:szCs w:val="23"/>
        </w:rPr>
        <w:t xml:space="preserve"> </w:t>
      </w:r>
      <w:r w:rsidR="00C715F9">
        <w:rPr>
          <w:b/>
          <w:bCs/>
          <w:i/>
          <w:iCs/>
          <w:sz w:val="23"/>
          <w:szCs w:val="23"/>
        </w:rPr>
        <w:t>July 2020</w:t>
      </w:r>
      <w:r w:rsidR="00EC1890">
        <w:rPr>
          <w:b/>
          <w:bCs/>
          <w:i/>
          <w:iCs/>
          <w:sz w:val="23"/>
          <w:szCs w:val="23"/>
        </w:rPr>
        <w:t>. Commissioner</w:t>
      </w:r>
      <w:r>
        <w:rPr>
          <w:b/>
          <w:bCs/>
          <w:i/>
          <w:iCs/>
          <w:sz w:val="23"/>
          <w:szCs w:val="23"/>
        </w:rPr>
        <w:t xml:space="preserve"> Greg Turner</w:t>
      </w:r>
      <w:r w:rsidR="0076360D" w:rsidRPr="0076360D">
        <w:rPr>
          <w:b/>
          <w:bCs/>
          <w:i/>
          <w:iCs/>
          <w:sz w:val="23"/>
          <w:szCs w:val="23"/>
        </w:rPr>
        <w:t xml:space="preserve"> seconded the motion. Motion unanimously carried 5-0. Greg Turner – </w:t>
      </w:r>
      <w:r w:rsidR="0076360D">
        <w:rPr>
          <w:b/>
          <w:bCs/>
          <w:i/>
          <w:iCs/>
          <w:sz w:val="23"/>
          <w:szCs w:val="23"/>
        </w:rPr>
        <w:t>a</w:t>
      </w:r>
      <w:r w:rsidR="0076360D" w:rsidRPr="0076360D">
        <w:rPr>
          <w:b/>
          <w:bCs/>
          <w:i/>
          <w:iCs/>
          <w:sz w:val="23"/>
          <w:szCs w:val="23"/>
        </w:rPr>
        <w:t xml:space="preserve">ye, Rebecca Hansen – </w:t>
      </w:r>
      <w:r w:rsidR="0076360D">
        <w:rPr>
          <w:b/>
          <w:bCs/>
          <w:i/>
          <w:iCs/>
          <w:sz w:val="23"/>
          <w:szCs w:val="23"/>
        </w:rPr>
        <w:t>a</w:t>
      </w:r>
      <w:r w:rsidR="0076360D" w:rsidRPr="0076360D">
        <w:rPr>
          <w:b/>
          <w:bCs/>
          <w:i/>
          <w:iCs/>
          <w:sz w:val="23"/>
          <w:szCs w:val="23"/>
        </w:rPr>
        <w:t xml:space="preserve">ye, Manning Butterworth – </w:t>
      </w:r>
      <w:r w:rsidR="0076360D">
        <w:rPr>
          <w:b/>
          <w:bCs/>
          <w:i/>
          <w:iCs/>
          <w:sz w:val="23"/>
          <w:szCs w:val="23"/>
        </w:rPr>
        <w:t>a</w:t>
      </w:r>
      <w:r w:rsidR="0076360D" w:rsidRPr="0076360D">
        <w:rPr>
          <w:b/>
          <w:bCs/>
          <w:i/>
          <w:iCs/>
          <w:sz w:val="23"/>
          <w:szCs w:val="23"/>
        </w:rPr>
        <w:t xml:space="preserve">ye, </w:t>
      </w:r>
      <w:r w:rsidR="00FE1858">
        <w:rPr>
          <w:b/>
          <w:bCs/>
          <w:i/>
          <w:iCs/>
          <w:sz w:val="23"/>
          <w:szCs w:val="23"/>
        </w:rPr>
        <w:t>Dan Catlin</w:t>
      </w:r>
      <w:r w:rsidR="0076360D" w:rsidRPr="0076360D">
        <w:rPr>
          <w:b/>
          <w:bCs/>
          <w:i/>
          <w:iCs/>
          <w:sz w:val="23"/>
          <w:szCs w:val="23"/>
        </w:rPr>
        <w:t xml:space="preserve"> – Aye, Joey Campbell – </w:t>
      </w:r>
      <w:r w:rsidR="0076360D">
        <w:rPr>
          <w:b/>
          <w:bCs/>
          <w:i/>
          <w:iCs/>
          <w:sz w:val="23"/>
          <w:szCs w:val="23"/>
        </w:rPr>
        <w:t>a</w:t>
      </w:r>
      <w:r w:rsidR="0076360D" w:rsidRPr="0076360D">
        <w:rPr>
          <w:b/>
          <w:bCs/>
          <w:i/>
          <w:iCs/>
          <w:sz w:val="23"/>
          <w:szCs w:val="23"/>
        </w:rPr>
        <w:t xml:space="preserve">ye. </w:t>
      </w:r>
    </w:p>
    <w:p w14:paraId="68B93A89" w14:textId="77777777" w:rsidR="0076360D" w:rsidRDefault="0076360D" w:rsidP="00AA059D">
      <w:pPr>
        <w:pStyle w:val="ListParagraph"/>
        <w:ind w:left="360"/>
        <w:rPr>
          <w:sz w:val="23"/>
          <w:szCs w:val="23"/>
        </w:rPr>
      </w:pPr>
    </w:p>
    <w:p w14:paraId="174AB311" w14:textId="1953D0D7"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C</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6041F8D5" w14:textId="30B8A6B2" w:rsidR="00EC1890" w:rsidRDefault="00C715F9" w:rsidP="00AA059D">
      <w:pPr>
        <w:spacing w:after="0" w:line="240" w:lineRule="auto"/>
        <w:ind w:firstLine="360"/>
        <w:jc w:val="both"/>
        <w:rPr>
          <w:rFonts w:ascii="Times New Roman" w:hAnsi="Times New Roman" w:cs="Times New Roman"/>
          <w:iCs/>
          <w:sz w:val="23"/>
          <w:szCs w:val="23"/>
        </w:rPr>
      </w:pPr>
      <w:r>
        <w:rPr>
          <w:rFonts w:ascii="Times New Roman" w:hAnsi="Times New Roman" w:cs="Times New Roman"/>
          <w:iCs/>
          <w:sz w:val="23"/>
          <w:szCs w:val="23"/>
        </w:rPr>
        <w:t xml:space="preserve">There were no comments from the public. </w:t>
      </w:r>
    </w:p>
    <w:p w14:paraId="076DE098" w14:textId="1D4DD9B9" w:rsidR="00CA7629" w:rsidRDefault="00CA7629" w:rsidP="00AA059D">
      <w:pPr>
        <w:spacing w:after="0" w:line="240" w:lineRule="auto"/>
        <w:rPr>
          <w:rFonts w:ascii="Times New Roman" w:hAnsi="Times New Roman" w:cs="Times New Roman"/>
          <w:b/>
          <w:iCs/>
          <w:sz w:val="23"/>
          <w:szCs w:val="23"/>
        </w:rPr>
      </w:pPr>
    </w:p>
    <w:p w14:paraId="3D5710CA" w14:textId="17FFBCF3"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502BE482" w14:textId="4CF4CF2F" w:rsidR="001B7948" w:rsidRDefault="001B7948" w:rsidP="00AA059D">
      <w:pPr>
        <w:pStyle w:val="ListParagraph"/>
        <w:numPr>
          <w:ilvl w:val="0"/>
          <w:numId w:val="3"/>
        </w:numPr>
        <w:ind w:left="720"/>
        <w:jc w:val="both"/>
        <w:rPr>
          <w:sz w:val="23"/>
          <w:szCs w:val="23"/>
        </w:rPr>
      </w:pPr>
      <w:r>
        <w:rPr>
          <w:sz w:val="23"/>
          <w:szCs w:val="23"/>
        </w:rPr>
        <w:t>Planning Chair Manning Butterworth</w:t>
      </w:r>
      <w:r w:rsidR="0014461E">
        <w:rPr>
          <w:sz w:val="23"/>
          <w:szCs w:val="23"/>
        </w:rPr>
        <w:t xml:space="preserve"> did not have anything to report.</w:t>
      </w:r>
    </w:p>
    <w:p w14:paraId="102E26AF" w14:textId="77777777" w:rsidR="00BD0F9F" w:rsidRDefault="00BD0F9F" w:rsidP="00AA059D">
      <w:pPr>
        <w:pStyle w:val="ListParagraph"/>
        <w:ind w:hanging="360"/>
        <w:jc w:val="both"/>
        <w:rPr>
          <w:sz w:val="23"/>
          <w:szCs w:val="23"/>
        </w:rPr>
      </w:pPr>
    </w:p>
    <w:p w14:paraId="3EEA21DF" w14:textId="5F6C6793" w:rsidR="001B7948" w:rsidRDefault="0014461E" w:rsidP="00AA059D">
      <w:pPr>
        <w:pStyle w:val="ListParagraph"/>
        <w:numPr>
          <w:ilvl w:val="0"/>
          <w:numId w:val="3"/>
        </w:numPr>
        <w:ind w:left="720"/>
        <w:rPr>
          <w:sz w:val="23"/>
          <w:szCs w:val="23"/>
        </w:rPr>
      </w:pPr>
      <w:r>
        <w:rPr>
          <w:sz w:val="23"/>
          <w:szCs w:val="23"/>
        </w:rPr>
        <w:t xml:space="preserve">There were no reports from </w:t>
      </w:r>
      <w:r w:rsidR="001B7948">
        <w:rPr>
          <w:sz w:val="23"/>
          <w:szCs w:val="23"/>
        </w:rPr>
        <w:t>Planning Commissioners</w:t>
      </w:r>
      <w:r>
        <w:rPr>
          <w:sz w:val="23"/>
          <w:szCs w:val="23"/>
        </w:rPr>
        <w:t>.</w:t>
      </w:r>
    </w:p>
    <w:p w14:paraId="618D9DAB" w14:textId="77777777" w:rsidR="00BD0F9F" w:rsidRPr="00BD0F9F" w:rsidRDefault="00BD0F9F" w:rsidP="00AA059D">
      <w:pPr>
        <w:pStyle w:val="ListParagraph"/>
        <w:ind w:hanging="360"/>
        <w:rPr>
          <w:sz w:val="23"/>
          <w:szCs w:val="23"/>
        </w:rPr>
      </w:pPr>
    </w:p>
    <w:p w14:paraId="2F8F17C3" w14:textId="0F36499D" w:rsidR="000C2D6E" w:rsidRPr="0014461E" w:rsidRDefault="001B7948" w:rsidP="0014461E">
      <w:pPr>
        <w:pStyle w:val="ListParagraph"/>
        <w:numPr>
          <w:ilvl w:val="0"/>
          <w:numId w:val="3"/>
        </w:numPr>
        <w:ind w:left="720"/>
        <w:jc w:val="both"/>
        <w:rPr>
          <w:sz w:val="23"/>
          <w:szCs w:val="23"/>
        </w:rPr>
      </w:pPr>
      <w:r>
        <w:rPr>
          <w:sz w:val="23"/>
          <w:szCs w:val="23"/>
        </w:rPr>
        <w:t>Zoning Official</w:t>
      </w:r>
      <w:r w:rsidR="00CA7629">
        <w:rPr>
          <w:sz w:val="23"/>
          <w:szCs w:val="23"/>
        </w:rPr>
        <w:t xml:space="preserve"> </w:t>
      </w:r>
      <w:r>
        <w:rPr>
          <w:sz w:val="23"/>
          <w:szCs w:val="23"/>
        </w:rPr>
        <w:t>Mike Vercimak</w:t>
      </w:r>
      <w:r w:rsidR="0014461E">
        <w:rPr>
          <w:sz w:val="23"/>
          <w:szCs w:val="23"/>
        </w:rPr>
        <w:t xml:space="preserve"> did not have anything to report. </w:t>
      </w:r>
    </w:p>
    <w:p w14:paraId="4C2E6896" w14:textId="77777777" w:rsidR="00222A40" w:rsidRPr="003F0002" w:rsidRDefault="00222A40" w:rsidP="00AA059D">
      <w:pPr>
        <w:pStyle w:val="ListParagraph"/>
        <w:ind w:left="360"/>
        <w:jc w:val="both"/>
        <w:rPr>
          <w:sz w:val="23"/>
          <w:szCs w:val="23"/>
        </w:rPr>
      </w:pPr>
    </w:p>
    <w:p w14:paraId="52C193F5" w14:textId="343E50BD" w:rsidR="001B7948"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E</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sidR="00222A40">
        <w:rPr>
          <w:rFonts w:ascii="Times New Roman" w:hAnsi="Times New Roman" w:cs="Times New Roman"/>
          <w:b/>
          <w:sz w:val="23"/>
          <w:szCs w:val="23"/>
        </w:rPr>
        <w:t>PUBLIC HEARING</w:t>
      </w:r>
      <w:r w:rsidR="001B7948">
        <w:rPr>
          <w:rFonts w:ascii="Times New Roman" w:hAnsi="Times New Roman" w:cs="Times New Roman"/>
          <w:b/>
          <w:sz w:val="23"/>
          <w:szCs w:val="23"/>
        </w:rPr>
        <w:t>:</w:t>
      </w:r>
    </w:p>
    <w:p w14:paraId="479460A7" w14:textId="79F757F8" w:rsidR="00222A40" w:rsidRDefault="00222A40" w:rsidP="00AA059D">
      <w:pPr>
        <w:spacing w:after="0" w:line="240" w:lineRule="auto"/>
        <w:ind w:left="360"/>
        <w:jc w:val="both"/>
        <w:rPr>
          <w:rFonts w:ascii="Times New Roman" w:hAnsi="Times New Roman" w:cs="Times New Roman"/>
          <w:i/>
          <w:sz w:val="20"/>
          <w:szCs w:val="20"/>
        </w:rPr>
      </w:pPr>
      <w:r w:rsidRPr="00222A40">
        <w:rPr>
          <w:rFonts w:ascii="Times New Roman" w:hAnsi="Times New Roman" w:cs="Times New Roman"/>
          <w:i/>
          <w:sz w:val="20"/>
          <w:szCs w:val="20"/>
        </w:rPr>
        <w:t>Limit three (3) minutes per person; please address the microphone and state full name and address.</w:t>
      </w:r>
    </w:p>
    <w:p w14:paraId="630A45F8" w14:textId="77777777" w:rsidR="00D10C87" w:rsidRPr="00222A40" w:rsidRDefault="00D10C87" w:rsidP="00AA059D">
      <w:pPr>
        <w:spacing w:after="0" w:line="240" w:lineRule="auto"/>
        <w:ind w:left="360"/>
        <w:jc w:val="both"/>
        <w:rPr>
          <w:rFonts w:ascii="Times New Roman" w:hAnsi="Times New Roman" w:cs="Times New Roman"/>
          <w:i/>
          <w:sz w:val="20"/>
          <w:szCs w:val="20"/>
        </w:rPr>
      </w:pPr>
    </w:p>
    <w:p w14:paraId="6755FD29" w14:textId="60270D35" w:rsidR="001B7948" w:rsidRDefault="00222A40" w:rsidP="00AA059D">
      <w:pPr>
        <w:pStyle w:val="ListParagraph"/>
        <w:numPr>
          <w:ilvl w:val="0"/>
          <w:numId w:val="5"/>
        </w:numPr>
        <w:ind w:left="720"/>
        <w:jc w:val="both"/>
        <w:rPr>
          <w:sz w:val="23"/>
          <w:szCs w:val="23"/>
        </w:rPr>
      </w:pPr>
      <w:r>
        <w:rPr>
          <w:sz w:val="23"/>
          <w:szCs w:val="23"/>
        </w:rPr>
        <w:t>Public input is sought</w:t>
      </w:r>
      <w:r w:rsidR="00037A3C">
        <w:rPr>
          <w:sz w:val="23"/>
          <w:szCs w:val="23"/>
        </w:rPr>
        <w:t xml:space="preserve"> on </w:t>
      </w:r>
      <w:r w:rsidR="00C715F9">
        <w:rPr>
          <w:sz w:val="23"/>
          <w:szCs w:val="23"/>
        </w:rPr>
        <w:t xml:space="preserve">Ordinance 2020.XX Commercial Design Standards – an ordinance creating additional design standards applicable to only commercial developments within the corporate limits of Toquerville City. </w:t>
      </w:r>
    </w:p>
    <w:p w14:paraId="44D2A595" w14:textId="77777777" w:rsidR="00C715F9" w:rsidRDefault="00C715F9" w:rsidP="00C715F9">
      <w:pPr>
        <w:pStyle w:val="ListParagraph"/>
        <w:jc w:val="both"/>
        <w:rPr>
          <w:sz w:val="23"/>
          <w:szCs w:val="23"/>
        </w:rPr>
      </w:pPr>
    </w:p>
    <w:p w14:paraId="5532A06A" w14:textId="2FFD3F6E" w:rsidR="00C715F9" w:rsidRPr="000C2D6E" w:rsidRDefault="00C715F9" w:rsidP="00C715F9">
      <w:pPr>
        <w:pStyle w:val="ListParagraph"/>
        <w:jc w:val="both"/>
        <w:rPr>
          <w:sz w:val="23"/>
          <w:szCs w:val="23"/>
        </w:rPr>
      </w:pPr>
      <w:r>
        <w:rPr>
          <w:sz w:val="23"/>
          <w:szCs w:val="23"/>
        </w:rPr>
        <w:t xml:space="preserve">There were no comments from the public. </w:t>
      </w:r>
    </w:p>
    <w:p w14:paraId="79F4C7CF" w14:textId="3EA25C64" w:rsidR="000C2D6E" w:rsidRPr="000C2D6E" w:rsidRDefault="000C2D6E" w:rsidP="00AA059D">
      <w:pPr>
        <w:pStyle w:val="ListParagraph"/>
        <w:ind w:left="360"/>
        <w:jc w:val="both"/>
        <w:rPr>
          <w:sz w:val="23"/>
          <w:szCs w:val="23"/>
        </w:rPr>
      </w:pPr>
    </w:p>
    <w:p w14:paraId="5862851E" w14:textId="1136C2D4" w:rsidR="00222A40"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F</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5699A384" w14:textId="407ACE02" w:rsidR="00222A40" w:rsidRDefault="00C715F9" w:rsidP="00AA059D">
      <w:pPr>
        <w:pStyle w:val="ListParagraph"/>
        <w:numPr>
          <w:ilvl w:val="0"/>
          <w:numId w:val="9"/>
        </w:numPr>
        <w:ind w:left="720"/>
        <w:jc w:val="both"/>
        <w:rPr>
          <w:sz w:val="23"/>
          <w:szCs w:val="23"/>
        </w:rPr>
      </w:pPr>
      <w:r>
        <w:rPr>
          <w:sz w:val="23"/>
          <w:szCs w:val="23"/>
        </w:rPr>
        <w:t>Annual renewal of a conditional use permit for a bed and breakfast located at 149 Sunset Ave – Lundell Family Farm/Christer Lundell.</w:t>
      </w:r>
    </w:p>
    <w:p w14:paraId="18B70656" w14:textId="58D88BDD" w:rsidR="00C715F9" w:rsidRDefault="00C715F9" w:rsidP="00AA059D">
      <w:pPr>
        <w:pStyle w:val="ListParagraph"/>
        <w:numPr>
          <w:ilvl w:val="0"/>
          <w:numId w:val="9"/>
        </w:numPr>
        <w:ind w:left="720"/>
        <w:jc w:val="both"/>
        <w:rPr>
          <w:sz w:val="23"/>
          <w:szCs w:val="23"/>
        </w:rPr>
      </w:pPr>
      <w:r>
        <w:rPr>
          <w:sz w:val="23"/>
          <w:szCs w:val="23"/>
        </w:rPr>
        <w:t>Annual renewal of a conditional use permit for a bed and breakfast located at 1225 South Westfield Rd – Millers High Desert Hideaway/Lee Miller.</w:t>
      </w:r>
    </w:p>
    <w:p w14:paraId="69F78C91" w14:textId="3FDC980D" w:rsidR="00C715F9" w:rsidRDefault="00C715F9" w:rsidP="00AA059D">
      <w:pPr>
        <w:pStyle w:val="ListParagraph"/>
        <w:numPr>
          <w:ilvl w:val="0"/>
          <w:numId w:val="9"/>
        </w:numPr>
        <w:ind w:left="720"/>
        <w:jc w:val="both"/>
        <w:rPr>
          <w:sz w:val="23"/>
          <w:szCs w:val="23"/>
        </w:rPr>
      </w:pPr>
      <w:r>
        <w:rPr>
          <w:sz w:val="23"/>
          <w:szCs w:val="23"/>
        </w:rPr>
        <w:t>Annual renewal of a conditional use permit for a bed and breakfast located at 460 N Toquer Blvd – The Young Home B&amp;B/Gary &amp; Karlene Young.</w:t>
      </w:r>
    </w:p>
    <w:p w14:paraId="4F10FA1A" w14:textId="77777777" w:rsidR="00C715F9" w:rsidRDefault="00C715F9" w:rsidP="00C715F9">
      <w:pPr>
        <w:pStyle w:val="ListParagraph"/>
        <w:jc w:val="both"/>
        <w:rPr>
          <w:sz w:val="23"/>
          <w:szCs w:val="23"/>
        </w:rPr>
      </w:pPr>
    </w:p>
    <w:p w14:paraId="59579135" w14:textId="07816DA1" w:rsidR="00C715F9" w:rsidRDefault="0014461E" w:rsidP="00C715F9">
      <w:pPr>
        <w:pStyle w:val="ListParagraph"/>
        <w:jc w:val="both"/>
        <w:rPr>
          <w:sz w:val="23"/>
          <w:szCs w:val="23"/>
        </w:rPr>
      </w:pPr>
      <w:r>
        <w:rPr>
          <w:b/>
          <w:bCs/>
          <w:i/>
          <w:iCs/>
          <w:sz w:val="23"/>
          <w:szCs w:val="23"/>
        </w:rPr>
        <w:lastRenderedPageBreak/>
        <w:t xml:space="preserve">Commissioner </w:t>
      </w:r>
      <w:r>
        <w:rPr>
          <w:b/>
          <w:bCs/>
          <w:i/>
          <w:iCs/>
          <w:sz w:val="23"/>
          <w:szCs w:val="23"/>
        </w:rPr>
        <w:t>Dan Catlin</w:t>
      </w:r>
      <w:r w:rsidRPr="0076360D">
        <w:rPr>
          <w:b/>
          <w:bCs/>
          <w:i/>
          <w:iCs/>
          <w:sz w:val="23"/>
          <w:szCs w:val="23"/>
        </w:rPr>
        <w:t xml:space="preserve"> moved to </w:t>
      </w:r>
      <w:r>
        <w:rPr>
          <w:b/>
          <w:bCs/>
          <w:i/>
          <w:iCs/>
          <w:sz w:val="23"/>
          <w:szCs w:val="23"/>
        </w:rPr>
        <w:t>recommend the annual renewals of Business items 1-3</w:t>
      </w:r>
      <w:r>
        <w:rPr>
          <w:b/>
          <w:bCs/>
          <w:i/>
          <w:iCs/>
          <w:sz w:val="23"/>
          <w:szCs w:val="23"/>
        </w:rPr>
        <w:t xml:space="preserve">. Commissioner </w:t>
      </w:r>
      <w:r>
        <w:rPr>
          <w:b/>
          <w:bCs/>
          <w:i/>
          <w:iCs/>
          <w:sz w:val="23"/>
          <w:szCs w:val="23"/>
        </w:rPr>
        <w:t>Joey Campbell</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p>
    <w:p w14:paraId="0F6A8F53" w14:textId="77777777" w:rsidR="00C715F9" w:rsidRDefault="00C715F9" w:rsidP="00C715F9">
      <w:pPr>
        <w:pStyle w:val="ListParagraph"/>
        <w:jc w:val="both"/>
        <w:rPr>
          <w:sz w:val="23"/>
          <w:szCs w:val="23"/>
        </w:rPr>
      </w:pPr>
    </w:p>
    <w:p w14:paraId="43055D64" w14:textId="6BAFBB99" w:rsidR="00C715F9" w:rsidRPr="00222A40" w:rsidRDefault="00C715F9" w:rsidP="00AA059D">
      <w:pPr>
        <w:pStyle w:val="ListParagraph"/>
        <w:numPr>
          <w:ilvl w:val="0"/>
          <w:numId w:val="9"/>
        </w:numPr>
        <w:ind w:left="720"/>
        <w:jc w:val="both"/>
        <w:rPr>
          <w:sz w:val="23"/>
          <w:szCs w:val="23"/>
        </w:rPr>
      </w:pPr>
      <w:r>
        <w:rPr>
          <w:sz w:val="23"/>
          <w:szCs w:val="23"/>
        </w:rPr>
        <w:t>Discussion and possible recommendation on Ordinance 2020.XX Commercial Design Standards – an ordinance creating additional design standards applicable to only commercial developments within the corporate limits of Toquerville City.</w:t>
      </w:r>
    </w:p>
    <w:p w14:paraId="5F22F411" w14:textId="77777777" w:rsidR="00222A40" w:rsidRPr="000C2D6E" w:rsidRDefault="00222A40" w:rsidP="00AA059D">
      <w:pPr>
        <w:pStyle w:val="ListParagraph"/>
        <w:ind w:left="360"/>
        <w:jc w:val="both"/>
        <w:rPr>
          <w:sz w:val="23"/>
          <w:szCs w:val="23"/>
        </w:rPr>
      </w:pPr>
    </w:p>
    <w:p w14:paraId="5FC50CD4" w14:textId="0C616590" w:rsidR="00702A71" w:rsidRDefault="009C11E5" w:rsidP="005C742B">
      <w:pPr>
        <w:pStyle w:val="ListParagraph"/>
        <w:jc w:val="both"/>
        <w:rPr>
          <w:sz w:val="23"/>
          <w:szCs w:val="23"/>
        </w:rPr>
      </w:pPr>
      <w:r>
        <w:rPr>
          <w:sz w:val="23"/>
          <w:szCs w:val="23"/>
        </w:rPr>
        <w:t xml:space="preserve">The </w:t>
      </w:r>
      <w:r w:rsidR="000F3EC4">
        <w:rPr>
          <w:sz w:val="23"/>
          <w:szCs w:val="23"/>
        </w:rPr>
        <w:t xml:space="preserve">Commissioners discussed the draft of the commercial design standards, the markups that have been made, who could review </w:t>
      </w:r>
      <w:r w:rsidR="00542B44">
        <w:rPr>
          <w:sz w:val="23"/>
          <w:szCs w:val="23"/>
        </w:rPr>
        <w:t xml:space="preserve">and approve </w:t>
      </w:r>
      <w:r w:rsidR="000F3EC4">
        <w:rPr>
          <w:sz w:val="23"/>
          <w:szCs w:val="23"/>
        </w:rPr>
        <w:t xml:space="preserve">the project guidelines, and designating a member of the Planning Commission to do the </w:t>
      </w:r>
      <w:r w:rsidR="00C63EBD">
        <w:rPr>
          <w:sz w:val="23"/>
          <w:szCs w:val="23"/>
        </w:rPr>
        <w:t>review</w:t>
      </w:r>
      <w:r w:rsidR="00542B44">
        <w:rPr>
          <w:sz w:val="23"/>
          <w:szCs w:val="23"/>
        </w:rPr>
        <w:t xml:space="preserve"> and approval</w:t>
      </w:r>
      <w:r w:rsidR="00C63EBD">
        <w:rPr>
          <w:sz w:val="23"/>
          <w:szCs w:val="23"/>
        </w:rPr>
        <w:t xml:space="preserve">. </w:t>
      </w:r>
    </w:p>
    <w:p w14:paraId="3FF21F9B" w14:textId="77777777" w:rsidR="00702A71" w:rsidRDefault="00702A71" w:rsidP="005C742B">
      <w:pPr>
        <w:pStyle w:val="ListParagraph"/>
        <w:jc w:val="both"/>
        <w:rPr>
          <w:sz w:val="23"/>
          <w:szCs w:val="23"/>
        </w:rPr>
      </w:pPr>
    </w:p>
    <w:p w14:paraId="682349FC" w14:textId="20B2DD06" w:rsidR="00702A71" w:rsidRDefault="00702A71" w:rsidP="00677A9F">
      <w:pPr>
        <w:pStyle w:val="ListParagraph"/>
        <w:jc w:val="both"/>
        <w:rPr>
          <w:b/>
          <w:i/>
          <w:sz w:val="23"/>
          <w:szCs w:val="23"/>
        </w:rPr>
      </w:pPr>
      <w:r>
        <w:rPr>
          <w:b/>
          <w:i/>
          <w:sz w:val="23"/>
          <w:szCs w:val="23"/>
        </w:rPr>
        <w:t xml:space="preserve">Commissioner Joey Campbell moved to recommend approval to the City Council </w:t>
      </w:r>
      <w:r w:rsidR="00C63EBD">
        <w:rPr>
          <w:b/>
          <w:i/>
          <w:sz w:val="23"/>
          <w:szCs w:val="23"/>
        </w:rPr>
        <w:t>of Ordinance 2020.XX Commercial Design Standards with stated changes</w:t>
      </w:r>
      <w:r>
        <w:rPr>
          <w:b/>
          <w:i/>
          <w:sz w:val="23"/>
          <w:szCs w:val="23"/>
        </w:rPr>
        <w:t>.  Motion was seconde</w:t>
      </w:r>
      <w:r w:rsidR="00C63EBD">
        <w:rPr>
          <w:b/>
          <w:i/>
          <w:sz w:val="23"/>
          <w:szCs w:val="23"/>
        </w:rPr>
        <w:t>d by Commissioner Greg Turner</w:t>
      </w:r>
      <w:r>
        <w:rPr>
          <w:b/>
          <w:i/>
          <w:sz w:val="23"/>
          <w:szCs w:val="23"/>
        </w:rPr>
        <w:t>.  Motion unanimously carried 5-0.  C</w:t>
      </w:r>
      <w:r w:rsidR="00FE1858">
        <w:rPr>
          <w:b/>
          <w:i/>
          <w:sz w:val="23"/>
          <w:szCs w:val="23"/>
        </w:rPr>
        <w:t>ommission Vote:  Greg Turner – aye, Rebecca Hansen – aye,</w:t>
      </w:r>
      <w:r>
        <w:rPr>
          <w:b/>
          <w:i/>
          <w:sz w:val="23"/>
          <w:szCs w:val="23"/>
        </w:rPr>
        <w:t xml:space="preserve"> </w:t>
      </w:r>
      <w:r w:rsidR="00FE1858">
        <w:rPr>
          <w:b/>
          <w:i/>
          <w:sz w:val="23"/>
          <w:szCs w:val="23"/>
        </w:rPr>
        <w:t xml:space="preserve">Dan Catlin – aye, Manning Butterworth – aye, Joey Campbell – aye. </w:t>
      </w:r>
    </w:p>
    <w:p w14:paraId="4A7CB688" w14:textId="77777777" w:rsidR="00702A71" w:rsidRPr="00702A71" w:rsidRDefault="00702A71" w:rsidP="00AA059D">
      <w:pPr>
        <w:pStyle w:val="ListParagraph"/>
        <w:ind w:left="360"/>
        <w:jc w:val="both"/>
        <w:rPr>
          <w:b/>
          <w:i/>
          <w:sz w:val="23"/>
          <w:szCs w:val="23"/>
        </w:rPr>
      </w:pPr>
    </w:p>
    <w:p w14:paraId="0B219656" w14:textId="77380341" w:rsidR="001B7948" w:rsidRDefault="00764A1F" w:rsidP="00AA059D">
      <w:pPr>
        <w:pStyle w:val="BodyText"/>
        <w:spacing w:after="0"/>
        <w:ind w:left="360" w:hanging="360"/>
        <w:rPr>
          <w:b/>
          <w:sz w:val="23"/>
          <w:szCs w:val="23"/>
        </w:rPr>
      </w:pPr>
      <w:r>
        <w:rPr>
          <w:b/>
          <w:sz w:val="23"/>
          <w:szCs w:val="23"/>
        </w:rPr>
        <w:t>G</w:t>
      </w:r>
      <w:r w:rsidR="001B7948">
        <w:rPr>
          <w:b/>
          <w:sz w:val="23"/>
          <w:szCs w:val="23"/>
        </w:rPr>
        <w:t xml:space="preserve">. </w:t>
      </w:r>
      <w:r w:rsidR="00AA059D">
        <w:rPr>
          <w:b/>
          <w:sz w:val="23"/>
          <w:szCs w:val="23"/>
        </w:rPr>
        <w:tab/>
      </w:r>
      <w:r>
        <w:rPr>
          <w:b/>
          <w:sz w:val="23"/>
          <w:szCs w:val="23"/>
        </w:rPr>
        <w:t>DISCUSSION ITEM(S)</w:t>
      </w:r>
      <w:r w:rsidR="001B7948">
        <w:rPr>
          <w:b/>
          <w:sz w:val="23"/>
          <w:szCs w:val="23"/>
        </w:rPr>
        <w:t>:</w:t>
      </w:r>
    </w:p>
    <w:p w14:paraId="2291074F" w14:textId="77777777" w:rsidR="001B7948" w:rsidRDefault="001B7948" w:rsidP="00AA059D">
      <w:pPr>
        <w:tabs>
          <w:tab w:val="left" w:pos="360"/>
        </w:tabs>
        <w:spacing w:after="0" w:line="240" w:lineRule="auto"/>
        <w:textAlignment w:val="baseline"/>
        <w:rPr>
          <w:rFonts w:ascii="Times New Roman" w:eastAsia="Times New Roman" w:hAnsi="Times New Roman" w:cs="Times New Roman"/>
          <w:color w:val="000000"/>
          <w:sz w:val="10"/>
          <w:szCs w:val="10"/>
        </w:rPr>
      </w:pPr>
    </w:p>
    <w:p w14:paraId="7CA10343" w14:textId="7D8B6009" w:rsidR="00806733" w:rsidRDefault="008840A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w:t>
      </w:r>
      <w:r w:rsidR="00C63EBD">
        <w:rPr>
          <w:rFonts w:ascii="Times New Roman" w:eastAsia="Times New Roman" w:hAnsi="Times New Roman" w:cs="Times New Roman"/>
          <w:color w:val="000000"/>
          <w:sz w:val="23"/>
          <w:szCs w:val="23"/>
        </w:rPr>
        <w:t>ORD.2020.XX Title 15C-6B MPDO density bonus calculations.</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0A9462D1" w:rsidR="00806733" w:rsidRDefault="00C63EBD"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Commissioner Hansen referenced an example of density bonus calculations from a neighboring city. T</w:t>
      </w:r>
      <w:r w:rsidR="00191233">
        <w:rPr>
          <w:rFonts w:ascii="Times New Roman" w:eastAsia="Times New Roman" w:hAnsi="Times New Roman" w:cs="Times New Roman"/>
          <w:color w:val="000000"/>
          <w:sz w:val="23"/>
          <w:szCs w:val="23"/>
        </w:rPr>
        <w:t>his example starts with a one-</w:t>
      </w:r>
      <w:r>
        <w:rPr>
          <w:rFonts w:ascii="Times New Roman" w:eastAsia="Times New Roman" w:hAnsi="Times New Roman" w:cs="Times New Roman"/>
          <w:color w:val="000000"/>
          <w:sz w:val="23"/>
          <w:szCs w:val="23"/>
        </w:rPr>
        <w:t xml:space="preserve">acre zone and has an absolute minimum lot size of 6,000 sq. ft. After discussing the information presented, Zoning Official Mike Vercimak concluded this particular example doesn’t apply to MPDOs, which is the topic up for discussion. The Commissioners discussed different calculations, how to track the used bonuses, </w:t>
      </w:r>
      <w:r w:rsidR="00677A9F">
        <w:rPr>
          <w:rFonts w:ascii="Times New Roman" w:eastAsia="Times New Roman" w:hAnsi="Times New Roman" w:cs="Times New Roman"/>
          <w:color w:val="000000"/>
          <w:sz w:val="23"/>
          <w:szCs w:val="23"/>
        </w:rPr>
        <w:t xml:space="preserve">the expectations and the direction </w:t>
      </w:r>
      <w:r w:rsidR="00E21AF2">
        <w:rPr>
          <w:rFonts w:ascii="Times New Roman" w:eastAsia="Times New Roman" w:hAnsi="Times New Roman" w:cs="Times New Roman"/>
          <w:color w:val="000000"/>
          <w:sz w:val="23"/>
          <w:szCs w:val="23"/>
        </w:rPr>
        <w:t>given by</w:t>
      </w:r>
      <w:bookmarkStart w:id="0" w:name="_GoBack"/>
      <w:bookmarkEnd w:id="0"/>
      <w:r w:rsidR="00677A9F">
        <w:rPr>
          <w:rFonts w:ascii="Times New Roman" w:eastAsia="Times New Roman" w:hAnsi="Times New Roman" w:cs="Times New Roman"/>
          <w:color w:val="000000"/>
          <w:sz w:val="23"/>
          <w:szCs w:val="23"/>
        </w:rPr>
        <w:t xml:space="preserve"> the City Council, </w:t>
      </w:r>
      <w:r>
        <w:rPr>
          <w:rFonts w:ascii="Times New Roman" w:eastAsia="Times New Roman" w:hAnsi="Times New Roman" w:cs="Times New Roman"/>
          <w:color w:val="000000"/>
          <w:sz w:val="23"/>
          <w:szCs w:val="23"/>
        </w:rPr>
        <w:t xml:space="preserve">and simplifying the bonus calculations. </w:t>
      </w:r>
    </w:p>
    <w:p w14:paraId="5DD7BCB0" w14:textId="77777777" w:rsidR="00806733" w:rsidRPr="00283CC4"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2D283635" w14:textId="39CDD27B" w:rsidR="001B7948" w:rsidRDefault="00764A1F" w:rsidP="00AA059D">
      <w:pPr>
        <w:pStyle w:val="BodyText"/>
        <w:spacing w:after="0"/>
        <w:ind w:left="360" w:right="36" w:hanging="360"/>
        <w:rPr>
          <w:b/>
          <w:sz w:val="23"/>
          <w:szCs w:val="23"/>
        </w:rPr>
      </w:pPr>
      <w:r>
        <w:rPr>
          <w:b/>
          <w:sz w:val="23"/>
          <w:szCs w:val="23"/>
        </w:rPr>
        <w:t>H</w:t>
      </w:r>
      <w:r w:rsidR="001B7948">
        <w:rPr>
          <w:b/>
          <w:sz w:val="23"/>
          <w:szCs w:val="23"/>
        </w:rPr>
        <w:t xml:space="preserve">. </w:t>
      </w:r>
      <w:r w:rsidR="00AA059D">
        <w:rPr>
          <w:b/>
          <w:sz w:val="23"/>
          <w:szCs w:val="23"/>
        </w:rPr>
        <w:tab/>
      </w:r>
      <w:r w:rsidR="001B7948">
        <w:rPr>
          <w:b/>
          <w:sz w:val="23"/>
          <w:szCs w:val="23"/>
        </w:rPr>
        <w:t>ADJOURN:</w:t>
      </w:r>
    </w:p>
    <w:p w14:paraId="5A68904B" w14:textId="1E71D22C" w:rsidR="00AD1DEB" w:rsidRDefault="00AD1DEB" w:rsidP="00AA059D">
      <w:pPr>
        <w:pStyle w:val="BodyText"/>
        <w:spacing w:after="0"/>
        <w:ind w:left="360" w:right="36"/>
        <w:rPr>
          <w:bCs/>
          <w:sz w:val="23"/>
          <w:szCs w:val="23"/>
        </w:rPr>
      </w:pPr>
      <w:r w:rsidRPr="00AD1DEB">
        <w:rPr>
          <w:bCs/>
          <w:sz w:val="23"/>
          <w:szCs w:val="23"/>
        </w:rPr>
        <w:t>Chairman Butterworth adjourned the meeting at</w:t>
      </w:r>
      <w:r w:rsidR="00AA059D">
        <w:rPr>
          <w:bCs/>
          <w:sz w:val="23"/>
          <w:szCs w:val="23"/>
        </w:rPr>
        <w:t xml:space="preserve"> </w:t>
      </w:r>
      <w:r w:rsidR="00677A9F">
        <w:rPr>
          <w:bCs/>
          <w:sz w:val="23"/>
          <w:szCs w:val="23"/>
        </w:rPr>
        <w:t>7:45 p.m.</w:t>
      </w:r>
    </w:p>
    <w:p w14:paraId="15C0BF26" w14:textId="77777777" w:rsidR="00677A9F" w:rsidRDefault="00677A9F" w:rsidP="00AA059D">
      <w:pPr>
        <w:pStyle w:val="BodyText"/>
        <w:spacing w:after="0"/>
        <w:ind w:left="360" w:right="36"/>
        <w:rPr>
          <w:bCs/>
          <w:sz w:val="23"/>
          <w:szCs w:val="23"/>
        </w:rPr>
      </w:pPr>
    </w:p>
    <w:p w14:paraId="798FBFC5" w14:textId="023FEBA4" w:rsidR="00677A9F" w:rsidRDefault="00677A9F" w:rsidP="003D5100">
      <w:pPr>
        <w:pStyle w:val="ListParagraph"/>
        <w:ind w:left="360"/>
        <w:jc w:val="both"/>
        <w:rPr>
          <w:b/>
          <w:i/>
          <w:sz w:val="23"/>
          <w:szCs w:val="23"/>
        </w:rPr>
      </w:pPr>
      <w:r>
        <w:rPr>
          <w:b/>
          <w:i/>
          <w:sz w:val="23"/>
          <w:szCs w:val="23"/>
        </w:rPr>
        <w:t xml:space="preserve">Commissioner </w:t>
      </w:r>
      <w:r>
        <w:rPr>
          <w:b/>
          <w:i/>
          <w:sz w:val="23"/>
          <w:szCs w:val="23"/>
        </w:rPr>
        <w:t>Dan Catlin</w:t>
      </w:r>
      <w:r>
        <w:rPr>
          <w:b/>
          <w:i/>
          <w:sz w:val="23"/>
          <w:szCs w:val="23"/>
        </w:rPr>
        <w:t xml:space="preserve"> moved to </w:t>
      </w:r>
      <w:r>
        <w:rPr>
          <w:b/>
          <w:i/>
          <w:sz w:val="23"/>
          <w:szCs w:val="23"/>
        </w:rPr>
        <w:t>adjourn the meeting</w:t>
      </w:r>
      <w:r>
        <w:rPr>
          <w:b/>
          <w:i/>
          <w:sz w:val="23"/>
          <w:szCs w:val="23"/>
        </w:rPr>
        <w:t xml:space="preserve">.  Motion was seconded by Commissioner </w:t>
      </w:r>
      <w:r>
        <w:rPr>
          <w:b/>
          <w:i/>
          <w:sz w:val="23"/>
          <w:szCs w:val="23"/>
        </w:rPr>
        <w:t>Joey Campbell</w:t>
      </w:r>
      <w:r>
        <w:rPr>
          <w:b/>
          <w:i/>
          <w:sz w:val="23"/>
          <w:szCs w:val="23"/>
        </w:rPr>
        <w:t xml:space="preserve">.  Motion unanimously carried 5-0.  Commission Vote:  Greg Turner – aye, Rebecca Hansen – aye, Dan Catlin – aye, Manning Butterworth – aye, Joey Campbell – aye. </w:t>
      </w:r>
    </w:p>
    <w:p w14:paraId="0F98B2C3" w14:textId="77777777" w:rsidR="00677A9F" w:rsidRPr="00AD1DEB" w:rsidRDefault="00677A9F" w:rsidP="00AA059D">
      <w:pPr>
        <w:pStyle w:val="BodyText"/>
        <w:spacing w:after="0"/>
        <w:ind w:left="360" w:right="36"/>
        <w:rPr>
          <w:bCs/>
          <w:sz w:val="23"/>
          <w:szCs w:val="23"/>
        </w:rPr>
      </w:pPr>
    </w:p>
    <w:p w14:paraId="7799EE0A" w14:textId="7F477F22" w:rsidR="00AD1DEB" w:rsidRDefault="00AD1DEB" w:rsidP="00AA059D">
      <w:pPr>
        <w:pStyle w:val="BodyText"/>
        <w:spacing w:after="0"/>
        <w:ind w:right="36"/>
        <w:rPr>
          <w:b/>
          <w:sz w:val="23"/>
          <w:szCs w:val="23"/>
        </w:rPr>
      </w:pPr>
    </w:p>
    <w:p w14:paraId="74E52A2B" w14:textId="77777777" w:rsidR="00DD3AFC" w:rsidRDefault="00DD3AFC"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7777777" w:rsidR="00AD1DEB" w:rsidRDefault="00AD1DEB" w:rsidP="00AA059D">
      <w:pPr>
        <w:pStyle w:val="BodyText"/>
        <w:spacing w:after="0"/>
        <w:rPr>
          <w:sz w:val="23"/>
          <w:szCs w:val="23"/>
        </w:rPr>
      </w:pPr>
      <w:r>
        <w:rPr>
          <w:sz w:val="23"/>
          <w:szCs w:val="23"/>
        </w:rPr>
        <w:t>________________________________________________</w:t>
      </w:r>
      <w:r>
        <w:rPr>
          <w:sz w:val="23"/>
          <w:szCs w:val="23"/>
        </w:rPr>
        <w:tab/>
        <w:t>______________________</w:t>
      </w:r>
    </w:p>
    <w:p w14:paraId="73525252" w14:textId="77777777" w:rsidR="00AD1DEB" w:rsidRDefault="00AD1DEB" w:rsidP="00AA059D">
      <w:pPr>
        <w:pStyle w:val="BodyText"/>
        <w:spacing w:after="0"/>
        <w:rPr>
          <w:sz w:val="23"/>
          <w:szCs w:val="23"/>
        </w:rPr>
      </w:pPr>
      <w:r>
        <w:rPr>
          <w:sz w:val="23"/>
          <w:szCs w:val="23"/>
        </w:rPr>
        <w:t>Planning Chair – Manning Butterworth</w:t>
      </w:r>
      <w:r>
        <w:rPr>
          <w:sz w:val="23"/>
          <w:szCs w:val="23"/>
        </w:rPr>
        <w:tab/>
      </w:r>
      <w:r>
        <w:rPr>
          <w:sz w:val="23"/>
          <w:szCs w:val="23"/>
        </w:rPr>
        <w:tab/>
      </w:r>
      <w:r>
        <w:rPr>
          <w:sz w:val="23"/>
          <w:szCs w:val="23"/>
        </w:rPr>
        <w:tab/>
      </w:r>
      <w:r>
        <w:rPr>
          <w:sz w:val="23"/>
          <w:szCs w:val="23"/>
        </w:rPr>
        <w:tab/>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77777777" w:rsidR="00AD1DEB" w:rsidRDefault="00AD1DEB" w:rsidP="00AA059D">
      <w:pPr>
        <w:pStyle w:val="BodyText"/>
        <w:spacing w:after="0"/>
        <w:rPr>
          <w:sz w:val="23"/>
          <w:szCs w:val="23"/>
        </w:rPr>
      </w:pPr>
      <w:r>
        <w:rPr>
          <w:sz w:val="23"/>
          <w:szCs w:val="23"/>
        </w:rPr>
        <w:t>________________________________________________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p w14:paraId="47514478" w14:textId="77777777" w:rsidR="00AD1DEB" w:rsidRDefault="00AD1DEB" w:rsidP="00AA059D">
      <w:pPr>
        <w:pStyle w:val="BodyText"/>
        <w:spacing w:after="0"/>
        <w:ind w:right="36"/>
        <w:rPr>
          <w:b/>
          <w:sz w:val="23"/>
          <w:szCs w:val="23"/>
        </w:rPr>
      </w:pPr>
    </w:p>
    <w:sectPr w:rsidR="00AD1DEB" w:rsidSect="00AA059D">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DA89" w14:textId="77777777" w:rsidR="00E65A56" w:rsidRDefault="00E65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3BBD" w14:textId="41615BF1" w:rsidR="00F93BFA" w:rsidRPr="00F93BFA" w:rsidRDefault="00C715F9" w:rsidP="00F93BFA">
    <w:pPr>
      <w:pStyle w:val="Footer"/>
      <w:rPr>
        <w:rFonts w:ascii="Book Antiqua" w:hAnsi="Book Antiqua"/>
        <w:i/>
        <w:sz w:val="20"/>
        <w:szCs w:val="20"/>
      </w:rPr>
    </w:pPr>
    <w:r>
      <w:rPr>
        <w:rFonts w:ascii="Book Antiqua" w:hAnsi="Book Antiqua"/>
        <w:i/>
        <w:sz w:val="20"/>
        <w:szCs w:val="20"/>
      </w:rPr>
      <w:t>8-19</w:t>
    </w:r>
    <w:r w:rsidR="008840A9">
      <w:rPr>
        <w:rFonts w:ascii="Book Antiqua" w:hAnsi="Book Antiqua"/>
        <w:i/>
        <w:sz w:val="20"/>
        <w:szCs w:val="20"/>
      </w:rPr>
      <w:t>-2020</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E21AF2">
              <w:rPr>
                <w:rFonts w:ascii="Book Antiqua" w:hAnsi="Book Antiqua"/>
                <w:b/>
                <w:bCs/>
                <w:i/>
                <w:noProof/>
                <w:sz w:val="20"/>
                <w:szCs w:val="20"/>
              </w:rPr>
              <w:t>2</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E21AF2">
              <w:rPr>
                <w:rFonts w:ascii="Book Antiqua" w:hAnsi="Book Antiqua"/>
                <w:b/>
                <w:bCs/>
                <w:i/>
                <w:noProof/>
                <w:sz w:val="20"/>
                <w:szCs w:val="20"/>
              </w:rPr>
              <w:t>2</w:t>
            </w:r>
            <w:r w:rsidR="00F93BFA" w:rsidRPr="00F93BFA">
              <w:rPr>
                <w:rFonts w:ascii="Book Antiqua" w:hAnsi="Book Antiqua"/>
                <w:b/>
                <w:bCs/>
                <w:i/>
                <w:sz w:val="20"/>
                <w:szCs w:val="2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4731F" w14:textId="77777777" w:rsidR="00E65A56" w:rsidRDefault="00E65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34CB" w14:textId="77777777" w:rsidR="00E65A56" w:rsidRDefault="00E65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73690"/>
      <w:docPartObj>
        <w:docPartGallery w:val="Watermarks"/>
        <w:docPartUnique/>
      </w:docPartObj>
    </w:sdtPr>
    <w:sdtContent>
      <w:p w14:paraId="338F12F0" w14:textId="76F2AA20" w:rsidR="00E65A56" w:rsidRDefault="00E65A56">
        <w:pPr>
          <w:pStyle w:val="Header"/>
        </w:pPr>
        <w:r>
          <w:rPr>
            <w:noProof/>
            <w:lang w:eastAsia="zh-TW"/>
          </w:rPr>
          <w:pict w14:anchorId="06014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B35DA" w14:textId="77777777" w:rsidR="00E65A56" w:rsidRDefault="00E65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48"/>
    <w:rsid w:val="00013F46"/>
    <w:rsid w:val="00023B3D"/>
    <w:rsid w:val="00037A3C"/>
    <w:rsid w:val="0008072A"/>
    <w:rsid w:val="000A6F37"/>
    <w:rsid w:val="000C2D6E"/>
    <w:rsid w:val="000F3EC4"/>
    <w:rsid w:val="0012141F"/>
    <w:rsid w:val="0012206F"/>
    <w:rsid w:val="0012755C"/>
    <w:rsid w:val="0014033D"/>
    <w:rsid w:val="0014461E"/>
    <w:rsid w:val="00171090"/>
    <w:rsid w:val="00191233"/>
    <w:rsid w:val="001B10B9"/>
    <w:rsid w:val="001B7948"/>
    <w:rsid w:val="001E0318"/>
    <w:rsid w:val="0022033E"/>
    <w:rsid w:val="00222A40"/>
    <w:rsid w:val="00227EB4"/>
    <w:rsid w:val="00282568"/>
    <w:rsid w:val="00283CC4"/>
    <w:rsid w:val="002C4942"/>
    <w:rsid w:val="002D1208"/>
    <w:rsid w:val="002D2CB8"/>
    <w:rsid w:val="00322C06"/>
    <w:rsid w:val="00333181"/>
    <w:rsid w:val="003B67CD"/>
    <w:rsid w:val="003B69A7"/>
    <w:rsid w:val="003D5100"/>
    <w:rsid w:val="003F0002"/>
    <w:rsid w:val="00420E12"/>
    <w:rsid w:val="00430FF6"/>
    <w:rsid w:val="00441B0F"/>
    <w:rsid w:val="0044564A"/>
    <w:rsid w:val="00475D96"/>
    <w:rsid w:val="004B4E95"/>
    <w:rsid w:val="00542B44"/>
    <w:rsid w:val="00544FA7"/>
    <w:rsid w:val="00554688"/>
    <w:rsid w:val="005B5833"/>
    <w:rsid w:val="005C742B"/>
    <w:rsid w:val="005D2B98"/>
    <w:rsid w:val="005D3AE4"/>
    <w:rsid w:val="005E3CC9"/>
    <w:rsid w:val="005F0152"/>
    <w:rsid w:val="00665ACC"/>
    <w:rsid w:val="00677A9F"/>
    <w:rsid w:val="0068677A"/>
    <w:rsid w:val="006B2C4C"/>
    <w:rsid w:val="006B3EBB"/>
    <w:rsid w:val="006D1605"/>
    <w:rsid w:val="006E269B"/>
    <w:rsid w:val="006F5006"/>
    <w:rsid w:val="00702A71"/>
    <w:rsid w:val="00734797"/>
    <w:rsid w:val="0076360D"/>
    <w:rsid w:val="00764A1F"/>
    <w:rsid w:val="007A47D4"/>
    <w:rsid w:val="007B7D5D"/>
    <w:rsid w:val="007E3BE6"/>
    <w:rsid w:val="00806733"/>
    <w:rsid w:val="00810B67"/>
    <w:rsid w:val="00824F05"/>
    <w:rsid w:val="00832837"/>
    <w:rsid w:val="00863007"/>
    <w:rsid w:val="008840A9"/>
    <w:rsid w:val="008D6DC4"/>
    <w:rsid w:val="008E4043"/>
    <w:rsid w:val="0090763B"/>
    <w:rsid w:val="00922AA4"/>
    <w:rsid w:val="00963C1D"/>
    <w:rsid w:val="00970D1F"/>
    <w:rsid w:val="00977F1A"/>
    <w:rsid w:val="00990C24"/>
    <w:rsid w:val="00994CBA"/>
    <w:rsid w:val="009B24BA"/>
    <w:rsid w:val="009C11E5"/>
    <w:rsid w:val="009E4800"/>
    <w:rsid w:val="00A67340"/>
    <w:rsid w:val="00AA059D"/>
    <w:rsid w:val="00AD1DEB"/>
    <w:rsid w:val="00AD37B5"/>
    <w:rsid w:val="00B01681"/>
    <w:rsid w:val="00B01A45"/>
    <w:rsid w:val="00B1292D"/>
    <w:rsid w:val="00B60BFB"/>
    <w:rsid w:val="00B7106E"/>
    <w:rsid w:val="00B97A68"/>
    <w:rsid w:val="00BB2605"/>
    <w:rsid w:val="00BD0F9F"/>
    <w:rsid w:val="00C33F50"/>
    <w:rsid w:val="00C435F4"/>
    <w:rsid w:val="00C57501"/>
    <w:rsid w:val="00C60129"/>
    <w:rsid w:val="00C63EBD"/>
    <w:rsid w:val="00C715F9"/>
    <w:rsid w:val="00CA7629"/>
    <w:rsid w:val="00CE4BA4"/>
    <w:rsid w:val="00D10C87"/>
    <w:rsid w:val="00D40C34"/>
    <w:rsid w:val="00D45FD6"/>
    <w:rsid w:val="00D6203E"/>
    <w:rsid w:val="00DB2941"/>
    <w:rsid w:val="00DD21DD"/>
    <w:rsid w:val="00DD3AFC"/>
    <w:rsid w:val="00E0039C"/>
    <w:rsid w:val="00E2063C"/>
    <w:rsid w:val="00E21AF2"/>
    <w:rsid w:val="00E65A56"/>
    <w:rsid w:val="00E92555"/>
    <w:rsid w:val="00EA1853"/>
    <w:rsid w:val="00EB24EA"/>
    <w:rsid w:val="00EC1890"/>
    <w:rsid w:val="00EE44B1"/>
    <w:rsid w:val="00F71CA1"/>
    <w:rsid w:val="00F767F6"/>
    <w:rsid w:val="00F93BFA"/>
    <w:rsid w:val="00FA67DC"/>
    <w:rsid w:val="00FD739B"/>
    <w:rsid w:val="00FE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F80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9E1F-D028-4F93-8AC2-53DD3500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Recorder</cp:lastModifiedBy>
  <cp:revision>8</cp:revision>
  <cp:lastPrinted>2019-10-18T16:04:00Z</cp:lastPrinted>
  <dcterms:created xsi:type="dcterms:W3CDTF">2020-09-10T20:35:00Z</dcterms:created>
  <dcterms:modified xsi:type="dcterms:W3CDTF">2020-09-15T18:44:00Z</dcterms:modified>
</cp:coreProperties>
</file>