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9E1E" w14:textId="77777777" w:rsidR="00145B90" w:rsidRDefault="00145B90">
      <w:pPr>
        <w:rPr>
          <w:i/>
          <w:sz w:val="24"/>
          <w:szCs w:val="24"/>
        </w:rPr>
      </w:pPr>
      <w:bookmarkStart w:id="0" w:name="_GoBack"/>
      <w:bookmarkEnd w:id="0"/>
    </w:p>
    <w:tbl>
      <w:tblPr>
        <w:tblStyle w:val="aff6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45B90" w14:paraId="2113DD93" w14:textId="77777777">
        <w:trPr>
          <w:trHeight w:val="405"/>
        </w:trPr>
        <w:tc>
          <w:tcPr>
            <w:tcW w:w="10790" w:type="dxa"/>
            <w:shd w:val="clear" w:color="auto" w:fill="5B9BD5"/>
          </w:tcPr>
          <w:p w14:paraId="3475AA52" w14:textId="77777777" w:rsidR="00145B90" w:rsidRDefault="005735C6">
            <w:pPr>
              <w:jc w:val="center"/>
              <w:rPr>
                <w:b/>
                <w:i/>
                <w:color w:val="4472C4"/>
                <w:sz w:val="32"/>
                <w:szCs w:val="32"/>
                <w:u w:val="single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EARLY LITERACY PLAN 2020-2021</w:t>
            </w:r>
          </w:p>
        </w:tc>
      </w:tr>
    </w:tbl>
    <w:p w14:paraId="12282111" w14:textId="77777777" w:rsidR="00145B90" w:rsidRDefault="00145B90">
      <w:pPr>
        <w:rPr>
          <w:b/>
          <w:i/>
          <w:color w:val="4472C4"/>
        </w:rPr>
      </w:pPr>
    </w:p>
    <w:tbl>
      <w:tblPr>
        <w:tblStyle w:val="aff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45B90" w14:paraId="341DD1F3" w14:textId="77777777">
        <w:trPr>
          <w:trHeight w:val="216"/>
        </w:trPr>
        <w:tc>
          <w:tcPr>
            <w:tcW w:w="10790" w:type="dxa"/>
          </w:tcPr>
          <w:p w14:paraId="28893E0A" w14:textId="77777777" w:rsidR="00145B90" w:rsidRDefault="00573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LEA Name: </w:t>
            </w:r>
            <w:r w:rsidR="00D40E3D">
              <w:rPr>
                <w:b/>
                <w:sz w:val="28"/>
                <w:szCs w:val="28"/>
              </w:rPr>
              <w:t>Juab District</w:t>
            </w:r>
          </w:p>
        </w:tc>
      </w:tr>
      <w:tr w:rsidR="00145B90" w14:paraId="26E6AE9D" w14:textId="77777777">
        <w:tc>
          <w:tcPr>
            <w:tcW w:w="10790" w:type="dxa"/>
          </w:tcPr>
          <w:p w14:paraId="770C1DF8" w14:textId="4FBEAF1E" w:rsidR="00145B90" w:rsidRDefault="00573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Expected Local Board Approval: </w:t>
            </w:r>
            <w:r w:rsidR="00D40E3D">
              <w:rPr>
                <w:b/>
                <w:sz w:val="28"/>
                <w:szCs w:val="28"/>
              </w:rPr>
              <w:t>July 17, 2020</w:t>
            </w:r>
            <w:r w:rsidR="00D23AFE">
              <w:rPr>
                <w:b/>
                <w:sz w:val="28"/>
                <w:szCs w:val="28"/>
              </w:rPr>
              <w:t xml:space="preserve"> or August 19, 2020 </w:t>
            </w:r>
          </w:p>
        </w:tc>
      </w:tr>
      <w:tr w:rsidR="00145B90" w14:paraId="648B960D" w14:textId="77777777">
        <w:tc>
          <w:tcPr>
            <w:tcW w:w="10790" w:type="dxa"/>
          </w:tcPr>
          <w:p w14:paraId="7AC59479" w14:textId="77777777" w:rsidR="00145B90" w:rsidRDefault="00573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Directions:</w:t>
            </w:r>
          </w:p>
          <w:p w14:paraId="08DDE530" w14:textId="77777777" w:rsidR="00145B90" w:rsidRDefault="005735C6">
            <w:pPr>
              <w:numPr>
                <w:ilvl w:val="0"/>
                <w:numId w:val="2"/>
              </w:num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Submission of an Early Literacy Plan (sections A and B) are required for each LEA regardless of applying for funding. </w:t>
            </w:r>
          </w:p>
          <w:p w14:paraId="43AE2666" w14:textId="77777777" w:rsidR="00145B90" w:rsidRDefault="005735C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Funds Being Applied for:</w:t>
            </w:r>
            <w:r>
              <w:rPr>
                <w:sz w:val="28"/>
                <w:szCs w:val="28"/>
              </w:rPr>
              <w:t xml:space="preserve"> </w:t>
            </w:r>
          </w:p>
          <w:p w14:paraId="0B03E73B" w14:textId="77777777" w:rsidR="00145B90" w:rsidRDefault="00EA6305">
            <w:pPr>
              <w:rPr>
                <w:b/>
                <w:sz w:val="28"/>
                <w:szCs w:val="28"/>
              </w:rPr>
            </w:pPr>
            <w:sdt>
              <w:sdtPr>
                <w:tag w:val="goog_rdk_0"/>
                <w:id w:val="-50857627"/>
              </w:sdtPr>
              <w:sdtEndPr/>
              <w:sdtContent>
                <w:r w:rsidR="00D40E3D">
                  <w:t>X</w:t>
                </w:r>
                <w:r w:rsidR="005735C6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  <w:r w:rsidR="005735C6">
              <w:rPr>
                <w:sz w:val="28"/>
                <w:szCs w:val="28"/>
              </w:rPr>
              <w:t xml:space="preserve"> </w:t>
            </w:r>
            <w:r w:rsidR="005735C6">
              <w:rPr>
                <w:b/>
                <w:sz w:val="28"/>
                <w:szCs w:val="28"/>
              </w:rPr>
              <w:t xml:space="preserve">Early Literacy Program Funds </w:t>
            </w:r>
          </w:p>
          <w:p w14:paraId="2FCA838C" w14:textId="2AA3FE4A" w:rsidR="00145B90" w:rsidRDefault="005735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  <w:u w:val="single"/>
              </w:rPr>
              <w:t>DISTRICT ONLY</w:t>
            </w:r>
            <w:r>
              <w:rPr>
                <w:b/>
                <w:sz w:val="28"/>
                <w:szCs w:val="28"/>
              </w:rPr>
              <w:t xml:space="preserve"> - Matching Funds:</w:t>
            </w:r>
            <w:r w:rsidR="00762DBC">
              <w:rPr>
                <w:b/>
                <w:sz w:val="28"/>
                <w:szCs w:val="28"/>
              </w:rPr>
              <w:t xml:space="preserve"> Board Local Levy</w:t>
            </w:r>
          </w:p>
          <w:p w14:paraId="072565C8" w14:textId="77777777" w:rsidR="00145B90" w:rsidRDefault="00EA6305">
            <w:pPr>
              <w:rPr>
                <w:b/>
                <w:sz w:val="28"/>
                <w:szCs w:val="28"/>
              </w:rPr>
            </w:pPr>
            <w:sdt>
              <w:sdtPr>
                <w:tag w:val="goog_rdk_1"/>
                <w:id w:val="-66499678"/>
              </w:sdtPr>
              <w:sdtEndPr/>
              <w:sdtContent>
                <w:r w:rsidR="005735C6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         ☐</w:t>
                </w:r>
                <w:r w:rsidR="003F3D30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X</w:t>
                </w:r>
              </w:sdtContent>
            </w:sdt>
            <w:r w:rsidR="005735C6">
              <w:rPr>
                <w:sz w:val="28"/>
                <w:szCs w:val="28"/>
              </w:rPr>
              <w:t xml:space="preserve"> </w:t>
            </w:r>
            <w:r w:rsidR="005735C6">
              <w:rPr>
                <w:b/>
                <w:sz w:val="28"/>
                <w:szCs w:val="28"/>
              </w:rPr>
              <w:t>Low Inc</w:t>
            </w:r>
            <w:r w:rsidR="003B30DB">
              <w:rPr>
                <w:b/>
                <w:sz w:val="28"/>
                <w:szCs w:val="28"/>
              </w:rPr>
              <w:t>ome Program - Amount Matching $ 64,216.52</w:t>
            </w:r>
          </w:p>
          <w:p w14:paraId="40BE6DEB" w14:textId="77777777" w:rsidR="00145B90" w:rsidRDefault="00EA6305">
            <w:pPr>
              <w:rPr>
                <w:i/>
                <w:sz w:val="28"/>
                <w:szCs w:val="28"/>
              </w:rPr>
            </w:pPr>
            <w:sdt>
              <w:sdtPr>
                <w:tag w:val="goog_rdk_2"/>
                <w:id w:val="-676735322"/>
              </w:sdtPr>
              <w:sdtEndPr/>
              <w:sdtContent>
                <w:r w:rsidR="005735C6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 xml:space="preserve">          ☐</w:t>
                </w:r>
                <w:r w:rsidR="003F3D30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X</w:t>
                </w:r>
              </w:sdtContent>
            </w:sdt>
            <w:r w:rsidR="005735C6">
              <w:rPr>
                <w:sz w:val="28"/>
                <w:szCs w:val="28"/>
              </w:rPr>
              <w:t xml:space="preserve"> </w:t>
            </w:r>
            <w:r w:rsidR="005735C6">
              <w:rPr>
                <w:b/>
                <w:sz w:val="28"/>
                <w:szCs w:val="28"/>
              </w:rPr>
              <w:t>Guarantee Program - Amount Matc</w:t>
            </w:r>
            <w:r w:rsidR="003B30DB">
              <w:rPr>
                <w:b/>
                <w:sz w:val="28"/>
                <w:szCs w:val="28"/>
              </w:rPr>
              <w:t>hing $ 55,325.00</w:t>
            </w:r>
          </w:p>
        </w:tc>
      </w:tr>
      <w:tr w:rsidR="00145B90" w14:paraId="6293B086" w14:textId="77777777">
        <w:tc>
          <w:tcPr>
            <w:tcW w:w="10790" w:type="dxa"/>
          </w:tcPr>
          <w:p w14:paraId="5A086E14" w14:textId="77777777" w:rsidR="00145B90" w:rsidRDefault="005735C6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Submission of Early Literacy Plan: </w:t>
            </w:r>
            <w:r>
              <w:rPr>
                <w:sz w:val="28"/>
                <w:szCs w:val="28"/>
              </w:rPr>
              <w:t xml:space="preserve">For plan pre-approval, submit to </w:t>
            </w:r>
            <w:hyperlink r:id="rId8">
              <w:r>
                <w:rPr>
                  <w:b/>
                  <w:i/>
                  <w:color w:val="0563C1"/>
                  <w:sz w:val="28"/>
                  <w:szCs w:val="28"/>
                  <w:u w:val="single"/>
                </w:rPr>
                <w:t>EarlyLearning20@schools.utah.gov</w:t>
              </w:r>
            </w:hyperlink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by July 17</w:t>
            </w:r>
            <w:r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For final approval, submit your plan and local board minutes in </w:t>
            </w:r>
            <w:hyperlink r:id="rId9">
              <w:r>
                <w:rPr>
                  <w:b/>
                  <w:color w:val="1155CC"/>
                  <w:sz w:val="28"/>
                  <w:szCs w:val="28"/>
                  <w:u w:val="single"/>
                </w:rPr>
                <w:t>https://utahgrants.utah.gov/</w:t>
              </w:r>
            </w:hyperlink>
            <w:r>
              <w:rPr>
                <w:b/>
                <w:sz w:val="28"/>
                <w:szCs w:val="28"/>
                <w:u w:val="single"/>
              </w:rPr>
              <w:t xml:space="preserve"> no later than September 1 by 5 p.m.</w:t>
            </w:r>
            <w:r>
              <w:rPr>
                <w:sz w:val="28"/>
                <w:szCs w:val="28"/>
              </w:rPr>
              <w:t xml:space="preserve"> Goals must be submitted into the Data Gateway - </w:t>
            </w:r>
            <w:hyperlink r:id="rId10">
              <w:r>
                <w:rPr>
                  <w:b/>
                  <w:color w:val="1155CC"/>
                  <w:sz w:val="28"/>
                  <w:szCs w:val="28"/>
                  <w:u w:val="single"/>
                </w:rPr>
                <w:t>https://datagateway.schools.utah.gov/</w:t>
              </w:r>
            </w:hyperlink>
          </w:p>
          <w:p w14:paraId="1073CAB0" w14:textId="77777777" w:rsidR="00145B90" w:rsidRDefault="00145B90">
            <w:pPr>
              <w:rPr>
                <w:b/>
                <w:sz w:val="28"/>
                <w:szCs w:val="28"/>
                <w:u w:val="single"/>
              </w:rPr>
            </w:pPr>
          </w:p>
          <w:p w14:paraId="4533781C" w14:textId="77777777" w:rsidR="00145B90" w:rsidRDefault="005735C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*Note - if applications are not concise, include excessive detail, or are too long, they will be sent back for consolidation prior to being reviewed. </w:t>
            </w:r>
          </w:p>
        </w:tc>
      </w:tr>
    </w:tbl>
    <w:p w14:paraId="56E7E32A" w14:textId="77777777" w:rsidR="00145B90" w:rsidRDefault="00145B90">
      <w:pPr>
        <w:rPr>
          <w:b/>
          <w:i/>
          <w:sz w:val="24"/>
          <w:szCs w:val="24"/>
        </w:rPr>
      </w:pPr>
    </w:p>
    <w:tbl>
      <w:tblPr>
        <w:tblStyle w:val="aff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45B90" w14:paraId="14731986" w14:textId="77777777">
        <w:tc>
          <w:tcPr>
            <w:tcW w:w="10790" w:type="dxa"/>
            <w:shd w:val="clear" w:color="auto" w:fill="5B9BD5"/>
          </w:tcPr>
          <w:p w14:paraId="19029DF9" w14:textId="77777777" w:rsidR="00145B90" w:rsidRDefault="005735C6">
            <w:pPr>
              <w:jc w:val="center"/>
              <w:rPr>
                <w:b/>
                <w:i/>
                <w:color w:val="4472C4"/>
                <w:sz w:val="32"/>
                <w:szCs w:val="32"/>
                <w:u w:val="single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SECTION A: EARLY LITERACY</w:t>
            </w:r>
          </w:p>
        </w:tc>
      </w:tr>
    </w:tbl>
    <w:p w14:paraId="1EA6E8C6" w14:textId="77777777" w:rsidR="00145B90" w:rsidRDefault="00145B9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43CA529" w14:textId="77777777" w:rsidR="00145B90" w:rsidRDefault="005735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Describe </w:t>
      </w:r>
      <w:r>
        <w:rPr>
          <w:b/>
          <w:color w:val="000000"/>
          <w:u w:val="single"/>
        </w:rPr>
        <w:t>core instruction</w:t>
      </w:r>
      <w:r>
        <w:rPr>
          <w:b/>
          <w:color w:val="000000"/>
        </w:rPr>
        <w:t xml:space="preserve"> in grades K-3 in the following areas: </w:t>
      </w:r>
    </w:p>
    <w:tbl>
      <w:tblPr>
        <w:tblStyle w:val="aff9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1236"/>
        <w:gridCol w:w="1355"/>
        <w:gridCol w:w="1096"/>
        <w:gridCol w:w="5266"/>
      </w:tblGrid>
      <w:tr w:rsidR="00145B90" w14:paraId="26EA308D" w14:textId="77777777">
        <w:tc>
          <w:tcPr>
            <w:tcW w:w="1662" w:type="dxa"/>
            <w:shd w:val="clear" w:color="auto" w:fill="D9E2F3"/>
            <w:vAlign w:val="center"/>
          </w:tcPr>
          <w:p w14:paraId="2598D656" w14:textId="77777777" w:rsidR="00145B90" w:rsidRDefault="005735C6">
            <w:pPr>
              <w:jc w:val="center"/>
              <w:rPr>
                <w:b/>
              </w:rPr>
            </w:pPr>
            <w:r>
              <w:rPr>
                <w:b/>
              </w:rPr>
              <w:t>Core Area</w:t>
            </w:r>
          </w:p>
        </w:tc>
        <w:tc>
          <w:tcPr>
            <w:tcW w:w="1236" w:type="dxa"/>
            <w:shd w:val="clear" w:color="auto" w:fill="D9E2F3"/>
            <w:vAlign w:val="center"/>
          </w:tcPr>
          <w:p w14:paraId="73635CCF" w14:textId="77777777" w:rsidR="00145B90" w:rsidRDefault="005735C6">
            <w:pPr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355" w:type="dxa"/>
            <w:shd w:val="clear" w:color="auto" w:fill="D9E2F3"/>
            <w:vAlign w:val="center"/>
          </w:tcPr>
          <w:p w14:paraId="45EC5A8C" w14:textId="77777777" w:rsidR="00145B90" w:rsidRDefault="005735C6">
            <w:pPr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096" w:type="dxa"/>
            <w:shd w:val="clear" w:color="auto" w:fill="D9E2F3"/>
            <w:vAlign w:val="center"/>
          </w:tcPr>
          <w:p w14:paraId="175A95B0" w14:textId="77777777" w:rsidR="00145B90" w:rsidRDefault="005735C6">
            <w:pPr>
              <w:jc w:val="center"/>
              <w:rPr>
                <w:b/>
              </w:rPr>
            </w:pPr>
            <w:r>
              <w:rPr>
                <w:b/>
              </w:rPr>
              <w:t>Grades</w:t>
            </w:r>
          </w:p>
        </w:tc>
        <w:tc>
          <w:tcPr>
            <w:tcW w:w="5266" w:type="dxa"/>
            <w:shd w:val="clear" w:color="auto" w:fill="D9E2F3"/>
            <w:vAlign w:val="center"/>
          </w:tcPr>
          <w:p w14:paraId="092D38D6" w14:textId="77777777" w:rsidR="00145B90" w:rsidRDefault="005735C6">
            <w:pPr>
              <w:jc w:val="center"/>
              <w:rPr>
                <w:b/>
              </w:rPr>
            </w:pPr>
            <w:r>
              <w:rPr>
                <w:b/>
              </w:rPr>
              <w:t>Evidence-based Curriculum/Strategies</w:t>
            </w:r>
          </w:p>
        </w:tc>
      </w:tr>
      <w:tr w:rsidR="00145B90" w14:paraId="7C91102E" w14:textId="77777777">
        <w:tc>
          <w:tcPr>
            <w:tcW w:w="1662" w:type="dxa"/>
          </w:tcPr>
          <w:p w14:paraId="01555DA7" w14:textId="77777777" w:rsidR="00145B90" w:rsidRDefault="005735C6">
            <w:pPr>
              <w:rPr>
                <w:b/>
              </w:rPr>
            </w:pPr>
            <w:r>
              <w:rPr>
                <w:b/>
              </w:rPr>
              <w:t>Phonological Awareness</w:t>
            </w:r>
          </w:p>
        </w:tc>
        <w:tc>
          <w:tcPr>
            <w:tcW w:w="1236" w:type="dxa"/>
          </w:tcPr>
          <w:p w14:paraId="42F68DA2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15-20 minutes</w:t>
            </w:r>
          </w:p>
        </w:tc>
        <w:tc>
          <w:tcPr>
            <w:tcW w:w="1355" w:type="dxa"/>
          </w:tcPr>
          <w:p w14:paraId="07A46203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4850CA15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K-1</w:t>
            </w:r>
          </w:p>
        </w:tc>
        <w:tc>
          <w:tcPr>
            <w:tcW w:w="5266" w:type="dxa"/>
          </w:tcPr>
          <w:p w14:paraId="5E655BEC" w14:textId="0CC96B27" w:rsidR="00145B90" w:rsidRDefault="00D40E3D">
            <w:pPr>
              <w:rPr>
                <w:b/>
              </w:rPr>
            </w:pPr>
            <w:proofErr w:type="spellStart"/>
            <w:r>
              <w:rPr>
                <w:b/>
              </w:rPr>
              <w:t>Hegger</w:t>
            </w:r>
            <w:r w:rsidR="00762DBC">
              <w:rPr>
                <w:b/>
              </w:rPr>
              <w:t>ty</w:t>
            </w:r>
            <w:proofErr w:type="spellEnd"/>
            <w:r w:rsidR="00762DBC">
              <w:rPr>
                <w:b/>
              </w:rPr>
              <w:t xml:space="preserve"> </w:t>
            </w:r>
          </w:p>
          <w:p w14:paraId="718453D5" w14:textId="77777777" w:rsidR="00145B90" w:rsidRDefault="00145B90">
            <w:pPr>
              <w:rPr>
                <w:b/>
              </w:rPr>
            </w:pPr>
          </w:p>
        </w:tc>
      </w:tr>
      <w:tr w:rsidR="00145B90" w14:paraId="4DDE7E0A" w14:textId="77777777">
        <w:tc>
          <w:tcPr>
            <w:tcW w:w="1662" w:type="dxa"/>
          </w:tcPr>
          <w:p w14:paraId="6426B403" w14:textId="77777777" w:rsidR="00145B90" w:rsidRDefault="005735C6">
            <w:pPr>
              <w:rPr>
                <w:b/>
              </w:rPr>
            </w:pPr>
            <w:r>
              <w:rPr>
                <w:b/>
              </w:rPr>
              <w:t>Phonics</w:t>
            </w:r>
          </w:p>
        </w:tc>
        <w:tc>
          <w:tcPr>
            <w:tcW w:w="1236" w:type="dxa"/>
          </w:tcPr>
          <w:p w14:paraId="3BD4C84F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30 minutes</w:t>
            </w:r>
          </w:p>
        </w:tc>
        <w:tc>
          <w:tcPr>
            <w:tcW w:w="1355" w:type="dxa"/>
          </w:tcPr>
          <w:p w14:paraId="6D1543C8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63D63BA0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5266" w:type="dxa"/>
          </w:tcPr>
          <w:p w14:paraId="2CBA5F97" w14:textId="4748AF5A" w:rsidR="00145B90" w:rsidRDefault="00D40E3D">
            <w:pPr>
              <w:rPr>
                <w:b/>
              </w:rPr>
            </w:pPr>
            <w:r>
              <w:rPr>
                <w:b/>
              </w:rPr>
              <w:t>Reading Horiz</w:t>
            </w:r>
            <w:r w:rsidR="00762DBC">
              <w:rPr>
                <w:b/>
              </w:rPr>
              <w:t>ons</w:t>
            </w:r>
          </w:p>
          <w:p w14:paraId="04F1DE01" w14:textId="77777777" w:rsidR="00145B90" w:rsidRDefault="00145B90">
            <w:pPr>
              <w:rPr>
                <w:b/>
              </w:rPr>
            </w:pPr>
          </w:p>
        </w:tc>
      </w:tr>
      <w:tr w:rsidR="00145B90" w14:paraId="4198F489" w14:textId="77777777">
        <w:tc>
          <w:tcPr>
            <w:tcW w:w="1662" w:type="dxa"/>
          </w:tcPr>
          <w:p w14:paraId="6B962FE1" w14:textId="77777777" w:rsidR="00145B90" w:rsidRDefault="005735C6">
            <w:pPr>
              <w:rPr>
                <w:b/>
              </w:rPr>
            </w:pPr>
            <w:r>
              <w:rPr>
                <w:b/>
              </w:rPr>
              <w:t>Fluency</w:t>
            </w:r>
          </w:p>
        </w:tc>
        <w:tc>
          <w:tcPr>
            <w:tcW w:w="1236" w:type="dxa"/>
          </w:tcPr>
          <w:p w14:paraId="7BB7BA4E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10-15 minutes</w:t>
            </w:r>
          </w:p>
        </w:tc>
        <w:tc>
          <w:tcPr>
            <w:tcW w:w="1355" w:type="dxa"/>
          </w:tcPr>
          <w:p w14:paraId="52732E02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27B8DD51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5266" w:type="dxa"/>
          </w:tcPr>
          <w:p w14:paraId="7A0F370D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Re</w:t>
            </w:r>
            <w:r w:rsidR="00B758F3">
              <w:rPr>
                <w:b/>
              </w:rPr>
              <w:t>ad Naturally, Dyad Reading</w:t>
            </w:r>
            <w:r w:rsidR="00A564D1">
              <w:rPr>
                <w:b/>
              </w:rPr>
              <w:t xml:space="preserve"> (2-3)</w:t>
            </w:r>
          </w:p>
          <w:p w14:paraId="34BFEAA1" w14:textId="77777777" w:rsidR="00145B90" w:rsidRDefault="00145B90">
            <w:pPr>
              <w:rPr>
                <w:b/>
              </w:rPr>
            </w:pPr>
          </w:p>
        </w:tc>
      </w:tr>
      <w:tr w:rsidR="00145B90" w14:paraId="439EFA47" w14:textId="77777777">
        <w:tc>
          <w:tcPr>
            <w:tcW w:w="1662" w:type="dxa"/>
          </w:tcPr>
          <w:p w14:paraId="23EA01A4" w14:textId="77777777" w:rsidR="00145B90" w:rsidRDefault="005735C6">
            <w:pPr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1236" w:type="dxa"/>
          </w:tcPr>
          <w:p w14:paraId="634DAA32" w14:textId="77777777" w:rsidR="00145B90" w:rsidRDefault="00D40E3D">
            <w:pPr>
              <w:rPr>
                <w:b/>
                <w:sz w:val="21"/>
                <w:szCs w:val="21"/>
              </w:rPr>
            </w:pPr>
            <w:r w:rsidRPr="00D40E3D">
              <w:rPr>
                <w:b/>
                <w:sz w:val="21"/>
                <w:szCs w:val="21"/>
              </w:rPr>
              <w:t>Embedded throughou</w:t>
            </w:r>
            <w:r>
              <w:rPr>
                <w:b/>
                <w:sz w:val="21"/>
                <w:szCs w:val="21"/>
              </w:rPr>
              <w:t>t</w:t>
            </w:r>
          </w:p>
          <w:p w14:paraId="35873427" w14:textId="77777777" w:rsidR="00D40E3D" w:rsidRPr="00D40E3D" w:rsidRDefault="00D40E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lesson; 15 minutes</w:t>
            </w:r>
          </w:p>
        </w:tc>
        <w:tc>
          <w:tcPr>
            <w:tcW w:w="1355" w:type="dxa"/>
          </w:tcPr>
          <w:p w14:paraId="1EE89CE7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5CD81080" w14:textId="77777777" w:rsidR="00145B90" w:rsidRDefault="00D40E3D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5266" w:type="dxa"/>
          </w:tcPr>
          <w:p w14:paraId="67FDDC62" w14:textId="15BAB0C8" w:rsidR="00145B90" w:rsidRDefault="00650B0D">
            <w:pPr>
              <w:rPr>
                <w:b/>
              </w:rPr>
            </w:pPr>
            <w:r>
              <w:rPr>
                <w:b/>
              </w:rPr>
              <w:t xml:space="preserve">EL Education </w:t>
            </w:r>
          </w:p>
          <w:p w14:paraId="10FC8C4C" w14:textId="77777777" w:rsidR="00145B90" w:rsidRDefault="00145B90">
            <w:pPr>
              <w:rPr>
                <w:b/>
              </w:rPr>
            </w:pPr>
          </w:p>
        </w:tc>
      </w:tr>
      <w:tr w:rsidR="00D40E3D" w14:paraId="348F9B6D" w14:textId="77777777" w:rsidTr="00D40E3D">
        <w:trPr>
          <w:trHeight w:val="1061"/>
        </w:trPr>
        <w:tc>
          <w:tcPr>
            <w:tcW w:w="1662" w:type="dxa"/>
          </w:tcPr>
          <w:p w14:paraId="44F45840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Comprehension</w:t>
            </w:r>
          </w:p>
        </w:tc>
        <w:tc>
          <w:tcPr>
            <w:tcW w:w="1236" w:type="dxa"/>
          </w:tcPr>
          <w:p w14:paraId="6CEA5CA6" w14:textId="77777777" w:rsidR="00D40E3D" w:rsidRDefault="00D40E3D" w:rsidP="005677D1">
            <w:pPr>
              <w:rPr>
                <w:b/>
                <w:sz w:val="21"/>
                <w:szCs w:val="21"/>
              </w:rPr>
            </w:pPr>
            <w:r w:rsidRPr="00D40E3D">
              <w:rPr>
                <w:b/>
                <w:sz w:val="21"/>
                <w:szCs w:val="21"/>
              </w:rPr>
              <w:t>Embedded throughou</w:t>
            </w:r>
            <w:r>
              <w:rPr>
                <w:b/>
                <w:sz w:val="21"/>
                <w:szCs w:val="21"/>
              </w:rPr>
              <w:t>t</w:t>
            </w:r>
          </w:p>
          <w:p w14:paraId="75F13E7E" w14:textId="77777777" w:rsidR="00D40E3D" w:rsidRDefault="00D40E3D" w:rsidP="005677D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lesson; 30 minutes</w:t>
            </w:r>
          </w:p>
          <w:p w14:paraId="42F76115" w14:textId="77777777" w:rsidR="00D40E3D" w:rsidRPr="00D40E3D" w:rsidRDefault="00D40E3D" w:rsidP="005677D1">
            <w:pPr>
              <w:rPr>
                <w:b/>
                <w:sz w:val="21"/>
                <w:szCs w:val="21"/>
              </w:rPr>
            </w:pPr>
          </w:p>
        </w:tc>
        <w:tc>
          <w:tcPr>
            <w:tcW w:w="1355" w:type="dxa"/>
          </w:tcPr>
          <w:p w14:paraId="27543F78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66139417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5266" w:type="dxa"/>
          </w:tcPr>
          <w:p w14:paraId="18252AB9" w14:textId="066A2A51" w:rsidR="00D40E3D" w:rsidRDefault="00650B0D">
            <w:pPr>
              <w:rPr>
                <w:b/>
              </w:rPr>
            </w:pPr>
            <w:r>
              <w:rPr>
                <w:b/>
              </w:rPr>
              <w:t>EL Education</w:t>
            </w:r>
          </w:p>
          <w:p w14:paraId="64E4B20D" w14:textId="77777777" w:rsidR="00D40E3D" w:rsidRDefault="00D40E3D">
            <w:pPr>
              <w:rPr>
                <w:b/>
              </w:rPr>
            </w:pPr>
          </w:p>
        </w:tc>
      </w:tr>
      <w:tr w:rsidR="00D40E3D" w14:paraId="02E77986" w14:textId="77777777">
        <w:tc>
          <w:tcPr>
            <w:tcW w:w="1662" w:type="dxa"/>
          </w:tcPr>
          <w:p w14:paraId="044A845C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lastRenderedPageBreak/>
              <w:t>Oral Language</w:t>
            </w:r>
          </w:p>
        </w:tc>
        <w:tc>
          <w:tcPr>
            <w:tcW w:w="1236" w:type="dxa"/>
          </w:tcPr>
          <w:p w14:paraId="39C47625" w14:textId="77777777" w:rsidR="00D40E3D" w:rsidRDefault="00D40E3D" w:rsidP="005677D1">
            <w:pPr>
              <w:rPr>
                <w:b/>
                <w:sz w:val="21"/>
                <w:szCs w:val="21"/>
              </w:rPr>
            </w:pPr>
            <w:r w:rsidRPr="00D40E3D">
              <w:rPr>
                <w:b/>
                <w:sz w:val="21"/>
                <w:szCs w:val="21"/>
              </w:rPr>
              <w:t>Embedded throughou</w:t>
            </w:r>
            <w:r>
              <w:rPr>
                <w:b/>
                <w:sz w:val="21"/>
                <w:szCs w:val="21"/>
              </w:rPr>
              <w:t>t</w:t>
            </w:r>
          </w:p>
          <w:p w14:paraId="40F5302D" w14:textId="77777777" w:rsidR="00D40E3D" w:rsidRPr="00D40E3D" w:rsidRDefault="00D40E3D" w:rsidP="005677D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lesson; 20 minutes</w:t>
            </w:r>
          </w:p>
        </w:tc>
        <w:tc>
          <w:tcPr>
            <w:tcW w:w="1355" w:type="dxa"/>
          </w:tcPr>
          <w:p w14:paraId="1945F3CF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2BA70E4A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5266" w:type="dxa"/>
          </w:tcPr>
          <w:p w14:paraId="42DBE84D" w14:textId="617EBCCC" w:rsidR="00D40E3D" w:rsidRDefault="00650B0D">
            <w:pPr>
              <w:rPr>
                <w:b/>
              </w:rPr>
            </w:pPr>
            <w:r>
              <w:rPr>
                <w:b/>
              </w:rPr>
              <w:t xml:space="preserve">EL Education </w:t>
            </w:r>
          </w:p>
          <w:p w14:paraId="096BAD64" w14:textId="77777777" w:rsidR="00D40E3D" w:rsidRDefault="00D40E3D">
            <w:pPr>
              <w:rPr>
                <w:b/>
              </w:rPr>
            </w:pPr>
          </w:p>
        </w:tc>
      </w:tr>
      <w:tr w:rsidR="00D40E3D" w14:paraId="3F79B947" w14:textId="77777777">
        <w:tc>
          <w:tcPr>
            <w:tcW w:w="1662" w:type="dxa"/>
          </w:tcPr>
          <w:p w14:paraId="052DB2E5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 xml:space="preserve">Writing </w:t>
            </w:r>
          </w:p>
        </w:tc>
        <w:tc>
          <w:tcPr>
            <w:tcW w:w="1236" w:type="dxa"/>
          </w:tcPr>
          <w:p w14:paraId="4534AAEC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30 minutes minimum</w:t>
            </w:r>
          </w:p>
        </w:tc>
        <w:tc>
          <w:tcPr>
            <w:tcW w:w="1355" w:type="dxa"/>
          </w:tcPr>
          <w:p w14:paraId="108E0542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1096" w:type="dxa"/>
          </w:tcPr>
          <w:p w14:paraId="336C5DE3" w14:textId="77777777" w:rsidR="00D40E3D" w:rsidRDefault="00D40E3D">
            <w:pPr>
              <w:rPr>
                <w:b/>
              </w:rPr>
            </w:pPr>
            <w:r>
              <w:rPr>
                <w:b/>
              </w:rPr>
              <w:t>K-3</w:t>
            </w:r>
          </w:p>
        </w:tc>
        <w:tc>
          <w:tcPr>
            <w:tcW w:w="5266" w:type="dxa"/>
          </w:tcPr>
          <w:p w14:paraId="5F5AAE0C" w14:textId="6A899BC5" w:rsidR="00D40E3D" w:rsidRDefault="00650B0D">
            <w:pPr>
              <w:rPr>
                <w:b/>
              </w:rPr>
            </w:pPr>
            <w:r>
              <w:rPr>
                <w:b/>
              </w:rPr>
              <w:t>EL Education</w:t>
            </w:r>
          </w:p>
          <w:p w14:paraId="34D3E15F" w14:textId="77777777" w:rsidR="00D40E3D" w:rsidRDefault="00D40E3D">
            <w:pPr>
              <w:rPr>
                <w:b/>
              </w:rPr>
            </w:pPr>
          </w:p>
        </w:tc>
      </w:tr>
    </w:tbl>
    <w:p w14:paraId="3BC5A260" w14:textId="77777777" w:rsidR="00145B90" w:rsidRDefault="00145B90">
      <w:pPr>
        <w:rPr>
          <w:b/>
        </w:rPr>
      </w:pPr>
    </w:p>
    <w:p w14:paraId="27F2FE97" w14:textId="77777777" w:rsidR="00145B90" w:rsidRDefault="0057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Explain how literacy assessments are used for core </w:t>
      </w:r>
      <w:r>
        <w:rPr>
          <w:b/>
        </w:rPr>
        <w:t xml:space="preserve">(tier 1) </w:t>
      </w:r>
      <w:r>
        <w:rPr>
          <w:b/>
          <w:color w:val="000000"/>
        </w:rPr>
        <w:t xml:space="preserve">instruction and intervention to make instructional decisions and ensure interventions are aligned to students’ diagnostic needs.  </w:t>
      </w:r>
    </w:p>
    <w:tbl>
      <w:tblPr>
        <w:tblStyle w:val="affa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145B90" w14:paraId="7C6E4CC3" w14:textId="77777777">
        <w:tc>
          <w:tcPr>
            <w:tcW w:w="10615" w:type="dxa"/>
          </w:tcPr>
          <w:p w14:paraId="301DA5CC" w14:textId="5F9FA780" w:rsidR="00145B90" w:rsidRDefault="00D40E3D" w:rsidP="002C7C53">
            <w:r>
              <w:t xml:space="preserve">We use the </w:t>
            </w:r>
            <w:proofErr w:type="spellStart"/>
            <w:r>
              <w:t>Acadience</w:t>
            </w:r>
            <w:proofErr w:type="spellEnd"/>
            <w:r>
              <w:t xml:space="preserve"> Reading assessment to screen all K-3 student</w:t>
            </w:r>
            <w:r w:rsidR="009030D5">
              <w:t xml:space="preserve">s at BOY. The </w:t>
            </w:r>
            <w:proofErr w:type="spellStart"/>
            <w:r w:rsidR="00650B0D">
              <w:t>Acadience</w:t>
            </w:r>
            <w:proofErr w:type="spellEnd"/>
            <w:r w:rsidR="00650B0D">
              <w:t xml:space="preserve"> Reading </w:t>
            </w:r>
            <w:proofErr w:type="spellStart"/>
            <w:r w:rsidR="00650B0D">
              <w:t>assessement</w:t>
            </w:r>
            <w:proofErr w:type="spellEnd"/>
            <w:r w:rsidR="009030D5">
              <w:t xml:space="preserve"> is used </w:t>
            </w:r>
            <w:r>
              <w:t xml:space="preserve">to determine appropriate </w:t>
            </w:r>
            <w:r w:rsidR="009030D5">
              <w:t xml:space="preserve">levels for progress monitoring for those students who </w:t>
            </w:r>
            <w:r w:rsidR="002860D0">
              <w:t xml:space="preserve">are not at </w:t>
            </w:r>
            <w:r w:rsidR="009030D5">
              <w:t xml:space="preserve">benchmark at BOY. The </w:t>
            </w:r>
            <w:proofErr w:type="spellStart"/>
            <w:r w:rsidR="009030D5">
              <w:t>Acadience</w:t>
            </w:r>
            <w:proofErr w:type="spellEnd"/>
            <w:r w:rsidR="009030D5">
              <w:t xml:space="preserve"> Reading Deep Diagnostic is administered </w:t>
            </w:r>
            <w:r w:rsidR="00640FC8">
              <w:t>after a student has received</w:t>
            </w:r>
            <w:r w:rsidR="00777A6A">
              <w:t xml:space="preserve"> </w:t>
            </w:r>
            <w:r w:rsidR="002860D0">
              <w:t xml:space="preserve">significant </w:t>
            </w:r>
            <w:r w:rsidR="00777A6A">
              <w:t xml:space="preserve">intervention instruction, </w:t>
            </w:r>
            <w:r w:rsidR="00640FC8">
              <w:t xml:space="preserve">but has still not met </w:t>
            </w:r>
            <w:r w:rsidR="00A564D1">
              <w:t xml:space="preserve">all </w:t>
            </w:r>
            <w:r w:rsidR="00640FC8">
              <w:t>benchmark goals. Additionally, we</w:t>
            </w:r>
            <w:r w:rsidR="00A564D1">
              <w:t xml:space="preserve"> use</w:t>
            </w:r>
            <w:r w:rsidR="00640FC8">
              <w:t xml:space="preserve"> the </w:t>
            </w:r>
            <w:r w:rsidR="00640FC8" w:rsidRPr="00286F0E">
              <w:rPr>
                <w:i/>
              </w:rPr>
              <w:t xml:space="preserve">PASI </w:t>
            </w:r>
            <w:r w:rsidR="00640FC8">
              <w:t xml:space="preserve">and </w:t>
            </w:r>
            <w:r w:rsidR="00640FC8" w:rsidRPr="00286F0E">
              <w:rPr>
                <w:i/>
              </w:rPr>
              <w:t xml:space="preserve">PSI </w:t>
            </w:r>
            <w:r w:rsidR="00640FC8">
              <w:t xml:space="preserve">tools to assist teachers in determining specific skills deficits and to support them in grouping students for intervention instruction. </w:t>
            </w:r>
          </w:p>
        </w:tc>
      </w:tr>
    </w:tbl>
    <w:p w14:paraId="2E83C3E3" w14:textId="77777777" w:rsidR="00145B90" w:rsidRDefault="00145B90">
      <w:pPr>
        <w:rPr>
          <w:b/>
        </w:rPr>
      </w:pPr>
    </w:p>
    <w:p w14:paraId="0FFE9670" w14:textId="77777777" w:rsidR="00145B90" w:rsidRDefault="0057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Describe the tier 2 and 3, evidence-based intervention system available to students struggling to </w:t>
      </w:r>
      <w:r>
        <w:rPr>
          <w:b/>
        </w:rPr>
        <w:t>reach grade-level benchmark goals in reading</w:t>
      </w:r>
      <w:r>
        <w:rPr>
          <w:b/>
          <w:color w:val="000000"/>
        </w:rPr>
        <w:t xml:space="preserve">. </w:t>
      </w:r>
    </w:p>
    <w:tbl>
      <w:tblPr>
        <w:tblStyle w:val="affb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145B90" w14:paraId="79722343" w14:textId="77777777">
        <w:tc>
          <w:tcPr>
            <w:tcW w:w="10615" w:type="dxa"/>
          </w:tcPr>
          <w:p w14:paraId="7635FCD0" w14:textId="735E1C9F" w:rsidR="00D85882" w:rsidRDefault="00086995" w:rsidP="00D85882">
            <w:r>
              <w:t xml:space="preserve">       In Tier II</w:t>
            </w:r>
            <w:r w:rsidR="00D85882">
              <w:t>,</w:t>
            </w:r>
            <w:r>
              <w:t xml:space="preserve"> targeted supplemental instructional support is provided to at-risk readers based on </w:t>
            </w:r>
            <w:proofErr w:type="spellStart"/>
            <w:r>
              <w:t>Acadience</w:t>
            </w:r>
            <w:proofErr w:type="spellEnd"/>
            <w:r>
              <w:t xml:space="preserve"> Benchmark and Progress Monitoring data, as well as data from the PASI and the PSI. Teachers meet weekly in PLC/Data Teams with their principal and instructional coach to analyze data and evaluate student progress against established metrics, to determine implications for intervention instruction. </w:t>
            </w:r>
            <w:r w:rsidR="00D85882">
              <w:t xml:space="preserve">Teachers utilize screening and diagnostic assessment data to pinpoint skills deficits and to determine the appropriate placement of each student.  Additionally, teachers will administer Progress Monitoring probes every 7-10 days to measure the effectiveness of intervention instruction and to determine student placement within fluid instructional groups.  </w:t>
            </w:r>
          </w:p>
          <w:p w14:paraId="28B26AF2" w14:textId="7AFCFCA2" w:rsidR="00086995" w:rsidRDefault="00086995" w:rsidP="00086995">
            <w:r>
              <w:t>Tier II is delivered in small groups of six or fewer</w:t>
            </w:r>
            <w:r w:rsidR="00D85882">
              <w:t xml:space="preserve"> students by a </w:t>
            </w:r>
            <w:r>
              <w:t>teacher or a trained interventionist for 20-30 minutes 3-4 times per week.  The evidence-based intervention curriculum resources used include:</w:t>
            </w:r>
          </w:p>
          <w:p w14:paraId="5FBDA05A" w14:textId="77777777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r>
              <w:t>95% Group Literacy Intervention assessment and instruction resources (PASI, PSI, Phonological Awareness, Teaching Blending, Basic and Advanced Phonics, and Multi-</w:t>
            </w:r>
            <w:proofErr w:type="gramStart"/>
            <w:r>
              <w:t>syllable</w:t>
            </w:r>
            <w:proofErr w:type="gramEnd"/>
            <w:r>
              <w:t xml:space="preserve"> Phonics)</w:t>
            </w:r>
          </w:p>
          <w:p w14:paraId="08BD7FC1" w14:textId="77777777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r>
              <w:t>Amplify Now What and Small Group Instructional Tools</w:t>
            </w:r>
          </w:p>
          <w:p w14:paraId="5C051FEC" w14:textId="77777777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r>
              <w:t>Amplify BURST</w:t>
            </w:r>
          </w:p>
          <w:p w14:paraId="4BA6776D" w14:textId="77777777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r>
              <w:t>Waterford Early Learning K-1</w:t>
            </w:r>
          </w:p>
          <w:p w14:paraId="5F28F1E2" w14:textId="77777777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Lexia</w:t>
            </w:r>
            <w:proofErr w:type="spellEnd"/>
            <w:r>
              <w:t xml:space="preserve"> Core 5 Literacy 2-3</w:t>
            </w:r>
          </w:p>
          <w:p w14:paraId="2C0C3037" w14:textId="73A3EA1C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r>
              <w:t>FCRR activity resources</w:t>
            </w:r>
          </w:p>
          <w:p w14:paraId="20058957" w14:textId="5489ED4F" w:rsidR="00086995" w:rsidRDefault="00086995" w:rsidP="00086995">
            <w:r>
              <w:t xml:space="preserve">     Tier III intervention instruction is delivered by a teacher or trained interventionist, 4-5 times per week in a small group or one-to-one setting for 30-45 minutes using these evidence-based curriculum resources: </w:t>
            </w:r>
          </w:p>
          <w:p w14:paraId="2C25A3FE" w14:textId="253E1C24" w:rsidR="00086995" w:rsidRDefault="00086995" w:rsidP="00086995">
            <w:pPr>
              <w:pStyle w:val="ListParagraph"/>
              <w:numPr>
                <w:ilvl w:val="0"/>
                <w:numId w:val="9"/>
              </w:numPr>
            </w:pPr>
            <w:r>
              <w:t xml:space="preserve">95% Group Literacy intervention resources </w:t>
            </w:r>
          </w:p>
          <w:p w14:paraId="3B111D38" w14:textId="77777777" w:rsidR="00086995" w:rsidRDefault="00086995" w:rsidP="00086995">
            <w:pPr>
              <w:pStyle w:val="ListParagraph"/>
              <w:numPr>
                <w:ilvl w:val="0"/>
                <w:numId w:val="5"/>
              </w:numPr>
            </w:pPr>
            <w:r>
              <w:t>Early Steps/Next Steps tutoring modules</w:t>
            </w:r>
          </w:p>
          <w:p w14:paraId="3B0F7354" w14:textId="574D435B" w:rsidR="00086995" w:rsidRDefault="00086995" w:rsidP="00086995">
            <w:r>
              <w:t>Teachers utilize screening and diagnostic assessment data to pinpoint skills deficits and to determine the appropriate placement of each student for li</w:t>
            </w:r>
            <w:r w:rsidR="00D85882">
              <w:t>teracy intervention instruction.</w:t>
            </w:r>
            <w:r>
              <w:t xml:space="preserve"> Teachers will administer Progress Monitoring probes every 7-10 days to measure the effectiveness of intervention instruction and to determine student placement within fluid instructional groups.  </w:t>
            </w:r>
          </w:p>
          <w:p w14:paraId="5ADE1B5D" w14:textId="77777777" w:rsidR="00145B90" w:rsidRDefault="00086995" w:rsidP="00086995">
            <w:pPr>
              <w:ind w:left="360"/>
            </w:pPr>
            <w:r>
              <w:t xml:space="preserve">     One-to-one instruction using the </w:t>
            </w:r>
            <w:r w:rsidRPr="008B3408">
              <w:rPr>
                <w:i/>
              </w:rPr>
              <w:t>Early Steps</w:t>
            </w:r>
            <w:r>
              <w:t xml:space="preserve"> and Next Steps tutoring modules is also utilized for a small number of at-risk students and often delivered prior to the start of the school day 3-4 times per week.</w:t>
            </w:r>
          </w:p>
          <w:p w14:paraId="3A8E2019" w14:textId="665854AA" w:rsidR="00615DB8" w:rsidRDefault="00615DB8" w:rsidP="00086995">
            <w:pPr>
              <w:ind w:left="360"/>
            </w:pPr>
            <w:r>
              <w:t xml:space="preserve">          Students will exit Tier 2 and Tier 3 intervention groups when they are able to meet grade level benchmarks as measured by three consecutive progress monitoring probes.</w:t>
            </w:r>
          </w:p>
        </w:tc>
      </w:tr>
    </w:tbl>
    <w:p w14:paraId="2ABFCCC8" w14:textId="77777777" w:rsidR="00145B90" w:rsidRDefault="00145B9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</w:p>
    <w:p w14:paraId="1B1FEFD9" w14:textId="77777777" w:rsidR="00145B90" w:rsidRDefault="0057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Describe the professional learning opportunities that will be provided for K-3 teachers, literacy coaches, and interventionists. </w:t>
      </w:r>
      <w:r>
        <w:rPr>
          <w:i/>
          <w:color w:val="000000"/>
        </w:rPr>
        <w:t>These funds cannot be used for faculty or staff in grades 4-6.</w:t>
      </w:r>
    </w:p>
    <w:tbl>
      <w:tblPr>
        <w:tblStyle w:val="affc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5"/>
      </w:tblGrid>
      <w:tr w:rsidR="00145B90" w14:paraId="4D7A913F" w14:textId="77777777">
        <w:tc>
          <w:tcPr>
            <w:tcW w:w="10705" w:type="dxa"/>
          </w:tcPr>
          <w:p w14:paraId="33410D7B" w14:textId="286C458A" w:rsidR="00145B90" w:rsidRDefault="00356AE8">
            <w:r>
              <w:lastRenderedPageBreak/>
              <w:t>We support our</w:t>
            </w:r>
            <w:r w:rsidR="00763C63">
              <w:t xml:space="preserve"> instructional coaches</w:t>
            </w:r>
            <w:r>
              <w:t xml:space="preserve"> and use them</w:t>
            </w:r>
            <w:r w:rsidR="00763C63">
              <w:t xml:space="preserve"> to </w:t>
            </w:r>
            <w:r w:rsidR="008B1D2D">
              <w:t>support teachers in effectively utilizing</w:t>
            </w:r>
            <w:r w:rsidR="00763C63">
              <w:t xml:space="preserve"> all available literacy data </w:t>
            </w:r>
            <w:r w:rsidR="008B1D2D">
              <w:t xml:space="preserve">to inform instruction and intervention. Professional learning opportunities to increase understanding of the Science of Reading will be offered at the school and district level. </w:t>
            </w:r>
            <w:r>
              <w:t>We are considering</w:t>
            </w:r>
            <w:r w:rsidR="00381029">
              <w:t xml:space="preserve"> and/or </w:t>
            </w:r>
            <w:r>
              <w:t>developing the following options for professional learning:</w:t>
            </w:r>
          </w:p>
          <w:p w14:paraId="61AF039E" w14:textId="77777777" w:rsidR="00356AE8" w:rsidRDefault="00356AE8" w:rsidP="00356AE8">
            <w:pPr>
              <w:pStyle w:val="ListParagraph"/>
              <w:numPr>
                <w:ilvl w:val="0"/>
                <w:numId w:val="7"/>
              </w:numPr>
            </w:pPr>
            <w:r>
              <w:t>Book study groups (The Knowledge Gap and Unlocking Literacy)</w:t>
            </w:r>
          </w:p>
          <w:p w14:paraId="122ABFBC" w14:textId="77777777" w:rsidR="00356AE8" w:rsidRDefault="00356AE8" w:rsidP="00356AE8">
            <w:pPr>
              <w:pStyle w:val="ListParagraph"/>
              <w:numPr>
                <w:ilvl w:val="0"/>
                <w:numId w:val="7"/>
              </w:numPr>
            </w:pPr>
            <w:r>
              <w:t>HIVE 2020/Follow-up PD from Expeditionary Learning</w:t>
            </w:r>
          </w:p>
          <w:p w14:paraId="0D0A4207" w14:textId="77777777" w:rsidR="00356AE8" w:rsidRDefault="00356AE8" w:rsidP="00356AE8">
            <w:pPr>
              <w:pStyle w:val="ListParagraph"/>
              <w:numPr>
                <w:ilvl w:val="0"/>
                <w:numId w:val="7"/>
              </w:numPr>
            </w:pPr>
            <w:r>
              <w:t>USBE online Dyad Reading module</w:t>
            </w:r>
          </w:p>
          <w:p w14:paraId="5D93B8E5" w14:textId="77777777" w:rsidR="00356AE8" w:rsidRDefault="00356AE8" w:rsidP="00356AE8">
            <w:pPr>
              <w:pStyle w:val="ListParagraph"/>
              <w:numPr>
                <w:ilvl w:val="0"/>
                <w:numId w:val="7"/>
              </w:numPr>
            </w:pPr>
            <w:r>
              <w:t>NUES/SUU Reading endorsement courses</w:t>
            </w:r>
          </w:p>
          <w:p w14:paraId="0729056F" w14:textId="77777777" w:rsidR="00356AE8" w:rsidRDefault="00356AE8" w:rsidP="00356AE8">
            <w:pPr>
              <w:pStyle w:val="ListParagraph"/>
              <w:numPr>
                <w:ilvl w:val="0"/>
                <w:numId w:val="7"/>
              </w:numPr>
            </w:pPr>
            <w:r>
              <w:t xml:space="preserve">LETRS training </w:t>
            </w:r>
          </w:p>
          <w:p w14:paraId="4BC21770" w14:textId="77777777" w:rsidR="00356AE8" w:rsidRDefault="00356AE8" w:rsidP="00356AE8">
            <w:pPr>
              <w:pStyle w:val="ListParagraph"/>
              <w:numPr>
                <w:ilvl w:val="0"/>
                <w:numId w:val="7"/>
              </w:numPr>
            </w:pPr>
            <w:r>
              <w:t>RH Accelerate online PD modules</w:t>
            </w:r>
          </w:p>
          <w:p w14:paraId="700A12A7" w14:textId="77777777" w:rsidR="00356AE8" w:rsidRDefault="00356AE8" w:rsidP="00E73B11">
            <w:pPr>
              <w:pStyle w:val="ListParagraph"/>
              <w:numPr>
                <w:ilvl w:val="0"/>
                <w:numId w:val="7"/>
              </w:numPr>
            </w:pPr>
            <w:r>
              <w:t xml:space="preserve">Professional Literacy conferences </w:t>
            </w:r>
          </w:p>
        </w:tc>
      </w:tr>
    </w:tbl>
    <w:p w14:paraId="7222EC09" w14:textId="77777777" w:rsidR="00145B90" w:rsidRDefault="00145B90">
      <w:pPr>
        <w:spacing w:after="0"/>
        <w:ind w:left="720"/>
      </w:pPr>
    </w:p>
    <w:tbl>
      <w:tblPr>
        <w:tblStyle w:val="aff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145B90" w14:paraId="070AD920" w14:textId="77777777">
        <w:tc>
          <w:tcPr>
            <w:tcW w:w="10790" w:type="dxa"/>
            <w:shd w:val="clear" w:color="auto" w:fill="5B9BD5"/>
          </w:tcPr>
          <w:p w14:paraId="40C6006B" w14:textId="77777777" w:rsidR="00145B90" w:rsidRDefault="005735C6">
            <w:pPr>
              <w:jc w:val="center"/>
              <w:rPr>
                <w:b/>
                <w:i/>
                <w:color w:val="4472C4"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SECTION B: LOCAL GOALS</w:t>
            </w:r>
          </w:p>
        </w:tc>
      </w:tr>
    </w:tbl>
    <w:p w14:paraId="46384258" w14:textId="77777777" w:rsidR="00145B90" w:rsidRDefault="00145B90">
      <w:pPr>
        <w:rPr>
          <w:b/>
        </w:rPr>
      </w:pPr>
    </w:p>
    <w:p w14:paraId="7755F9C4" w14:textId="77777777" w:rsidR="00145B90" w:rsidRDefault="005735C6">
      <w:pPr>
        <w:rPr>
          <w:b/>
        </w:rPr>
      </w:pPr>
      <w:r>
        <w:rPr>
          <w:b/>
        </w:rPr>
        <w:t>Requirements per 53F-2-503: Goals must be measurable, address current performance gaps in student literacy data, and include specific strategies for improving outcomes.</w:t>
      </w:r>
    </w:p>
    <w:p w14:paraId="385BBF34" w14:textId="77777777" w:rsidR="00145B90" w:rsidRDefault="005735C6">
      <w:pPr>
        <w:rPr>
          <w:i/>
        </w:rPr>
      </w:pPr>
      <w:r>
        <w:rPr>
          <w:i/>
        </w:rPr>
        <w:t xml:space="preserve">For literacy goals only, include early intervention K-3 software if being used.  </w:t>
      </w:r>
    </w:p>
    <w:p w14:paraId="32C2F00E" w14:textId="77777777" w:rsidR="00145B90" w:rsidRDefault="005735C6">
      <w:pPr>
        <w:rPr>
          <w:b/>
        </w:rPr>
      </w:pPr>
      <w:r>
        <w:rPr>
          <w:b/>
        </w:rPr>
        <w:t xml:space="preserve">Goal Sentence Frame: </w:t>
      </w:r>
    </w:p>
    <w:p w14:paraId="7B800B78" w14:textId="77777777" w:rsidR="00145B90" w:rsidRDefault="005735C6">
      <w:pPr>
        <w:rPr>
          <w:b/>
          <w:color w:val="BF8F00"/>
        </w:rPr>
      </w:pPr>
      <w:r>
        <w:rPr>
          <w:b/>
        </w:rPr>
        <w:t xml:space="preserve">By </w:t>
      </w:r>
      <w:r>
        <w:rPr>
          <w:b/>
          <w:color w:val="FF0000"/>
        </w:rPr>
        <w:t>[date]</w:t>
      </w:r>
      <w:r>
        <w:rPr>
          <w:b/>
        </w:rPr>
        <w:t xml:space="preserve">, </w:t>
      </w:r>
      <w:r>
        <w:rPr>
          <w:b/>
          <w:color w:val="2F5496"/>
        </w:rPr>
        <w:t xml:space="preserve">[who is responsible] </w:t>
      </w:r>
      <w:r>
        <w:rPr>
          <w:b/>
        </w:rPr>
        <w:t xml:space="preserve">will </w:t>
      </w:r>
      <w:r>
        <w:rPr>
          <w:b/>
          <w:color w:val="7030A0"/>
        </w:rPr>
        <w:t xml:space="preserve">[what will change and by how much--measurable] </w:t>
      </w:r>
      <w:r>
        <w:rPr>
          <w:b/>
        </w:rPr>
        <w:t xml:space="preserve">by </w:t>
      </w:r>
      <w:r>
        <w:rPr>
          <w:b/>
          <w:color w:val="538135"/>
        </w:rPr>
        <w:t>[how--which evidence-based strategy(</w:t>
      </w:r>
      <w:proofErr w:type="spellStart"/>
      <w:r>
        <w:rPr>
          <w:b/>
          <w:color w:val="538135"/>
        </w:rPr>
        <w:t>ies</w:t>
      </w:r>
      <w:proofErr w:type="spellEnd"/>
      <w:r>
        <w:rPr>
          <w:b/>
          <w:color w:val="538135"/>
        </w:rPr>
        <w:t>) will be used, including early reading software if being used]</w:t>
      </w:r>
      <w:r>
        <w:rPr>
          <w:b/>
        </w:rPr>
        <w:t xml:space="preserve"> to </w:t>
      </w:r>
      <w:r>
        <w:rPr>
          <w:b/>
          <w:color w:val="BF8F00"/>
        </w:rPr>
        <w:t>[why—for what purpose].</w:t>
      </w:r>
    </w:p>
    <w:p w14:paraId="7A44F83F" w14:textId="77777777" w:rsidR="00145B90" w:rsidRDefault="005735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Early Literacy Goal </w:t>
      </w:r>
      <w:r>
        <w:rPr>
          <w:b/>
          <w:i/>
          <w:color w:val="000000"/>
        </w:rPr>
        <w:t>(required)</w:t>
      </w:r>
    </w:p>
    <w:tbl>
      <w:tblPr>
        <w:tblStyle w:val="affe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5"/>
      </w:tblGrid>
      <w:tr w:rsidR="00145B90" w14:paraId="3802E2B6" w14:textId="77777777" w:rsidTr="00DE2358">
        <w:trPr>
          <w:trHeight w:val="1844"/>
        </w:trPr>
        <w:tc>
          <w:tcPr>
            <w:tcW w:w="10705" w:type="dxa"/>
          </w:tcPr>
          <w:p w14:paraId="42F47A41" w14:textId="1415F95C" w:rsidR="00145B90" w:rsidRDefault="00E73B11">
            <w:pPr>
              <w:rPr>
                <w:b/>
              </w:rPr>
            </w:pPr>
            <w:r>
              <w:rPr>
                <w:b/>
              </w:rPr>
              <w:t xml:space="preserve">By June 1, 2021, </w:t>
            </w:r>
            <w:r w:rsidR="00337AF9">
              <w:rPr>
                <w:b/>
              </w:rPr>
              <w:t xml:space="preserve">Juab SD </w:t>
            </w:r>
            <w:r w:rsidR="00DE2358">
              <w:rPr>
                <w:b/>
              </w:rPr>
              <w:t>admin</w:t>
            </w:r>
            <w:r w:rsidR="00337AF9">
              <w:rPr>
                <w:b/>
              </w:rPr>
              <w:t xml:space="preserve"> and Grade 1 </w:t>
            </w:r>
            <w:r>
              <w:rPr>
                <w:b/>
              </w:rPr>
              <w:t>teachers will increas</w:t>
            </w:r>
            <w:r w:rsidR="00337AF9">
              <w:rPr>
                <w:b/>
              </w:rPr>
              <w:t xml:space="preserve">e the percentage of Grade 1 </w:t>
            </w:r>
            <w:r w:rsidR="00E84CC0">
              <w:rPr>
                <w:b/>
              </w:rPr>
              <w:t xml:space="preserve">students at or above benchmark </w:t>
            </w:r>
            <w:r>
              <w:rPr>
                <w:b/>
              </w:rPr>
              <w:t xml:space="preserve">on the </w:t>
            </w:r>
            <w:proofErr w:type="spellStart"/>
            <w:r>
              <w:rPr>
                <w:b/>
              </w:rPr>
              <w:t>Acadience</w:t>
            </w:r>
            <w:proofErr w:type="spellEnd"/>
            <w:r>
              <w:rPr>
                <w:b/>
              </w:rPr>
              <w:t xml:space="preserve"> Reading composite by 4% from BOY to EOY by providing teachers with ongoing professional learning opportunities focused on evidence-based practices in literacy assessment and </w:t>
            </w:r>
            <w:r w:rsidR="00FE7531">
              <w:rPr>
                <w:b/>
              </w:rPr>
              <w:t xml:space="preserve">instruction. The district will utilize </w:t>
            </w:r>
            <w:r>
              <w:rPr>
                <w:b/>
              </w:rPr>
              <w:t>evidence-based literacy curriculum</w:t>
            </w:r>
            <w:r w:rsidR="00FE7531">
              <w:rPr>
                <w:b/>
              </w:rPr>
              <w:t>, assessment and intervention tools, and provide support from a full-time school level instructional coach. This support</w:t>
            </w:r>
            <w:r>
              <w:rPr>
                <w:b/>
              </w:rPr>
              <w:t xml:space="preserve"> will include </w:t>
            </w:r>
            <w:r w:rsidR="00DE2358">
              <w:rPr>
                <w:b/>
              </w:rPr>
              <w:t xml:space="preserve">classroom observations, feedback, and professional learning </w:t>
            </w:r>
            <w:r>
              <w:rPr>
                <w:b/>
              </w:rPr>
              <w:t>on the implementation of explicit phonemic awareness and phonics routines to reduce the number of students who do not master N</w:t>
            </w:r>
            <w:r w:rsidR="00337AF9">
              <w:rPr>
                <w:b/>
              </w:rPr>
              <w:t>WF and are</w:t>
            </w:r>
            <w:r>
              <w:rPr>
                <w:b/>
              </w:rPr>
              <w:t xml:space="preserve"> not on benchmark by end of first grade. </w:t>
            </w:r>
          </w:p>
        </w:tc>
      </w:tr>
    </w:tbl>
    <w:p w14:paraId="61C02473" w14:textId="77777777" w:rsidR="00145B90" w:rsidRDefault="00145B90">
      <w:pPr>
        <w:ind w:left="720"/>
        <w:rPr>
          <w:b/>
        </w:rPr>
      </w:pPr>
    </w:p>
    <w:p w14:paraId="234342CB" w14:textId="77777777" w:rsidR="00145B90" w:rsidRDefault="005735C6">
      <w:pPr>
        <w:numPr>
          <w:ilvl w:val="0"/>
          <w:numId w:val="4"/>
        </w:numPr>
        <w:rPr>
          <w:b/>
        </w:rPr>
      </w:pPr>
      <w:r>
        <w:rPr>
          <w:b/>
        </w:rPr>
        <w:t xml:space="preserve">Early Literacy Goal </w:t>
      </w:r>
      <w:r>
        <w:rPr>
          <w:b/>
          <w:i/>
        </w:rPr>
        <w:t>(required)</w:t>
      </w:r>
    </w:p>
    <w:tbl>
      <w:tblPr>
        <w:tblStyle w:val="afff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5"/>
      </w:tblGrid>
      <w:tr w:rsidR="00145B90" w14:paraId="7A96DB30" w14:textId="77777777">
        <w:tc>
          <w:tcPr>
            <w:tcW w:w="10705" w:type="dxa"/>
          </w:tcPr>
          <w:p w14:paraId="6666389D" w14:textId="266E8030" w:rsidR="00145B90" w:rsidRDefault="00337AF9" w:rsidP="00DE2358">
            <w:pPr>
              <w:rPr>
                <w:b/>
              </w:rPr>
            </w:pPr>
            <w:r>
              <w:rPr>
                <w:b/>
              </w:rPr>
              <w:t xml:space="preserve">By June 1, 2021 </w:t>
            </w:r>
            <w:r w:rsidR="00DE2358">
              <w:rPr>
                <w:b/>
              </w:rPr>
              <w:t xml:space="preserve">Juab SD admin and Grade 2 </w:t>
            </w:r>
            <w:r w:rsidR="00E73B11">
              <w:rPr>
                <w:b/>
              </w:rPr>
              <w:t>teachers will increase</w:t>
            </w:r>
            <w:r w:rsidR="00DE2358">
              <w:rPr>
                <w:b/>
              </w:rPr>
              <w:t xml:space="preserve"> the percentage of Grade 2 </w:t>
            </w:r>
            <w:r w:rsidR="00E84CC0">
              <w:rPr>
                <w:b/>
              </w:rPr>
              <w:t xml:space="preserve">students at or above benchmark </w:t>
            </w:r>
            <w:r w:rsidR="00E73B11">
              <w:rPr>
                <w:b/>
              </w:rPr>
              <w:t xml:space="preserve">on the </w:t>
            </w:r>
            <w:proofErr w:type="spellStart"/>
            <w:r w:rsidR="00E73B11">
              <w:rPr>
                <w:b/>
              </w:rPr>
              <w:t>Acadience</w:t>
            </w:r>
            <w:proofErr w:type="spellEnd"/>
            <w:r w:rsidR="00E73B11">
              <w:rPr>
                <w:b/>
              </w:rPr>
              <w:t xml:space="preserve"> Reading composite by 3% from BOY to EOY by providing teachers with ongoing professional learning opportunities focused on evidence-based practices in literacy assessment and instruction. </w:t>
            </w:r>
            <w:r w:rsidR="00DE2358">
              <w:rPr>
                <w:b/>
              </w:rPr>
              <w:t>T</w:t>
            </w:r>
            <w:r w:rsidR="00E73B11">
              <w:rPr>
                <w:b/>
              </w:rPr>
              <w:t>he</w:t>
            </w:r>
            <w:r w:rsidR="00DE2358">
              <w:rPr>
                <w:b/>
              </w:rPr>
              <w:t xml:space="preserve"> district will utilize evidence-based literacy curriculum, assessment and intervention tools, and</w:t>
            </w:r>
            <w:r w:rsidR="00E73B11">
              <w:rPr>
                <w:b/>
              </w:rPr>
              <w:t xml:space="preserve"> provide support from a full-time school level instructional coach. </w:t>
            </w:r>
            <w:r w:rsidR="00DE2358">
              <w:rPr>
                <w:b/>
              </w:rPr>
              <w:t>This s</w:t>
            </w:r>
            <w:r w:rsidR="00E73B11">
              <w:rPr>
                <w:b/>
              </w:rPr>
              <w:t>upport will include c</w:t>
            </w:r>
            <w:r w:rsidR="00DE2358">
              <w:rPr>
                <w:b/>
              </w:rPr>
              <w:t xml:space="preserve">lassroom observations, </w:t>
            </w:r>
            <w:r w:rsidR="00E73B11">
              <w:rPr>
                <w:b/>
              </w:rPr>
              <w:t>feedback</w:t>
            </w:r>
            <w:r w:rsidR="00DE2358">
              <w:rPr>
                <w:b/>
              </w:rPr>
              <w:t xml:space="preserve"> and professional learning</w:t>
            </w:r>
            <w:r w:rsidR="00E73B11">
              <w:rPr>
                <w:b/>
              </w:rPr>
              <w:t xml:space="preserve"> on the implementation of instructional routines in explicit phonics, and accuracy and fluency instruction, to reduce the number of students who do not master NWF </w:t>
            </w:r>
            <w:r w:rsidR="00DE2358">
              <w:rPr>
                <w:b/>
              </w:rPr>
              <w:t xml:space="preserve">and DORF and are </w:t>
            </w:r>
            <w:r w:rsidR="00E73B11">
              <w:rPr>
                <w:b/>
              </w:rPr>
              <w:t>not at benchmark by the end of second grade.</w:t>
            </w:r>
          </w:p>
        </w:tc>
      </w:tr>
    </w:tbl>
    <w:p w14:paraId="0863BFD2" w14:textId="77777777" w:rsidR="00145B90" w:rsidRDefault="00145B90"/>
    <w:p w14:paraId="75C286AB" w14:textId="77777777" w:rsidR="00145B90" w:rsidRDefault="005735C6">
      <w:pPr>
        <w:rPr>
          <w:b/>
          <w:highlight w:val="yellow"/>
        </w:rPr>
      </w:pPr>
      <w:r>
        <w:rPr>
          <w:b/>
        </w:rPr>
        <w:t xml:space="preserve">General Assurances: </w:t>
      </w:r>
      <w:r>
        <w:rPr>
          <w:b/>
          <w:i/>
        </w:rPr>
        <w:t>Check all the boxes below</w:t>
      </w:r>
      <w:r>
        <w:rPr>
          <w:b/>
        </w:rPr>
        <w:t>.</w:t>
      </w:r>
      <w:r>
        <w:rPr>
          <w:b/>
          <w:highlight w:val="yellow"/>
        </w:rPr>
        <w:t xml:space="preserve"> </w:t>
      </w:r>
    </w:p>
    <w:p w14:paraId="42B554D8" w14:textId="35264C66" w:rsidR="00145B90" w:rsidRDefault="00E84CC0">
      <w:pPr>
        <w:ind w:left="360"/>
      </w:pPr>
      <w:r>
        <w:t>X</w:t>
      </w:r>
      <w:r w:rsidR="005735C6">
        <w:t xml:space="preserve">☐ The Early Literacy Plan submitted has been reviewed and approved by your local school board in an open, public meeting. </w:t>
      </w:r>
    </w:p>
    <w:p w14:paraId="4184ACB9" w14:textId="194DAF03" w:rsidR="00145B90" w:rsidRDefault="00E84CC0">
      <w:pPr>
        <w:ind w:left="360"/>
      </w:pPr>
      <w:r>
        <w:lastRenderedPageBreak/>
        <w:t>X</w:t>
      </w:r>
      <w:r w:rsidR="005735C6">
        <w:t>☐ The Early Literacy Plan must be submitted in Utah Grants along with local board approval minutes no later than September 1 by 5 p.m.</w:t>
      </w:r>
    </w:p>
    <w:p w14:paraId="19E30F46" w14:textId="543FC448" w:rsidR="00145B90" w:rsidRDefault="00E84CC0">
      <w:pPr>
        <w:ind w:left="360"/>
      </w:pPr>
      <w:r>
        <w:t>X</w:t>
      </w:r>
      <w:r w:rsidR="005735C6">
        <w:t>☐ The Early Literacy Goals must be submitted in the Data Gateway-Early Literacy page no later than September 1 by 5 p.m.</w:t>
      </w:r>
    </w:p>
    <w:p w14:paraId="36CDB0A5" w14:textId="2D59CEDB" w:rsidR="00145B90" w:rsidRDefault="00E84CC0">
      <w:pPr>
        <w:ind w:left="360"/>
        <w:rPr>
          <w:highlight w:val="yellow"/>
        </w:rPr>
      </w:pPr>
      <w:r>
        <w:t>X</w:t>
      </w:r>
      <w:r w:rsidR="005735C6">
        <w:t xml:space="preserve">☐ We understand our state growth goal for literacy is to achieve at least 60% of students in grades 1-3 making typical or better progress on </w:t>
      </w:r>
      <w:proofErr w:type="spellStart"/>
      <w:r w:rsidR="005735C6">
        <w:t>Acadience</w:t>
      </w:r>
      <w:proofErr w:type="spellEnd"/>
      <w:r w:rsidR="005735C6">
        <w:t xml:space="preserve"> Reading. </w:t>
      </w:r>
    </w:p>
    <w:p w14:paraId="0BFE76F9" w14:textId="69617316" w:rsidR="00145B90" w:rsidRDefault="00E84CC0">
      <w:pPr>
        <w:ind w:left="360"/>
        <w:rPr>
          <w:highlight w:val="yellow"/>
        </w:rPr>
      </w:pPr>
      <w:r>
        <w:t>X</w:t>
      </w:r>
      <w:r w:rsidR="005735C6">
        <w:t xml:space="preserve">☐ We understand that we will assess literacy using state mandated assessments within the state required testing windows: before September 30, December 1- January 31, and mid-April - June 15. </w:t>
      </w:r>
    </w:p>
    <w:p w14:paraId="3C26D772" w14:textId="5A88F06D" w:rsidR="00145B90" w:rsidRDefault="00E84CC0">
      <w:pPr>
        <w:ind w:left="360"/>
      </w:pPr>
      <w:r>
        <w:t>X</w:t>
      </w:r>
      <w:r w:rsidR="005735C6">
        <w:t xml:space="preserve">☐ We understand that we will submit our literacy data and SIS special codes including if a student received or did not receive intervention by October 30, the last day in February, and June 30 annually. </w:t>
      </w:r>
    </w:p>
    <w:p w14:paraId="3923F19A" w14:textId="527C72D8" w:rsidR="00145B90" w:rsidRDefault="00E84CC0">
      <w:pPr>
        <w:ind w:left="360"/>
      </w:pPr>
      <w:r>
        <w:t>X</w:t>
      </w:r>
      <w:r w:rsidR="005735C6">
        <w:t xml:space="preserve">☐ We understand that we must implement evidence-based remediation interventions for reading if a student is scoring below or well below benchmark. </w:t>
      </w:r>
    </w:p>
    <w:p w14:paraId="32F87BD6" w14:textId="0B4E9BDE" w:rsidR="00145B90" w:rsidRDefault="00E84CC0">
      <w:pPr>
        <w:ind w:left="360"/>
      </w:pPr>
      <w:r>
        <w:t>X</w:t>
      </w:r>
      <w:r w:rsidR="005735C6">
        <w:t xml:space="preserve">☐ We understand that if our plan is not approved by October 15, we forego our Early Literacy Program funds </w:t>
      </w:r>
      <w:r w:rsidR="005735C6">
        <w:rPr>
          <w:i/>
        </w:rPr>
        <w:t>(see R277-406)</w:t>
      </w:r>
      <w:r w:rsidR="005735C6">
        <w:t xml:space="preserve">. </w:t>
      </w:r>
    </w:p>
    <w:p w14:paraId="01B380E3" w14:textId="61BE4D7E" w:rsidR="00145B90" w:rsidRDefault="00E84CC0">
      <w:pPr>
        <w:ind w:left="360"/>
      </w:pPr>
      <w:r>
        <w:t>X</w:t>
      </w:r>
      <w:r w:rsidR="005735C6">
        <w:t xml:space="preserve">☐ We understand that we will report literacy results to all parents of students in grades 1-3 three times per year following guidelines in R277-406. </w:t>
      </w:r>
    </w:p>
    <w:p w14:paraId="5E642428" w14:textId="5CAFBD4D" w:rsidR="00145B90" w:rsidRDefault="00E84CC0">
      <w:pPr>
        <w:ind w:left="360"/>
      </w:pPr>
      <w:r>
        <w:t>X</w:t>
      </w:r>
      <w:r w:rsidR="005735C6">
        <w:t xml:space="preserve">☐ We understand that if our LEA does not meet goal requirements laid out in state code and board rule, our LEA will be required to participate in the System of Support. </w:t>
      </w:r>
    </w:p>
    <w:p w14:paraId="42CC0C5E" w14:textId="5CFE2DB4" w:rsidR="00145B90" w:rsidRDefault="00E84CC0">
      <w:pPr>
        <w:ind w:left="360"/>
      </w:pPr>
      <w:r>
        <w:t>X</w:t>
      </w:r>
      <w:r w:rsidR="005735C6">
        <w:t xml:space="preserve">☐ Early Literacy Program funds shall only be used for early literacy interventions and supports in kindergarten through grade 3 that have proven to significantly increase the percentage of students who are proficient in literacy </w:t>
      </w:r>
      <w:r w:rsidR="005735C6">
        <w:rPr>
          <w:i/>
        </w:rPr>
        <w:t>(53F-2-503).</w:t>
      </w:r>
    </w:p>
    <w:p w14:paraId="290349F7" w14:textId="1E2C4076" w:rsidR="00145B90" w:rsidRDefault="00E84CC0">
      <w:pPr>
        <w:ind w:left="360"/>
      </w:pPr>
      <w:r>
        <w:t>X</w:t>
      </w:r>
      <w:r w:rsidR="005735C6">
        <w:t xml:space="preserve">☐ We understand that if program money is used in a manner that is inconsistent with 53F-2-503 and R277-406, our LEA is liable for reimbursement for the amount of funds improperly used. </w:t>
      </w:r>
    </w:p>
    <w:p w14:paraId="7E395E12" w14:textId="77777777" w:rsidR="00145B90" w:rsidRDefault="005735C6">
      <w:r>
        <w:t xml:space="preserve">By submitting this form, I certify the information I provided on and in connection to this application is true, accurate and complete. I also understand that any false statements on this application I file with the Utah State Board of Education may be grounds for disqualification for Early Literacy Program funds.  </w:t>
      </w:r>
    </w:p>
    <w:p w14:paraId="79DAD478" w14:textId="77777777" w:rsidR="00145B90" w:rsidRDefault="00145B90">
      <w:pPr>
        <w:rPr>
          <w:b/>
          <w:highlight w:val="yellow"/>
        </w:rPr>
      </w:pPr>
    </w:p>
    <w:sectPr w:rsidR="00145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0412A" w14:textId="77777777" w:rsidR="00EA6305" w:rsidRDefault="00EA6305">
      <w:pPr>
        <w:spacing w:after="0" w:line="240" w:lineRule="auto"/>
      </w:pPr>
      <w:r>
        <w:separator/>
      </w:r>
    </w:p>
  </w:endnote>
  <w:endnote w:type="continuationSeparator" w:id="0">
    <w:p w14:paraId="67136C2D" w14:textId="77777777" w:rsidR="00EA6305" w:rsidRDefault="00EA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FF36A" w14:textId="77777777" w:rsidR="00145B90" w:rsidRDefault="0014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9A05F" w14:textId="77777777" w:rsidR="00145B90" w:rsidRDefault="0014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4FC9D" w14:textId="77777777" w:rsidR="00145B90" w:rsidRDefault="0014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3F6F" w14:textId="77777777" w:rsidR="00EA6305" w:rsidRDefault="00EA6305">
      <w:pPr>
        <w:spacing w:after="0" w:line="240" w:lineRule="auto"/>
      </w:pPr>
      <w:r>
        <w:separator/>
      </w:r>
    </w:p>
  </w:footnote>
  <w:footnote w:type="continuationSeparator" w:id="0">
    <w:p w14:paraId="1DE0017C" w14:textId="77777777" w:rsidR="00EA6305" w:rsidRDefault="00EA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E025B" w14:textId="77777777" w:rsidR="00145B90" w:rsidRDefault="0014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D3731" w14:textId="77777777" w:rsidR="00145B90" w:rsidRDefault="0014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F0006" w14:textId="77777777" w:rsidR="00145B90" w:rsidRDefault="00145B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6D2"/>
    <w:multiLevelType w:val="multilevel"/>
    <w:tmpl w:val="CA7C8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52F6"/>
    <w:multiLevelType w:val="hybridMultilevel"/>
    <w:tmpl w:val="0254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66A0"/>
    <w:multiLevelType w:val="multilevel"/>
    <w:tmpl w:val="92B47D1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37920"/>
    <w:multiLevelType w:val="hybridMultilevel"/>
    <w:tmpl w:val="3CB4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32343"/>
    <w:multiLevelType w:val="multilevel"/>
    <w:tmpl w:val="CEC88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37B042B"/>
    <w:multiLevelType w:val="hybridMultilevel"/>
    <w:tmpl w:val="2A74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92140"/>
    <w:multiLevelType w:val="hybridMultilevel"/>
    <w:tmpl w:val="A9300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F2595"/>
    <w:multiLevelType w:val="multilevel"/>
    <w:tmpl w:val="20523B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136153F"/>
    <w:multiLevelType w:val="hybridMultilevel"/>
    <w:tmpl w:val="7E46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90"/>
    <w:rsid w:val="00086995"/>
    <w:rsid w:val="000D0EF5"/>
    <w:rsid w:val="00145B90"/>
    <w:rsid w:val="00165CC4"/>
    <w:rsid w:val="002860D0"/>
    <w:rsid w:val="002C7C53"/>
    <w:rsid w:val="00337AF9"/>
    <w:rsid w:val="00356AE8"/>
    <w:rsid w:val="00381029"/>
    <w:rsid w:val="003B30DB"/>
    <w:rsid w:val="003F3D30"/>
    <w:rsid w:val="005735C6"/>
    <w:rsid w:val="00615DB8"/>
    <w:rsid w:val="00640FC8"/>
    <w:rsid w:val="00650B0D"/>
    <w:rsid w:val="006B04FC"/>
    <w:rsid w:val="00703CBB"/>
    <w:rsid w:val="00762DBC"/>
    <w:rsid w:val="00763C63"/>
    <w:rsid w:val="00777A6A"/>
    <w:rsid w:val="008B1D2D"/>
    <w:rsid w:val="009030D5"/>
    <w:rsid w:val="00A564D1"/>
    <w:rsid w:val="00AE469F"/>
    <w:rsid w:val="00B0509C"/>
    <w:rsid w:val="00B758F3"/>
    <w:rsid w:val="00D23AFE"/>
    <w:rsid w:val="00D40E3D"/>
    <w:rsid w:val="00D85882"/>
    <w:rsid w:val="00DE2358"/>
    <w:rsid w:val="00E73B11"/>
    <w:rsid w:val="00E84CC0"/>
    <w:rsid w:val="00EA6305"/>
    <w:rsid w:val="00FB7BEB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E93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78A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7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7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8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8A1"/>
  </w:style>
  <w:style w:type="paragraph" w:styleId="Footer">
    <w:name w:val="footer"/>
    <w:basedOn w:val="Normal"/>
    <w:link w:val="FooterChar"/>
    <w:uiPriority w:val="99"/>
    <w:unhideWhenUsed/>
    <w:rsid w:val="00DC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8A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C78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86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D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2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arlyLearning20@schools.utah.gov" TargetMode="External"/><Relationship Id="rId9" Type="http://schemas.openxmlformats.org/officeDocument/2006/relationships/hyperlink" Target="https://utahgrants.utah.gov/" TargetMode="External"/><Relationship Id="rId10" Type="http://schemas.openxmlformats.org/officeDocument/2006/relationships/hyperlink" Target="https://datagateway.schools.uta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BWH+zyHpXHAsPvP51EiZvYouQ==">AMUW2mWEBHsc+GOS0imMwW2VG9yc+tEHFDcjxyvkcXmwJQxYcNO7zD1AoaK7+RRcfk4AQYwaVfL3vNBY6XDqo2huCMzrt1ULP3sDsekNYWKC75F+sEpQYW2XlCrwibZJFRAbLtYqLl1D9NqUf8ZWoNKVqyA/uRHDJeqv29SJkBh1QtYoP8KNmx+ccwr5MBwAkuBQDWtYMDQdGdLae+EUojW3VIysy1GHEvEkk6ECrOxD3QmYyejbqDH/QMexocbDUQfU/6YI6PGzj9NZ6J5b38utf6FtCRhtdb5Q4m0sh7yJ4f9iDidop0B4kglHxnP1pK0avtrbF0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1551</Words>
  <Characters>8845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Wiebke, Sara</dc:creator>
  <cp:lastModifiedBy>Microsoft Office User</cp:lastModifiedBy>
  <cp:revision>2</cp:revision>
  <dcterms:created xsi:type="dcterms:W3CDTF">2020-08-10T15:49:00Z</dcterms:created>
  <dcterms:modified xsi:type="dcterms:W3CDTF">2020-08-10T15:49:00Z</dcterms:modified>
</cp:coreProperties>
</file>