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294A" w:rsidRDefault="0064324F" w:rsidP="0064324F">
      <w:pPr>
        <w:spacing w:after="0" w:line="240" w:lineRule="auto"/>
        <w:ind w:left="-180"/>
        <w:rPr>
          <w:rFonts w:ascii="Arial" w:hAnsi="Arial" w:cs="Arial"/>
          <w:b/>
          <w:bCs/>
          <w:color w:val="212529"/>
          <w:shd w:val="clear" w:color="auto" w:fill="FFFFFF"/>
        </w:rPr>
      </w:pPr>
      <w:bookmarkStart w:id="0" w:name="_GoBack"/>
      <w:bookmarkEnd w:id="0"/>
      <w:r>
        <w:rPr>
          <w:rFonts w:ascii="Arial" w:hAnsi="Arial" w:cs="Arial"/>
          <w:b/>
          <w:bCs/>
          <w:color w:val="212529"/>
          <w:shd w:val="clear" w:color="auto" w:fill="FFFFFF"/>
        </w:rPr>
        <w:t>10-15C-6: DENSITY:</w:t>
      </w:r>
    </w:p>
    <w:p w:rsidR="0064324F" w:rsidRDefault="0064324F" w:rsidP="0064324F">
      <w:pPr>
        <w:spacing w:after="0" w:line="240" w:lineRule="auto"/>
        <w:ind w:left="-180"/>
        <w:rPr>
          <w:rFonts w:ascii="Arial" w:hAnsi="Arial" w:cs="Arial"/>
          <w:b/>
          <w:bCs/>
          <w:color w:val="212529"/>
          <w:shd w:val="clear" w:color="auto" w:fill="FFFFFF"/>
        </w:rPr>
      </w:pPr>
    </w:p>
    <w:p w:rsidR="0064324F" w:rsidRDefault="0064324F" w:rsidP="0064324F">
      <w:pPr>
        <w:spacing w:after="0" w:line="240" w:lineRule="auto"/>
        <w:ind w:left="-180"/>
        <w:rPr>
          <w:rFonts w:ascii="Arial" w:hAnsi="Arial" w:cs="Arial"/>
          <w:color w:val="212529"/>
          <w:shd w:val="clear" w:color="auto" w:fill="FFFFFF"/>
        </w:rPr>
      </w:pPr>
      <w:r>
        <w:rPr>
          <w:rFonts w:ascii="Arial" w:hAnsi="Arial" w:cs="Arial"/>
          <w:color w:val="212529"/>
          <w:shd w:val="clear" w:color="auto" w:fill="FFFFFF"/>
        </w:rPr>
        <w:t>B.   Density Bonus: An applicant for a master planned development may be eligible for a density bonus based on additional amenities and creative land use. An applicant may include one or more of the following amenities in the design of the project and be considered for a density bonus. Each amenity is assigned a percentage increase in the total project density for providing that amenity. The bonus increase listed is the maximum allowed, and the planning commission may approve less than the maximum allowed. The sum total of all bonuses allowed may not exceed forty percent (40%) of the base total density:</w:t>
      </w:r>
    </w:p>
    <w:p w:rsidR="0064324F" w:rsidRDefault="0064324F" w:rsidP="00CC358C">
      <w:pPr>
        <w:spacing w:after="0" w:line="240" w:lineRule="auto"/>
        <w:rPr>
          <w:rFonts w:ascii="Arial" w:hAnsi="Arial" w:cs="Arial"/>
          <w:color w:val="212529"/>
          <w:shd w:val="clear" w:color="auto" w:fill="FFFFFF"/>
        </w:rPr>
      </w:pPr>
    </w:p>
    <w:p w:rsidR="0064324F" w:rsidRPr="0064324F" w:rsidRDefault="0064324F" w:rsidP="0064324F">
      <w:pPr>
        <w:shd w:val="clear" w:color="auto" w:fill="FFFFFF"/>
        <w:spacing w:after="0" w:line="240" w:lineRule="auto"/>
        <w:rPr>
          <w:rFonts w:ascii="Arial" w:eastAsia="Times New Roman" w:hAnsi="Arial" w:cs="Arial"/>
          <w:color w:val="212529"/>
          <w:sz w:val="24"/>
          <w:szCs w:val="24"/>
        </w:rPr>
      </w:pPr>
    </w:p>
    <w:tbl>
      <w:tblPr>
        <w:tblW w:w="10500" w:type="dxa"/>
        <w:tblCellMar>
          <w:top w:w="15" w:type="dxa"/>
          <w:left w:w="15" w:type="dxa"/>
          <w:bottom w:w="15" w:type="dxa"/>
          <w:right w:w="15" w:type="dxa"/>
        </w:tblCellMar>
        <w:tblLook w:val="04A0" w:firstRow="1" w:lastRow="0" w:firstColumn="1" w:lastColumn="0" w:noHBand="0" w:noVBand="1"/>
      </w:tblPr>
      <w:tblGrid>
        <w:gridCol w:w="4449"/>
        <w:gridCol w:w="6051"/>
      </w:tblGrid>
      <w:tr w:rsidR="0064324F" w:rsidRPr="0064324F" w:rsidTr="0064324F">
        <w:tc>
          <w:tcPr>
            <w:tcW w:w="0" w:type="auto"/>
            <w:tcBorders>
              <w:top w:val="single" w:sz="8" w:space="0" w:color="000000"/>
              <w:left w:val="single" w:sz="8" w:space="0" w:color="000000"/>
              <w:bottom w:val="single" w:sz="8" w:space="0" w:color="000000"/>
              <w:right w:val="single" w:sz="8" w:space="0" w:color="000000"/>
            </w:tcBorders>
            <w:tcMar>
              <w:top w:w="32" w:type="dxa"/>
              <w:left w:w="108" w:type="dxa"/>
              <w:bottom w:w="32" w:type="dxa"/>
              <w:right w:w="108" w:type="dxa"/>
            </w:tcMar>
            <w:hideMark/>
          </w:tcPr>
          <w:p w:rsidR="0064324F" w:rsidRPr="0064324F" w:rsidRDefault="0064324F" w:rsidP="0064324F">
            <w:pPr>
              <w:spacing w:after="180" w:line="240" w:lineRule="auto"/>
              <w:jc w:val="center"/>
              <w:rPr>
                <w:rFonts w:ascii="Arial" w:eastAsia="Times New Roman" w:hAnsi="Arial" w:cs="Arial"/>
                <w:b/>
                <w:bCs/>
                <w:sz w:val="24"/>
                <w:szCs w:val="24"/>
              </w:rPr>
            </w:pPr>
            <w:r w:rsidRPr="0064324F">
              <w:rPr>
                <w:rFonts w:ascii="Arial" w:eastAsia="Times New Roman" w:hAnsi="Arial" w:cs="Arial"/>
                <w:b/>
                <w:bCs/>
                <w:sz w:val="24"/>
                <w:szCs w:val="24"/>
              </w:rPr>
              <w:t>Amenity Provided</w:t>
            </w:r>
          </w:p>
        </w:tc>
        <w:tc>
          <w:tcPr>
            <w:tcW w:w="0" w:type="auto"/>
            <w:tcBorders>
              <w:top w:val="single" w:sz="8" w:space="0" w:color="000000"/>
              <w:left w:val="single" w:sz="8" w:space="0" w:color="000000"/>
              <w:bottom w:val="single" w:sz="8" w:space="0" w:color="000000"/>
              <w:right w:val="single" w:sz="8" w:space="0" w:color="000000"/>
            </w:tcBorders>
            <w:tcMar>
              <w:top w:w="32" w:type="dxa"/>
              <w:left w:w="108" w:type="dxa"/>
              <w:bottom w:w="32" w:type="dxa"/>
              <w:right w:w="108" w:type="dxa"/>
            </w:tcMar>
            <w:hideMark/>
          </w:tcPr>
          <w:p w:rsidR="0064324F" w:rsidRPr="0064324F" w:rsidRDefault="0064324F" w:rsidP="0064324F">
            <w:pPr>
              <w:spacing w:after="180" w:line="240" w:lineRule="auto"/>
              <w:jc w:val="center"/>
              <w:rPr>
                <w:rFonts w:ascii="Arial" w:eastAsia="Times New Roman" w:hAnsi="Arial" w:cs="Arial"/>
                <w:b/>
                <w:bCs/>
                <w:sz w:val="24"/>
                <w:szCs w:val="24"/>
              </w:rPr>
            </w:pPr>
            <w:r w:rsidRPr="0064324F">
              <w:rPr>
                <w:rFonts w:ascii="Arial" w:eastAsia="Times New Roman" w:hAnsi="Arial" w:cs="Arial"/>
                <w:b/>
                <w:bCs/>
                <w:sz w:val="24"/>
                <w:szCs w:val="24"/>
              </w:rPr>
              <w:t>Maximum Density Bonus</w:t>
            </w:r>
          </w:p>
        </w:tc>
      </w:tr>
    </w:tbl>
    <w:p w:rsidR="0064324F" w:rsidRPr="0064324F" w:rsidRDefault="0064324F" w:rsidP="0064324F">
      <w:pPr>
        <w:shd w:val="clear" w:color="auto" w:fill="FFFFFF"/>
        <w:spacing w:after="0" w:line="240" w:lineRule="auto"/>
        <w:rPr>
          <w:rFonts w:ascii="Arial" w:eastAsia="Times New Roman" w:hAnsi="Arial" w:cs="Arial"/>
          <w:vanish/>
          <w:color w:val="212529"/>
          <w:sz w:val="24"/>
          <w:szCs w:val="24"/>
        </w:rPr>
      </w:pPr>
    </w:p>
    <w:tbl>
      <w:tblPr>
        <w:tblW w:w="10500" w:type="dxa"/>
        <w:tblCellMar>
          <w:top w:w="15" w:type="dxa"/>
          <w:left w:w="15" w:type="dxa"/>
          <w:bottom w:w="15" w:type="dxa"/>
          <w:right w:w="15" w:type="dxa"/>
        </w:tblCellMar>
        <w:tblLook w:val="04A0" w:firstRow="1" w:lastRow="0" w:firstColumn="1" w:lastColumn="0" w:noHBand="0" w:noVBand="1"/>
      </w:tblPr>
      <w:tblGrid>
        <w:gridCol w:w="5022"/>
        <w:gridCol w:w="976"/>
        <w:gridCol w:w="867"/>
        <w:gridCol w:w="3635"/>
      </w:tblGrid>
      <w:tr w:rsidR="0064324F" w:rsidRPr="0064324F" w:rsidTr="0064324F">
        <w:tc>
          <w:tcPr>
            <w:tcW w:w="0" w:type="auto"/>
            <w:gridSpan w:val="2"/>
            <w:tcBorders>
              <w:top w:val="single" w:sz="8" w:space="0" w:color="000000"/>
              <w:left w:val="single" w:sz="8" w:space="0" w:color="000000"/>
              <w:bottom w:val="single" w:sz="8" w:space="0" w:color="000000"/>
              <w:right w:val="single" w:sz="8" w:space="0" w:color="000000"/>
            </w:tcBorders>
            <w:tcMar>
              <w:top w:w="32" w:type="dxa"/>
              <w:left w:w="108" w:type="dxa"/>
              <w:bottom w:w="32" w:type="dxa"/>
              <w:right w:w="108" w:type="dxa"/>
            </w:tcMar>
            <w:hideMark/>
          </w:tcPr>
          <w:p w:rsidR="0064324F" w:rsidRPr="0064324F" w:rsidRDefault="0064324F" w:rsidP="0064324F">
            <w:pPr>
              <w:spacing w:after="0" w:line="240" w:lineRule="auto"/>
              <w:rPr>
                <w:rFonts w:ascii="Times New Roman" w:eastAsia="Times New Roman" w:hAnsi="Times New Roman" w:cs="Times New Roman"/>
                <w:sz w:val="24"/>
                <w:szCs w:val="24"/>
              </w:rPr>
            </w:pPr>
            <w:r w:rsidRPr="0064324F">
              <w:rPr>
                <w:rFonts w:ascii="Times New Roman" w:eastAsia="Times New Roman" w:hAnsi="Times New Roman" w:cs="Times New Roman"/>
                <w:sz w:val="24"/>
                <w:szCs w:val="24"/>
              </w:rPr>
              <w:t>Open space: Increase in open space above base requirements of subsection 10-15C-5I of this article</w:t>
            </w:r>
          </w:p>
        </w:tc>
        <w:tc>
          <w:tcPr>
            <w:tcW w:w="0" w:type="auto"/>
            <w:gridSpan w:val="2"/>
            <w:tcBorders>
              <w:top w:val="single" w:sz="8" w:space="0" w:color="000000"/>
              <w:left w:val="single" w:sz="8" w:space="0" w:color="000000"/>
              <w:bottom w:val="single" w:sz="8" w:space="0" w:color="000000"/>
              <w:right w:val="single" w:sz="8" w:space="0" w:color="000000"/>
            </w:tcBorders>
            <w:tcMar>
              <w:top w:w="32" w:type="dxa"/>
              <w:left w:w="108" w:type="dxa"/>
              <w:bottom w:w="32" w:type="dxa"/>
              <w:right w:w="108" w:type="dxa"/>
            </w:tcMar>
            <w:hideMark/>
          </w:tcPr>
          <w:p w:rsidR="0064324F" w:rsidRPr="0064324F" w:rsidRDefault="0064324F" w:rsidP="0064324F">
            <w:pPr>
              <w:spacing w:after="0" w:line="240" w:lineRule="auto"/>
              <w:rPr>
                <w:rFonts w:ascii="Times New Roman" w:eastAsia="Times New Roman" w:hAnsi="Times New Roman" w:cs="Times New Roman"/>
                <w:sz w:val="24"/>
                <w:szCs w:val="24"/>
              </w:rPr>
            </w:pPr>
            <w:r w:rsidRPr="0064324F">
              <w:rPr>
                <w:rFonts w:ascii="Times New Roman" w:eastAsia="Times New Roman" w:hAnsi="Times New Roman" w:cs="Times New Roman"/>
                <w:sz w:val="24"/>
                <w:szCs w:val="24"/>
              </w:rPr>
              <w:t>0 percent to 2 percent for each 1 percent increase in open space above minimum. Up to 15 percent</w:t>
            </w:r>
          </w:p>
        </w:tc>
      </w:tr>
      <w:tr w:rsidR="0064324F" w:rsidRPr="0064324F" w:rsidTr="0064324F">
        <w:tc>
          <w:tcPr>
            <w:tcW w:w="0" w:type="auto"/>
            <w:gridSpan w:val="2"/>
            <w:tcBorders>
              <w:top w:val="single" w:sz="8" w:space="0" w:color="000000"/>
              <w:left w:val="single" w:sz="8" w:space="0" w:color="000000"/>
              <w:bottom w:val="single" w:sz="8" w:space="0" w:color="000000"/>
              <w:right w:val="single" w:sz="8" w:space="0" w:color="000000"/>
            </w:tcBorders>
            <w:tcMar>
              <w:top w:w="32" w:type="dxa"/>
              <w:left w:w="108" w:type="dxa"/>
              <w:bottom w:w="32" w:type="dxa"/>
              <w:right w:w="108" w:type="dxa"/>
            </w:tcMar>
            <w:hideMark/>
          </w:tcPr>
          <w:p w:rsidR="0064324F" w:rsidRPr="0064324F" w:rsidRDefault="0064324F" w:rsidP="0064324F">
            <w:pPr>
              <w:spacing w:after="0" w:line="240" w:lineRule="auto"/>
              <w:rPr>
                <w:rFonts w:ascii="Times New Roman" w:eastAsia="Times New Roman" w:hAnsi="Times New Roman" w:cs="Times New Roman"/>
                <w:sz w:val="24"/>
                <w:szCs w:val="24"/>
              </w:rPr>
            </w:pPr>
            <w:r w:rsidRPr="0064324F">
              <w:rPr>
                <w:rFonts w:ascii="Times New Roman" w:eastAsia="Times New Roman" w:hAnsi="Times New Roman" w:cs="Times New Roman"/>
                <w:sz w:val="24"/>
                <w:szCs w:val="24"/>
              </w:rPr>
              <w:t>Water conservation plan: Implementation of water conservation plan per subsection 10-15C-5J of this article</w:t>
            </w:r>
          </w:p>
        </w:tc>
        <w:tc>
          <w:tcPr>
            <w:tcW w:w="0" w:type="auto"/>
            <w:gridSpan w:val="2"/>
            <w:tcBorders>
              <w:top w:val="single" w:sz="8" w:space="0" w:color="000000"/>
              <w:left w:val="single" w:sz="8" w:space="0" w:color="000000"/>
              <w:bottom w:val="single" w:sz="8" w:space="0" w:color="000000"/>
              <w:right w:val="single" w:sz="8" w:space="0" w:color="000000"/>
            </w:tcBorders>
            <w:tcMar>
              <w:top w:w="32" w:type="dxa"/>
              <w:left w:w="108" w:type="dxa"/>
              <w:bottom w:w="32" w:type="dxa"/>
              <w:right w:w="108" w:type="dxa"/>
            </w:tcMar>
            <w:hideMark/>
          </w:tcPr>
          <w:p w:rsidR="0064324F" w:rsidRPr="0064324F" w:rsidRDefault="0064324F" w:rsidP="0064324F">
            <w:pPr>
              <w:spacing w:after="0" w:line="240" w:lineRule="auto"/>
              <w:rPr>
                <w:rFonts w:ascii="Times New Roman" w:eastAsia="Times New Roman" w:hAnsi="Times New Roman" w:cs="Times New Roman"/>
                <w:sz w:val="24"/>
                <w:szCs w:val="24"/>
              </w:rPr>
            </w:pPr>
            <w:r w:rsidRPr="0064324F">
              <w:rPr>
                <w:rFonts w:ascii="Times New Roman" w:eastAsia="Times New Roman" w:hAnsi="Times New Roman" w:cs="Times New Roman"/>
                <w:sz w:val="24"/>
                <w:szCs w:val="24"/>
              </w:rPr>
              <w:t>0 percent to 1 percent for each 1 percent reduction of culinary water use below 0.9 acre-feet per year per unit. Up to 15 percent</w:t>
            </w:r>
          </w:p>
        </w:tc>
      </w:tr>
      <w:tr w:rsidR="0064324F" w:rsidRPr="0064324F" w:rsidTr="0064324F">
        <w:tc>
          <w:tcPr>
            <w:tcW w:w="0" w:type="auto"/>
            <w:gridSpan w:val="2"/>
            <w:tcBorders>
              <w:top w:val="single" w:sz="8" w:space="0" w:color="000000"/>
              <w:left w:val="single" w:sz="8" w:space="0" w:color="000000"/>
              <w:bottom w:val="single" w:sz="8" w:space="0" w:color="000000"/>
              <w:right w:val="single" w:sz="8" w:space="0" w:color="000000"/>
            </w:tcBorders>
            <w:tcMar>
              <w:top w:w="32" w:type="dxa"/>
              <w:left w:w="108" w:type="dxa"/>
              <w:bottom w:w="32" w:type="dxa"/>
              <w:right w:w="108" w:type="dxa"/>
            </w:tcMar>
            <w:hideMark/>
          </w:tcPr>
          <w:p w:rsidR="0064324F" w:rsidRPr="0064324F" w:rsidRDefault="0064324F" w:rsidP="0064324F">
            <w:pPr>
              <w:spacing w:after="0" w:line="240" w:lineRule="auto"/>
              <w:rPr>
                <w:rFonts w:ascii="Times New Roman" w:eastAsia="Times New Roman" w:hAnsi="Times New Roman" w:cs="Times New Roman"/>
                <w:sz w:val="24"/>
                <w:szCs w:val="24"/>
              </w:rPr>
            </w:pPr>
            <w:r w:rsidRPr="0064324F">
              <w:rPr>
                <w:rFonts w:ascii="Times New Roman" w:eastAsia="Times New Roman" w:hAnsi="Times New Roman" w:cs="Times New Roman"/>
                <w:sz w:val="24"/>
                <w:szCs w:val="24"/>
              </w:rPr>
              <w:t>Parks: Playground and leisure areas</w:t>
            </w:r>
          </w:p>
        </w:tc>
        <w:tc>
          <w:tcPr>
            <w:tcW w:w="0" w:type="auto"/>
            <w:gridSpan w:val="2"/>
            <w:tcBorders>
              <w:top w:val="single" w:sz="8" w:space="0" w:color="000000"/>
              <w:left w:val="single" w:sz="8" w:space="0" w:color="000000"/>
              <w:bottom w:val="single" w:sz="8" w:space="0" w:color="000000"/>
              <w:right w:val="single" w:sz="8" w:space="0" w:color="000000"/>
            </w:tcBorders>
            <w:tcMar>
              <w:top w:w="32" w:type="dxa"/>
              <w:left w:w="108" w:type="dxa"/>
              <w:bottom w:w="32" w:type="dxa"/>
              <w:right w:w="108" w:type="dxa"/>
            </w:tcMar>
            <w:hideMark/>
          </w:tcPr>
          <w:p w:rsidR="0064324F" w:rsidRPr="0064324F" w:rsidRDefault="0064324F" w:rsidP="0064324F">
            <w:pPr>
              <w:spacing w:after="0" w:line="240" w:lineRule="auto"/>
              <w:rPr>
                <w:rFonts w:ascii="Times New Roman" w:eastAsia="Times New Roman" w:hAnsi="Times New Roman" w:cs="Times New Roman"/>
                <w:sz w:val="24"/>
                <w:szCs w:val="24"/>
              </w:rPr>
            </w:pPr>
            <w:r w:rsidRPr="0064324F">
              <w:rPr>
                <w:rFonts w:ascii="Times New Roman" w:eastAsia="Times New Roman" w:hAnsi="Times New Roman" w:cs="Times New Roman"/>
                <w:sz w:val="24"/>
                <w:szCs w:val="24"/>
              </w:rPr>
              <w:t>Up to 10 percent</w:t>
            </w:r>
          </w:p>
        </w:tc>
      </w:tr>
      <w:tr w:rsidR="0064324F" w:rsidRPr="0064324F" w:rsidTr="0064324F">
        <w:tc>
          <w:tcPr>
            <w:tcW w:w="0" w:type="auto"/>
            <w:gridSpan w:val="2"/>
            <w:tcBorders>
              <w:top w:val="single" w:sz="8" w:space="0" w:color="000000"/>
              <w:left w:val="single" w:sz="8" w:space="0" w:color="000000"/>
              <w:bottom w:val="single" w:sz="8" w:space="0" w:color="000000"/>
              <w:right w:val="single" w:sz="8" w:space="0" w:color="000000"/>
            </w:tcBorders>
            <w:tcMar>
              <w:top w:w="32" w:type="dxa"/>
              <w:left w:w="108" w:type="dxa"/>
              <w:bottom w:w="32" w:type="dxa"/>
              <w:right w:w="108" w:type="dxa"/>
            </w:tcMar>
            <w:hideMark/>
          </w:tcPr>
          <w:p w:rsidR="0064324F" w:rsidRPr="0064324F" w:rsidRDefault="0064324F" w:rsidP="0064324F">
            <w:pPr>
              <w:spacing w:after="0" w:line="240" w:lineRule="auto"/>
              <w:rPr>
                <w:rFonts w:ascii="Times New Roman" w:eastAsia="Times New Roman" w:hAnsi="Times New Roman" w:cs="Times New Roman"/>
                <w:sz w:val="24"/>
                <w:szCs w:val="24"/>
              </w:rPr>
            </w:pPr>
            <w:r w:rsidRPr="0064324F">
              <w:rPr>
                <w:rFonts w:ascii="Times New Roman" w:eastAsia="Times New Roman" w:hAnsi="Times New Roman" w:cs="Times New Roman"/>
                <w:sz w:val="24"/>
                <w:szCs w:val="24"/>
              </w:rPr>
              <w:t>Irrevocable reservation of property for public purposes</w:t>
            </w:r>
          </w:p>
        </w:tc>
        <w:tc>
          <w:tcPr>
            <w:tcW w:w="0" w:type="auto"/>
            <w:gridSpan w:val="2"/>
            <w:tcBorders>
              <w:top w:val="single" w:sz="8" w:space="0" w:color="000000"/>
              <w:left w:val="single" w:sz="8" w:space="0" w:color="000000"/>
              <w:bottom w:val="single" w:sz="8" w:space="0" w:color="000000"/>
              <w:right w:val="single" w:sz="8" w:space="0" w:color="000000"/>
            </w:tcBorders>
            <w:tcMar>
              <w:top w:w="32" w:type="dxa"/>
              <w:left w:w="108" w:type="dxa"/>
              <w:bottom w:w="32" w:type="dxa"/>
              <w:right w:w="108" w:type="dxa"/>
            </w:tcMar>
            <w:hideMark/>
          </w:tcPr>
          <w:p w:rsidR="0064324F" w:rsidRPr="0064324F" w:rsidRDefault="0064324F" w:rsidP="0064324F">
            <w:pPr>
              <w:spacing w:after="0" w:line="240" w:lineRule="auto"/>
              <w:rPr>
                <w:rFonts w:ascii="Times New Roman" w:eastAsia="Times New Roman" w:hAnsi="Times New Roman" w:cs="Times New Roman"/>
                <w:sz w:val="24"/>
                <w:szCs w:val="24"/>
              </w:rPr>
            </w:pPr>
            <w:r w:rsidRPr="0064324F">
              <w:rPr>
                <w:rFonts w:ascii="Times New Roman" w:eastAsia="Times New Roman" w:hAnsi="Times New Roman" w:cs="Times New Roman"/>
                <w:sz w:val="24"/>
                <w:szCs w:val="24"/>
              </w:rPr>
              <w:t>Up to 10 percent</w:t>
            </w:r>
          </w:p>
        </w:tc>
      </w:tr>
      <w:tr w:rsidR="0064324F" w:rsidRPr="0064324F" w:rsidTr="0064324F">
        <w:tc>
          <w:tcPr>
            <w:tcW w:w="0" w:type="auto"/>
            <w:gridSpan w:val="2"/>
            <w:tcBorders>
              <w:top w:val="single" w:sz="8" w:space="0" w:color="000000"/>
              <w:left w:val="single" w:sz="8" w:space="0" w:color="000000"/>
              <w:bottom w:val="single" w:sz="8" w:space="0" w:color="000000"/>
              <w:right w:val="single" w:sz="8" w:space="0" w:color="000000"/>
            </w:tcBorders>
            <w:tcMar>
              <w:top w:w="32" w:type="dxa"/>
              <w:left w:w="108" w:type="dxa"/>
              <w:bottom w:w="32" w:type="dxa"/>
              <w:right w:w="108" w:type="dxa"/>
            </w:tcMar>
            <w:hideMark/>
          </w:tcPr>
          <w:p w:rsidR="0064324F" w:rsidRPr="0064324F" w:rsidRDefault="0064324F" w:rsidP="0064324F">
            <w:pPr>
              <w:spacing w:after="0" w:line="240" w:lineRule="auto"/>
              <w:rPr>
                <w:rFonts w:ascii="Times New Roman" w:eastAsia="Times New Roman" w:hAnsi="Times New Roman" w:cs="Times New Roman"/>
                <w:sz w:val="24"/>
                <w:szCs w:val="24"/>
              </w:rPr>
            </w:pPr>
            <w:r w:rsidRPr="0064324F">
              <w:rPr>
                <w:rFonts w:ascii="Times New Roman" w:eastAsia="Times New Roman" w:hAnsi="Times New Roman" w:cs="Times New Roman"/>
                <w:sz w:val="24"/>
                <w:szCs w:val="24"/>
              </w:rPr>
              <w:t>Trails: Pedestrian, bicycle and/or other recreational trails that are separated from vehicular traffic, within or outside the project</w:t>
            </w:r>
          </w:p>
        </w:tc>
        <w:tc>
          <w:tcPr>
            <w:tcW w:w="0" w:type="auto"/>
            <w:gridSpan w:val="2"/>
            <w:tcBorders>
              <w:top w:val="single" w:sz="8" w:space="0" w:color="000000"/>
              <w:left w:val="single" w:sz="8" w:space="0" w:color="000000"/>
              <w:bottom w:val="single" w:sz="8" w:space="0" w:color="000000"/>
              <w:right w:val="single" w:sz="8" w:space="0" w:color="000000"/>
            </w:tcBorders>
            <w:tcMar>
              <w:top w:w="32" w:type="dxa"/>
              <w:left w:w="108" w:type="dxa"/>
              <w:bottom w:w="32" w:type="dxa"/>
              <w:right w:w="108" w:type="dxa"/>
            </w:tcMar>
            <w:hideMark/>
          </w:tcPr>
          <w:p w:rsidR="0064324F" w:rsidRPr="0064324F" w:rsidRDefault="0064324F" w:rsidP="0064324F">
            <w:pPr>
              <w:spacing w:after="0" w:line="240" w:lineRule="auto"/>
              <w:rPr>
                <w:rFonts w:ascii="Times New Roman" w:eastAsia="Times New Roman" w:hAnsi="Times New Roman" w:cs="Times New Roman"/>
                <w:sz w:val="24"/>
                <w:szCs w:val="24"/>
              </w:rPr>
            </w:pPr>
            <w:r w:rsidRPr="0064324F">
              <w:rPr>
                <w:rFonts w:ascii="Times New Roman" w:eastAsia="Times New Roman" w:hAnsi="Times New Roman" w:cs="Times New Roman"/>
                <w:sz w:val="24"/>
                <w:szCs w:val="24"/>
              </w:rPr>
              <w:t>Up to 5 percent</w:t>
            </w:r>
          </w:p>
        </w:tc>
      </w:tr>
      <w:tr w:rsidR="0064324F" w:rsidRPr="0064324F" w:rsidTr="0064324F">
        <w:tc>
          <w:tcPr>
            <w:tcW w:w="0" w:type="auto"/>
            <w:gridSpan w:val="2"/>
            <w:tcBorders>
              <w:top w:val="single" w:sz="8" w:space="0" w:color="000000"/>
              <w:left w:val="single" w:sz="8" w:space="0" w:color="000000"/>
              <w:bottom w:val="single" w:sz="8" w:space="0" w:color="000000"/>
              <w:right w:val="single" w:sz="8" w:space="0" w:color="000000"/>
            </w:tcBorders>
            <w:shd w:val="clear" w:color="auto" w:fill="FFFFFF"/>
            <w:tcMar>
              <w:top w:w="32" w:type="dxa"/>
              <w:left w:w="108" w:type="dxa"/>
              <w:bottom w:w="32" w:type="dxa"/>
              <w:right w:w="108" w:type="dxa"/>
            </w:tcMar>
            <w:hideMark/>
          </w:tcPr>
          <w:p w:rsidR="0064324F" w:rsidRPr="0064324F" w:rsidRDefault="0064324F" w:rsidP="0064324F">
            <w:pPr>
              <w:spacing w:after="0" w:line="240" w:lineRule="auto"/>
              <w:rPr>
                <w:rFonts w:ascii="Times New Roman" w:eastAsia="Times New Roman" w:hAnsi="Times New Roman" w:cs="Times New Roman"/>
                <w:sz w:val="24"/>
                <w:szCs w:val="24"/>
              </w:rPr>
            </w:pPr>
            <w:r w:rsidRPr="0064324F">
              <w:rPr>
                <w:rFonts w:ascii="Times New Roman" w:eastAsia="Times New Roman" w:hAnsi="Times New Roman" w:cs="Times New Roman"/>
                <w:sz w:val="24"/>
                <w:szCs w:val="24"/>
              </w:rPr>
              <w:t>Active recreation facilities: Facilities which are provided for residents of the MPDO or citizens of the city, such as swimming pools, playgrounds, spas, etc.</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FFFFFF"/>
            <w:tcMar>
              <w:top w:w="32" w:type="dxa"/>
              <w:left w:w="108" w:type="dxa"/>
              <w:bottom w:w="32" w:type="dxa"/>
              <w:right w:w="108" w:type="dxa"/>
            </w:tcMar>
            <w:hideMark/>
          </w:tcPr>
          <w:p w:rsidR="0064324F" w:rsidRPr="0064324F" w:rsidRDefault="0064324F" w:rsidP="0064324F">
            <w:pPr>
              <w:spacing w:after="0" w:line="240" w:lineRule="auto"/>
              <w:rPr>
                <w:rFonts w:ascii="Times New Roman" w:eastAsia="Times New Roman" w:hAnsi="Times New Roman" w:cs="Times New Roman"/>
                <w:sz w:val="24"/>
                <w:szCs w:val="24"/>
              </w:rPr>
            </w:pPr>
            <w:r w:rsidRPr="0064324F">
              <w:rPr>
                <w:rFonts w:ascii="Times New Roman" w:eastAsia="Times New Roman" w:hAnsi="Times New Roman" w:cs="Times New Roman"/>
                <w:sz w:val="24"/>
                <w:szCs w:val="24"/>
              </w:rPr>
              <w:t>Up to 5 percent</w:t>
            </w:r>
          </w:p>
        </w:tc>
      </w:tr>
      <w:tr w:rsidR="0064324F" w:rsidRPr="0064324F" w:rsidTr="0064324F">
        <w:tc>
          <w:tcPr>
            <w:tcW w:w="0" w:type="auto"/>
            <w:gridSpan w:val="2"/>
            <w:tcBorders>
              <w:top w:val="single" w:sz="8" w:space="0" w:color="000000"/>
              <w:left w:val="single" w:sz="8" w:space="0" w:color="000000"/>
              <w:bottom w:val="single" w:sz="8" w:space="0" w:color="000000"/>
              <w:right w:val="single" w:sz="8" w:space="0" w:color="000000"/>
            </w:tcBorders>
            <w:shd w:val="clear" w:color="auto" w:fill="FFFFFF"/>
            <w:tcMar>
              <w:top w:w="32" w:type="dxa"/>
              <w:left w:w="108" w:type="dxa"/>
              <w:bottom w:w="32" w:type="dxa"/>
              <w:right w:w="108" w:type="dxa"/>
            </w:tcMar>
            <w:hideMark/>
          </w:tcPr>
          <w:p w:rsidR="0064324F" w:rsidRPr="0064324F" w:rsidRDefault="0064324F" w:rsidP="0064324F">
            <w:pPr>
              <w:spacing w:after="0" w:line="240" w:lineRule="auto"/>
              <w:rPr>
                <w:rFonts w:ascii="Times New Roman" w:eastAsia="Times New Roman" w:hAnsi="Times New Roman" w:cs="Times New Roman"/>
                <w:sz w:val="24"/>
                <w:szCs w:val="24"/>
              </w:rPr>
            </w:pPr>
            <w:r w:rsidRPr="0064324F">
              <w:rPr>
                <w:rFonts w:ascii="Times New Roman" w:eastAsia="Times New Roman" w:hAnsi="Times New Roman" w:cs="Times New Roman"/>
                <w:sz w:val="24"/>
                <w:szCs w:val="24"/>
              </w:rPr>
              <w:t>Special features: Architectural features, design features, dramatic entryways, etc.</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FFFFFF"/>
            <w:tcMar>
              <w:top w:w="32" w:type="dxa"/>
              <w:left w:w="108" w:type="dxa"/>
              <w:bottom w:w="32" w:type="dxa"/>
              <w:right w:w="108" w:type="dxa"/>
            </w:tcMar>
            <w:hideMark/>
          </w:tcPr>
          <w:p w:rsidR="0064324F" w:rsidRPr="0064324F" w:rsidRDefault="0064324F" w:rsidP="0064324F">
            <w:pPr>
              <w:spacing w:after="0" w:line="240" w:lineRule="auto"/>
              <w:rPr>
                <w:rFonts w:ascii="Times New Roman" w:eastAsia="Times New Roman" w:hAnsi="Times New Roman" w:cs="Times New Roman"/>
                <w:sz w:val="24"/>
                <w:szCs w:val="24"/>
              </w:rPr>
            </w:pPr>
            <w:r w:rsidRPr="0064324F">
              <w:rPr>
                <w:rFonts w:ascii="Times New Roman" w:eastAsia="Times New Roman" w:hAnsi="Times New Roman" w:cs="Times New Roman"/>
                <w:sz w:val="24"/>
                <w:szCs w:val="24"/>
              </w:rPr>
              <w:t>Up to 5 percent</w:t>
            </w:r>
          </w:p>
        </w:tc>
      </w:tr>
      <w:tr w:rsidR="0064324F" w:rsidRPr="0064324F" w:rsidTr="0064324F">
        <w:tc>
          <w:tcPr>
            <w:tcW w:w="0" w:type="auto"/>
            <w:gridSpan w:val="2"/>
            <w:tcBorders>
              <w:top w:val="single" w:sz="8" w:space="0" w:color="000000"/>
              <w:left w:val="single" w:sz="8" w:space="0" w:color="000000"/>
              <w:bottom w:val="single" w:sz="8" w:space="0" w:color="000000"/>
              <w:right w:val="single" w:sz="8" w:space="0" w:color="000000"/>
            </w:tcBorders>
            <w:shd w:val="clear" w:color="auto" w:fill="FFFFFF"/>
            <w:tcMar>
              <w:top w:w="32" w:type="dxa"/>
              <w:left w:w="108" w:type="dxa"/>
              <w:bottom w:w="32" w:type="dxa"/>
              <w:right w:w="108" w:type="dxa"/>
            </w:tcMar>
            <w:hideMark/>
          </w:tcPr>
          <w:p w:rsidR="0064324F" w:rsidRPr="0064324F" w:rsidRDefault="0064324F" w:rsidP="0064324F">
            <w:pPr>
              <w:spacing w:after="0" w:line="240" w:lineRule="auto"/>
              <w:rPr>
                <w:rFonts w:ascii="Times New Roman" w:eastAsia="Times New Roman" w:hAnsi="Times New Roman" w:cs="Times New Roman"/>
                <w:sz w:val="24"/>
                <w:szCs w:val="24"/>
              </w:rPr>
            </w:pPr>
            <w:r w:rsidRPr="0064324F">
              <w:rPr>
                <w:rFonts w:ascii="Times New Roman" w:eastAsia="Times New Roman" w:hAnsi="Times New Roman" w:cs="Times New Roman"/>
                <w:sz w:val="24"/>
                <w:szCs w:val="24"/>
              </w:rPr>
              <w:t>Example of density bonus calculations: A 20 acre parcel that has an approved base density of 2.5 units per acre and includes open space, parks and a water conservation plan:</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FFFFFF"/>
            <w:tcMar>
              <w:top w:w="32" w:type="dxa"/>
              <w:left w:w="108" w:type="dxa"/>
              <w:bottom w:w="32" w:type="dxa"/>
              <w:right w:w="108" w:type="dxa"/>
            </w:tcMar>
            <w:hideMark/>
          </w:tcPr>
          <w:p w:rsidR="0064324F" w:rsidRPr="0064324F" w:rsidRDefault="0064324F" w:rsidP="0064324F">
            <w:pPr>
              <w:spacing w:after="0" w:line="240" w:lineRule="auto"/>
              <w:rPr>
                <w:rFonts w:ascii="Times New Roman" w:eastAsia="Times New Roman" w:hAnsi="Times New Roman" w:cs="Times New Roman"/>
                <w:sz w:val="24"/>
                <w:szCs w:val="24"/>
              </w:rPr>
            </w:pPr>
            <w:r w:rsidRPr="0064324F">
              <w:rPr>
                <w:rFonts w:ascii="Times New Roman" w:eastAsia="Times New Roman" w:hAnsi="Times New Roman" w:cs="Times New Roman"/>
                <w:sz w:val="24"/>
                <w:szCs w:val="24"/>
              </w:rPr>
              <w:t> </w:t>
            </w:r>
          </w:p>
        </w:tc>
      </w:tr>
      <w:tr w:rsidR="0064324F" w:rsidRPr="0064324F" w:rsidTr="0064324F">
        <w:tblPrEx>
          <w:shd w:val="clear" w:color="auto" w:fill="FFFFFF"/>
        </w:tblPrEx>
        <w:trPr>
          <w:gridAfter w:val="1"/>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32" w:type="dxa"/>
              <w:left w:w="108" w:type="dxa"/>
              <w:bottom w:w="32" w:type="dxa"/>
              <w:right w:w="108" w:type="dxa"/>
            </w:tcMar>
            <w:hideMark/>
          </w:tcPr>
          <w:p w:rsidR="0064324F" w:rsidRPr="0064324F" w:rsidRDefault="0064324F" w:rsidP="0064324F">
            <w:pPr>
              <w:spacing w:after="0" w:line="240" w:lineRule="auto"/>
              <w:rPr>
                <w:rFonts w:ascii="Arial" w:eastAsia="Times New Roman" w:hAnsi="Arial" w:cs="Arial"/>
                <w:color w:val="212529"/>
                <w:sz w:val="24"/>
                <w:szCs w:val="24"/>
              </w:rPr>
            </w:pPr>
            <w:r w:rsidRPr="0064324F">
              <w:rPr>
                <w:rFonts w:ascii="Arial" w:eastAsia="Times New Roman" w:hAnsi="Arial" w:cs="Arial"/>
                <w:color w:val="212529"/>
                <w:sz w:val="24"/>
                <w:szCs w:val="24"/>
              </w:rPr>
              <w:br/>
              <w:t>Open space</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FFFFFF"/>
            <w:tcMar>
              <w:top w:w="32" w:type="dxa"/>
              <w:left w:w="108" w:type="dxa"/>
              <w:bottom w:w="32" w:type="dxa"/>
              <w:right w:w="108" w:type="dxa"/>
            </w:tcMar>
            <w:hideMark/>
          </w:tcPr>
          <w:p w:rsidR="0064324F" w:rsidRPr="0064324F" w:rsidRDefault="0064324F" w:rsidP="0064324F">
            <w:pPr>
              <w:spacing w:after="0" w:line="240" w:lineRule="auto"/>
              <w:rPr>
                <w:rFonts w:ascii="Arial" w:eastAsia="Times New Roman" w:hAnsi="Arial" w:cs="Arial"/>
                <w:color w:val="212529"/>
                <w:sz w:val="24"/>
                <w:szCs w:val="24"/>
              </w:rPr>
            </w:pPr>
            <w:r w:rsidRPr="0064324F">
              <w:rPr>
                <w:rFonts w:ascii="Arial" w:eastAsia="Times New Roman" w:hAnsi="Arial" w:cs="Arial"/>
                <w:color w:val="212529"/>
                <w:sz w:val="24"/>
                <w:szCs w:val="24"/>
              </w:rPr>
              <w:t>Up to 15 percent</w:t>
            </w:r>
          </w:p>
        </w:tc>
      </w:tr>
      <w:tr w:rsidR="0064324F" w:rsidRPr="0064324F" w:rsidTr="0064324F">
        <w:tblPrEx>
          <w:shd w:val="clear" w:color="auto" w:fill="FFFFFF"/>
        </w:tblPrEx>
        <w:tc>
          <w:tcPr>
            <w:tcW w:w="0" w:type="auto"/>
            <w:tcBorders>
              <w:top w:val="single" w:sz="8" w:space="0" w:color="000000"/>
              <w:left w:val="single" w:sz="8" w:space="0" w:color="000000"/>
              <w:bottom w:val="single" w:sz="8" w:space="0" w:color="000000"/>
              <w:right w:val="single" w:sz="8" w:space="0" w:color="000000"/>
            </w:tcBorders>
            <w:shd w:val="clear" w:color="auto" w:fill="FFFFFF"/>
            <w:tcMar>
              <w:top w:w="32" w:type="dxa"/>
              <w:left w:w="108" w:type="dxa"/>
              <w:bottom w:w="32" w:type="dxa"/>
              <w:right w:w="108" w:type="dxa"/>
            </w:tcMar>
            <w:hideMark/>
          </w:tcPr>
          <w:p w:rsidR="0064324F" w:rsidRPr="0064324F" w:rsidRDefault="0064324F" w:rsidP="0064324F">
            <w:pPr>
              <w:spacing w:after="0" w:line="240" w:lineRule="auto"/>
              <w:rPr>
                <w:rFonts w:ascii="Arial" w:eastAsia="Times New Roman" w:hAnsi="Arial" w:cs="Arial"/>
                <w:color w:val="212529"/>
                <w:sz w:val="24"/>
                <w:szCs w:val="24"/>
              </w:rPr>
            </w:pPr>
            <w:r w:rsidRPr="0064324F">
              <w:rPr>
                <w:rFonts w:ascii="Arial" w:eastAsia="Times New Roman" w:hAnsi="Arial" w:cs="Arial"/>
                <w:color w:val="212529"/>
                <w:sz w:val="24"/>
                <w:szCs w:val="24"/>
              </w:rPr>
              <w:t> </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FFFFFF"/>
            <w:tcMar>
              <w:top w:w="32" w:type="dxa"/>
              <w:left w:w="108" w:type="dxa"/>
              <w:bottom w:w="32" w:type="dxa"/>
              <w:right w:w="108" w:type="dxa"/>
            </w:tcMar>
            <w:hideMark/>
          </w:tcPr>
          <w:p w:rsidR="0064324F" w:rsidRPr="0064324F" w:rsidRDefault="0064324F" w:rsidP="0064324F">
            <w:pPr>
              <w:spacing w:after="0" w:line="240" w:lineRule="auto"/>
              <w:rPr>
                <w:rFonts w:ascii="Arial" w:eastAsia="Times New Roman" w:hAnsi="Arial" w:cs="Arial"/>
                <w:color w:val="212529"/>
                <w:sz w:val="24"/>
                <w:szCs w:val="24"/>
              </w:rPr>
            </w:pPr>
            <w:r w:rsidRPr="0064324F">
              <w:rPr>
                <w:rFonts w:ascii="Arial" w:eastAsia="Times New Roman" w:hAnsi="Arial" w:cs="Arial"/>
                <w:color w:val="212529"/>
                <w:sz w:val="24"/>
                <w:szCs w:val="24"/>
              </w:rPr>
              <w:t>Parks</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32" w:type="dxa"/>
              <w:left w:w="108" w:type="dxa"/>
              <w:bottom w:w="32" w:type="dxa"/>
              <w:right w:w="108" w:type="dxa"/>
            </w:tcMar>
            <w:hideMark/>
          </w:tcPr>
          <w:p w:rsidR="0064324F" w:rsidRPr="0064324F" w:rsidRDefault="0064324F" w:rsidP="0064324F">
            <w:pPr>
              <w:spacing w:after="0" w:line="240" w:lineRule="auto"/>
              <w:rPr>
                <w:rFonts w:ascii="Arial" w:eastAsia="Times New Roman" w:hAnsi="Arial" w:cs="Arial"/>
                <w:color w:val="212529"/>
                <w:sz w:val="24"/>
                <w:szCs w:val="24"/>
              </w:rPr>
            </w:pPr>
            <w:r w:rsidRPr="0064324F">
              <w:rPr>
                <w:rFonts w:ascii="Arial" w:eastAsia="Times New Roman" w:hAnsi="Arial" w:cs="Arial"/>
                <w:color w:val="212529"/>
                <w:sz w:val="24"/>
                <w:szCs w:val="24"/>
              </w:rPr>
              <w:t>Up to 10 percent</w:t>
            </w:r>
          </w:p>
        </w:tc>
      </w:tr>
      <w:tr w:rsidR="0064324F" w:rsidRPr="0064324F" w:rsidTr="0064324F">
        <w:tblPrEx>
          <w:shd w:val="clear" w:color="auto" w:fill="FFFFFF"/>
        </w:tblPrEx>
        <w:tc>
          <w:tcPr>
            <w:tcW w:w="0" w:type="auto"/>
            <w:tcBorders>
              <w:top w:val="single" w:sz="8" w:space="0" w:color="000000"/>
              <w:left w:val="single" w:sz="8" w:space="0" w:color="000000"/>
              <w:bottom w:val="single" w:sz="8" w:space="0" w:color="000000"/>
              <w:right w:val="single" w:sz="8" w:space="0" w:color="000000"/>
            </w:tcBorders>
            <w:shd w:val="clear" w:color="auto" w:fill="FFFFFF"/>
            <w:tcMar>
              <w:top w:w="32" w:type="dxa"/>
              <w:left w:w="108" w:type="dxa"/>
              <w:bottom w:w="32" w:type="dxa"/>
              <w:right w:w="108" w:type="dxa"/>
            </w:tcMar>
            <w:hideMark/>
          </w:tcPr>
          <w:p w:rsidR="0064324F" w:rsidRPr="0064324F" w:rsidRDefault="0064324F" w:rsidP="0064324F">
            <w:pPr>
              <w:spacing w:after="0" w:line="240" w:lineRule="auto"/>
              <w:rPr>
                <w:rFonts w:ascii="Arial" w:eastAsia="Times New Roman" w:hAnsi="Arial" w:cs="Arial"/>
                <w:color w:val="212529"/>
                <w:sz w:val="24"/>
                <w:szCs w:val="24"/>
              </w:rPr>
            </w:pPr>
            <w:r w:rsidRPr="0064324F">
              <w:rPr>
                <w:rFonts w:ascii="Arial" w:eastAsia="Times New Roman" w:hAnsi="Arial" w:cs="Arial"/>
                <w:color w:val="212529"/>
                <w:sz w:val="24"/>
                <w:szCs w:val="24"/>
              </w:rPr>
              <w:t> </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FFFFFF"/>
            <w:tcMar>
              <w:top w:w="32" w:type="dxa"/>
              <w:left w:w="108" w:type="dxa"/>
              <w:bottom w:w="32" w:type="dxa"/>
              <w:right w:w="108" w:type="dxa"/>
            </w:tcMar>
            <w:hideMark/>
          </w:tcPr>
          <w:p w:rsidR="0064324F" w:rsidRPr="0064324F" w:rsidRDefault="0064324F" w:rsidP="0064324F">
            <w:pPr>
              <w:spacing w:after="0" w:line="240" w:lineRule="auto"/>
              <w:rPr>
                <w:rFonts w:ascii="Arial" w:eastAsia="Times New Roman" w:hAnsi="Arial" w:cs="Arial"/>
                <w:color w:val="212529"/>
                <w:sz w:val="24"/>
                <w:szCs w:val="24"/>
              </w:rPr>
            </w:pPr>
            <w:r w:rsidRPr="0064324F">
              <w:rPr>
                <w:rFonts w:ascii="Arial" w:eastAsia="Times New Roman" w:hAnsi="Arial" w:cs="Arial"/>
                <w:color w:val="212529"/>
                <w:sz w:val="24"/>
                <w:szCs w:val="24"/>
              </w:rPr>
              <w:t>Water conservation plan</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32" w:type="dxa"/>
              <w:left w:w="108" w:type="dxa"/>
              <w:bottom w:w="32" w:type="dxa"/>
              <w:right w:w="108" w:type="dxa"/>
            </w:tcMar>
            <w:hideMark/>
          </w:tcPr>
          <w:p w:rsidR="0064324F" w:rsidRPr="0064324F" w:rsidRDefault="0064324F" w:rsidP="0064324F">
            <w:pPr>
              <w:spacing w:after="0" w:line="240" w:lineRule="auto"/>
              <w:rPr>
                <w:rFonts w:ascii="Arial" w:eastAsia="Times New Roman" w:hAnsi="Arial" w:cs="Arial"/>
                <w:color w:val="212529"/>
                <w:sz w:val="24"/>
                <w:szCs w:val="24"/>
              </w:rPr>
            </w:pPr>
            <w:r w:rsidRPr="0064324F">
              <w:rPr>
                <w:rFonts w:ascii="Arial" w:eastAsia="Times New Roman" w:hAnsi="Arial" w:cs="Arial"/>
                <w:color w:val="212529"/>
                <w:sz w:val="24"/>
                <w:szCs w:val="24"/>
              </w:rPr>
              <w:t>Up to 15 percent</w:t>
            </w:r>
          </w:p>
        </w:tc>
      </w:tr>
      <w:tr w:rsidR="0064324F" w:rsidRPr="0064324F" w:rsidTr="0064324F">
        <w:tblPrEx>
          <w:shd w:val="clear" w:color="auto" w:fill="FFFFFF"/>
        </w:tblPrEx>
        <w:tc>
          <w:tcPr>
            <w:tcW w:w="0" w:type="auto"/>
            <w:tcBorders>
              <w:top w:val="single" w:sz="8" w:space="0" w:color="000000"/>
              <w:left w:val="single" w:sz="8" w:space="0" w:color="000000"/>
              <w:bottom w:val="single" w:sz="8" w:space="0" w:color="000000"/>
              <w:right w:val="single" w:sz="8" w:space="0" w:color="000000"/>
            </w:tcBorders>
            <w:shd w:val="clear" w:color="auto" w:fill="FFFFFF"/>
            <w:tcMar>
              <w:top w:w="32" w:type="dxa"/>
              <w:left w:w="108" w:type="dxa"/>
              <w:bottom w:w="32" w:type="dxa"/>
              <w:right w:w="108" w:type="dxa"/>
            </w:tcMar>
            <w:hideMark/>
          </w:tcPr>
          <w:p w:rsidR="0064324F" w:rsidRPr="0064324F" w:rsidRDefault="0064324F" w:rsidP="0064324F">
            <w:pPr>
              <w:spacing w:after="0" w:line="240" w:lineRule="auto"/>
              <w:rPr>
                <w:rFonts w:ascii="Arial" w:eastAsia="Times New Roman" w:hAnsi="Arial" w:cs="Arial"/>
                <w:color w:val="212529"/>
                <w:sz w:val="24"/>
                <w:szCs w:val="24"/>
              </w:rPr>
            </w:pPr>
            <w:r w:rsidRPr="0064324F">
              <w:rPr>
                <w:rFonts w:ascii="Arial" w:eastAsia="Times New Roman" w:hAnsi="Arial" w:cs="Arial"/>
                <w:color w:val="212529"/>
                <w:sz w:val="24"/>
                <w:szCs w:val="24"/>
              </w:rPr>
              <w:t> </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FFFFFF"/>
            <w:tcMar>
              <w:top w:w="32" w:type="dxa"/>
              <w:left w:w="108" w:type="dxa"/>
              <w:bottom w:w="32" w:type="dxa"/>
              <w:right w:w="108" w:type="dxa"/>
            </w:tcMar>
            <w:hideMark/>
          </w:tcPr>
          <w:p w:rsidR="0064324F" w:rsidRPr="0064324F" w:rsidRDefault="0064324F" w:rsidP="0064324F">
            <w:pPr>
              <w:spacing w:after="0" w:line="240" w:lineRule="auto"/>
              <w:rPr>
                <w:rFonts w:ascii="Arial" w:eastAsia="Times New Roman" w:hAnsi="Arial" w:cs="Arial"/>
                <w:color w:val="212529"/>
                <w:sz w:val="24"/>
                <w:szCs w:val="24"/>
              </w:rPr>
            </w:pPr>
            <w:r w:rsidRPr="0064324F">
              <w:rPr>
                <w:rFonts w:ascii="Arial" w:eastAsia="Times New Roman" w:hAnsi="Arial" w:cs="Arial"/>
                <w:color w:val="212529"/>
                <w:sz w:val="24"/>
                <w:szCs w:val="24"/>
              </w:rPr>
              <w:t>Maximum bonus</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32" w:type="dxa"/>
              <w:left w:w="108" w:type="dxa"/>
              <w:bottom w:w="32" w:type="dxa"/>
              <w:right w:w="108" w:type="dxa"/>
            </w:tcMar>
            <w:hideMark/>
          </w:tcPr>
          <w:p w:rsidR="0064324F" w:rsidRPr="0064324F" w:rsidRDefault="0064324F" w:rsidP="0064324F">
            <w:pPr>
              <w:spacing w:after="0" w:line="240" w:lineRule="auto"/>
              <w:rPr>
                <w:rFonts w:ascii="Arial" w:eastAsia="Times New Roman" w:hAnsi="Arial" w:cs="Arial"/>
                <w:color w:val="212529"/>
                <w:sz w:val="24"/>
                <w:szCs w:val="24"/>
              </w:rPr>
            </w:pPr>
            <w:r w:rsidRPr="0064324F">
              <w:rPr>
                <w:rFonts w:ascii="Arial" w:eastAsia="Times New Roman" w:hAnsi="Arial" w:cs="Arial"/>
                <w:color w:val="212529"/>
                <w:sz w:val="24"/>
                <w:szCs w:val="24"/>
              </w:rPr>
              <w:t>40 percent</w:t>
            </w:r>
          </w:p>
        </w:tc>
      </w:tr>
      <w:tr w:rsidR="0064324F" w:rsidRPr="0064324F" w:rsidTr="0064324F">
        <w:tblPrEx>
          <w:shd w:val="clear" w:color="auto" w:fill="FFFFFF"/>
        </w:tblPrEx>
        <w:tc>
          <w:tcPr>
            <w:tcW w:w="0" w:type="auto"/>
            <w:gridSpan w:val="4"/>
            <w:tcBorders>
              <w:top w:val="single" w:sz="8" w:space="0" w:color="000000"/>
              <w:left w:val="single" w:sz="8" w:space="0" w:color="000000"/>
              <w:bottom w:val="single" w:sz="8" w:space="0" w:color="000000"/>
              <w:right w:val="single" w:sz="8" w:space="0" w:color="000000"/>
            </w:tcBorders>
            <w:shd w:val="clear" w:color="auto" w:fill="FFFFFF"/>
            <w:tcMar>
              <w:top w:w="32" w:type="dxa"/>
              <w:left w:w="108" w:type="dxa"/>
              <w:bottom w:w="32" w:type="dxa"/>
              <w:right w:w="108" w:type="dxa"/>
            </w:tcMar>
            <w:hideMark/>
          </w:tcPr>
          <w:p w:rsidR="0064324F" w:rsidRPr="0064324F" w:rsidRDefault="0064324F" w:rsidP="0064324F">
            <w:pPr>
              <w:spacing w:after="0" w:line="240" w:lineRule="auto"/>
              <w:rPr>
                <w:rFonts w:ascii="Arial" w:eastAsia="Times New Roman" w:hAnsi="Arial" w:cs="Arial"/>
                <w:color w:val="212529"/>
                <w:sz w:val="24"/>
                <w:szCs w:val="24"/>
              </w:rPr>
            </w:pPr>
            <w:r w:rsidRPr="0064324F">
              <w:rPr>
                <w:rFonts w:ascii="Arial" w:eastAsia="Times New Roman" w:hAnsi="Arial" w:cs="Arial"/>
                <w:color w:val="212529"/>
                <w:sz w:val="24"/>
                <w:szCs w:val="24"/>
              </w:rPr>
              <w:t>Calculation: 2.5 base x 40 percent bonus = maximum 3.5 units/acre</w:t>
            </w:r>
          </w:p>
        </w:tc>
      </w:tr>
    </w:tbl>
    <w:p w:rsidR="0064324F" w:rsidRPr="00CC358C" w:rsidRDefault="0064324F" w:rsidP="0064324F">
      <w:pPr>
        <w:spacing w:after="0" w:line="240" w:lineRule="auto"/>
        <w:ind w:left="-540"/>
        <w:rPr>
          <w:rFonts w:ascii="Times New Roman" w:hAnsi="Times New Roman" w:cs="Times New Roman"/>
          <w:sz w:val="24"/>
          <w:szCs w:val="24"/>
        </w:rPr>
      </w:pPr>
    </w:p>
    <w:sectPr w:rsidR="0064324F" w:rsidRPr="00CC358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6D2A" w:rsidRDefault="006E6D2A" w:rsidP="006E6D2A">
      <w:pPr>
        <w:spacing w:after="0" w:line="240" w:lineRule="auto"/>
      </w:pPr>
      <w:r>
        <w:separator/>
      </w:r>
    </w:p>
  </w:endnote>
  <w:endnote w:type="continuationSeparator" w:id="0">
    <w:p w:rsidR="006E6D2A" w:rsidRDefault="006E6D2A" w:rsidP="006E6D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D2A" w:rsidRDefault="006E6D2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D2A" w:rsidRDefault="006E6D2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D2A" w:rsidRDefault="006E6D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6D2A" w:rsidRDefault="006E6D2A" w:rsidP="006E6D2A">
      <w:pPr>
        <w:spacing w:after="0" w:line="240" w:lineRule="auto"/>
      </w:pPr>
      <w:r>
        <w:separator/>
      </w:r>
    </w:p>
  </w:footnote>
  <w:footnote w:type="continuationSeparator" w:id="0">
    <w:p w:rsidR="006E6D2A" w:rsidRDefault="006E6D2A" w:rsidP="006E6D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D2A" w:rsidRDefault="006E6D2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4511503"/>
      <w:docPartObj>
        <w:docPartGallery w:val="Watermarks"/>
        <w:docPartUnique/>
      </w:docPartObj>
    </w:sdtPr>
    <w:sdtContent>
      <w:p w:rsidR="006E6D2A" w:rsidRDefault="006E6D2A">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D2A" w:rsidRDefault="006E6D2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24F"/>
    <w:rsid w:val="0013294A"/>
    <w:rsid w:val="0064324F"/>
    <w:rsid w:val="006E6D2A"/>
    <w:rsid w:val="00CC35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6D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6D2A"/>
  </w:style>
  <w:style w:type="paragraph" w:styleId="Footer">
    <w:name w:val="footer"/>
    <w:basedOn w:val="Normal"/>
    <w:link w:val="FooterChar"/>
    <w:uiPriority w:val="99"/>
    <w:unhideWhenUsed/>
    <w:rsid w:val="006E6D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6D2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6D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6D2A"/>
  </w:style>
  <w:style w:type="paragraph" w:styleId="Footer">
    <w:name w:val="footer"/>
    <w:basedOn w:val="Normal"/>
    <w:link w:val="FooterChar"/>
    <w:uiPriority w:val="99"/>
    <w:unhideWhenUsed/>
    <w:rsid w:val="006E6D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6D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936409">
      <w:bodyDiv w:val="1"/>
      <w:marLeft w:val="0"/>
      <w:marRight w:val="0"/>
      <w:marTop w:val="0"/>
      <w:marBottom w:val="0"/>
      <w:divBdr>
        <w:top w:val="none" w:sz="0" w:space="0" w:color="auto"/>
        <w:left w:val="none" w:sz="0" w:space="0" w:color="auto"/>
        <w:bottom w:val="none" w:sz="0" w:space="0" w:color="auto"/>
        <w:right w:val="none" w:sz="0" w:space="0" w:color="auto"/>
      </w:divBdr>
      <w:divsChild>
        <w:div w:id="1875917735">
          <w:marLeft w:val="0"/>
          <w:marRight w:val="0"/>
          <w:marTop w:val="0"/>
          <w:marBottom w:val="180"/>
          <w:divBdr>
            <w:top w:val="none" w:sz="0" w:space="0" w:color="auto"/>
            <w:left w:val="none" w:sz="0" w:space="0" w:color="auto"/>
            <w:bottom w:val="none" w:sz="0" w:space="0" w:color="auto"/>
            <w:right w:val="none" w:sz="0" w:space="0" w:color="auto"/>
          </w:divBdr>
        </w:div>
        <w:div w:id="174653654">
          <w:marLeft w:val="0"/>
          <w:marRight w:val="0"/>
          <w:marTop w:val="0"/>
          <w:marBottom w:val="180"/>
          <w:divBdr>
            <w:top w:val="none" w:sz="0" w:space="0" w:color="auto"/>
            <w:left w:val="none" w:sz="0" w:space="0" w:color="auto"/>
            <w:bottom w:val="none" w:sz="0" w:space="0" w:color="auto"/>
            <w:right w:val="none" w:sz="0" w:space="0" w:color="auto"/>
          </w:divBdr>
        </w:div>
        <w:div w:id="618076195">
          <w:marLeft w:val="0"/>
          <w:marRight w:val="0"/>
          <w:marTop w:val="0"/>
          <w:marBottom w:val="0"/>
          <w:divBdr>
            <w:top w:val="none" w:sz="0" w:space="0" w:color="auto"/>
            <w:left w:val="none" w:sz="0" w:space="0" w:color="auto"/>
            <w:bottom w:val="none" w:sz="0" w:space="0" w:color="auto"/>
            <w:right w:val="none" w:sz="0" w:space="0" w:color="auto"/>
          </w:divBdr>
        </w:div>
        <w:div w:id="298416524">
          <w:marLeft w:val="0"/>
          <w:marRight w:val="0"/>
          <w:marTop w:val="0"/>
          <w:marBottom w:val="0"/>
          <w:divBdr>
            <w:top w:val="none" w:sz="0" w:space="0" w:color="auto"/>
            <w:left w:val="none" w:sz="0" w:space="0" w:color="auto"/>
            <w:bottom w:val="none" w:sz="0" w:space="0" w:color="auto"/>
            <w:right w:val="none" w:sz="0" w:space="0" w:color="auto"/>
          </w:divBdr>
        </w:div>
        <w:div w:id="441461305">
          <w:marLeft w:val="0"/>
          <w:marRight w:val="0"/>
          <w:marTop w:val="0"/>
          <w:marBottom w:val="0"/>
          <w:divBdr>
            <w:top w:val="none" w:sz="0" w:space="0" w:color="auto"/>
            <w:left w:val="none" w:sz="0" w:space="0" w:color="auto"/>
            <w:bottom w:val="none" w:sz="0" w:space="0" w:color="auto"/>
            <w:right w:val="none" w:sz="0" w:space="0" w:color="auto"/>
          </w:divBdr>
        </w:div>
        <w:div w:id="1463381462">
          <w:marLeft w:val="0"/>
          <w:marRight w:val="0"/>
          <w:marTop w:val="0"/>
          <w:marBottom w:val="0"/>
          <w:divBdr>
            <w:top w:val="none" w:sz="0" w:space="0" w:color="auto"/>
            <w:left w:val="none" w:sz="0" w:space="0" w:color="auto"/>
            <w:bottom w:val="none" w:sz="0" w:space="0" w:color="auto"/>
            <w:right w:val="none" w:sz="0" w:space="0" w:color="auto"/>
          </w:divBdr>
        </w:div>
        <w:div w:id="1716542552">
          <w:marLeft w:val="0"/>
          <w:marRight w:val="0"/>
          <w:marTop w:val="0"/>
          <w:marBottom w:val="0"/>
          <w:divBdr>
            <w:top w:val="none" w:sz="0" w:space="0" w:color="auto"/>
            <w:left w:val="none" w:sz="0" w:space="0" w:color="auto"/>
            <w:bottom w:val="none" w:sz="0" w:space="0" w:color="auto"/>
            <w:right w:val="none" w:sz="0" w:space="0" w:color="auto"/>
          </w:divBdr>
        </w:div>
        <w:div w:id="1011184433">
          <w:marLeft w:val="0"/>
          <w:marRight w:val="0"/>
          <w:marTop w:val="0"/>
          <w:marBottom w:val="0"/>
          <w:divBdr>
            <w:top w:val="none" w:sz="0" w:space="0" w:color="auto"/>
            <w:left w:val="none" w:sz="0" w:space="0" w:color="auto"/>
            <w:bottom w:val="none" w:sz="0" w:space="0" w:color="auto"/>
            <w:right w:val="none" w:sz="0" w:space="0" w:color="auto"/>
          </w:divBdr>
        </w:div>
        <w:div w:id="1042827432">
          <w:marLeft w:val="0"/>
          <w:marRight w:val="0"/>
          <w:marTop w:val="0"/>
          <w:marBottom w:val="0"/>
          <w:divBdr>
            <w:top w:val="none" w:sz="0" w:space="0" w:color="auto"/>
            <w:left w:val="none" w:sz="0" w:space="0" w:color="auto"/>
            <w:bottom w:val="none" w:sz="0" w:space="0" w:color="auto"/>
            <w:right w:val="none" w:sz="0" w:space="0" w:color="auto"/>
          </w:divBdr>
        </w:div>
        <w:div w:id="1940286719">
          <w:marLeft w:val="0"/>
          <w:marRight w:val="0"/>
          <w:marTop w:val="0"/>
          <w:marBottom w:val="0"/>
          <w:divBdr>
            <w:top w:val="none" w:sz="0" w:space="0" w:color="auto"/>
            <w:left w:val="none" w:sz="0" w:space="0" w:color="auto"/>
            <w:bottom w:val="none" w:sz="0" w:space="0" w:color="auto"/>
            <w:right w:val="none" w:sz="0" w:space="0" w:color="auto"/>
          </w:divBdr>
        </w:div>
        <w:div w:id="220411436">
          <w:marLeft w:val="0"/>
          <w:marRight w:val="0"/>
          <w:marTop w:val="0"/>
          <w:marBottom w:val="0"/>
          <w:divBdr>
            <w:top w:val="none" w:sz="0" w:space="0" w:color="auto"/>
            <w:left w:val="none" w:sz="0" w:space="0" w:color="auto"/>
            <w:bottom w:val="none" w:sz="0" w:space="0" w:color="auto"/>
            <w:right w:val="none" w:sz="0" w:space="0" w:color="auto"/>
          </w:divBdr>
        </w:div>
        <w:div w:id="1446731470">
          <w:marLeft w:val="0"/>
          <w:marRight w:val="0"/>
          <w:marTop w:val="0"/>
          <w:marBottom w:val="0"/>
          <w:divBdr>
            <w:top w:val="none" w:sz="0" w:space="0" w:color="auto"/>
            <w:left w:val="none" w:sz="0" w:space="0" w:color="auto"/>
            <w:bottom w:val="none" w:sz="0" w:space="0" w:color="auto"/>
            <w:right w:val="none" w:sz="0" w:space="0" w:color="auto"/>
          </w:divBdr>
        </w:div>
      </w:divsChild>
    </w:div>
    <w:div w:id="1147283727">
      <w:bodyDiv w:val="1"/>
      <w:marLeft w:val="0"/>
      <w:marRight w:val="0"/>
      <w:marTop w:val="0"/>
      <w:marBottom w:val="0"/>
      <w:divBdr>
        <w:top w:val="none" w:sz="0" w:space="0" w:color="auto"/>
        <w:left w:val="none" w:sz="0" w:space="0" w:color="auto"/>
        <w:bottom w:val="none" w:sz="0" w:space="0" w:color="auto"/>
        <w:right w:val="none" w:sz="0" w:space="0" w:color="auto"/>
      </w:divBdr>
      <w:divsChild>
        <w:div w:id="1729108131">
          <w:marLeft w:val="0"/>
          <w:marRight w:val="0"/>
          <w:marTop w:val="0"/>
          <w:marBottom w:val="0"/>
          <w:divBdr>
            <w:top w:val="none" w:sz="0" w:space="0" w:color="auto"/>
            <w:left w:val="none" w:sz="0" w:space="0" w:color="auto"/>
            <w:bottom w:val="none" w:sz="0" w:space="0" w:color="auto"/>
            <w:right w:val="none" w:sz="0" w:space="0" w:color="auto"/>
          </w:divBdr>
        </w:div>
        <w:div w:id="917590029">
          <w:marLeft w:val="0"/>
          <w:marRight w:val="0"/>
          <w:marTop w:val="0"/>
          <w:marBottom w:val="0"/>
          <w:divBdr>
            <w:top w:val="none" w:sz="0" w:space="0" w:color="auto"/>
            <w:left w:val="none" w:sz="0" w:space="0" w:color="auto"/>
            <w:bottom w:val="none" w:sz="0" w:space="0" w:color="auto"/>
            <w:right w:val="none" w:sz="0" w:space="0" w:color="auto"/>
          </w:divBdr>
        </w:div>
        <w:div w:id="274950820">
          <w:marLeft w:val="0"/>
          <w:marRight w:val="0"/>
          <w:marTop w:val="0"/>
          <w:marBottom w:val="0"/>
          <w:divBdr>
            <w:top w:val="none" w:sz="0" w:space="0" w:color="auto"/>
            <w:left w:val="none" w:sz="0" w:space="0" w:color="auto"/>
            <w:bottom w:val="none" w:sz="0" w:space="0" w:color="auto"/>
            <w:right w:val="none" w:sz="0" w:space="0" w:color="auto"/>
          </w:divBdr>
        </w:div>
        <w:div w:id="719982877">
          <w:marLeft w:val="0"/>
          <w:marRight w:val="0"/>
          <w:marTop w:val="0"/>
          <w:marBottom w:val="0"/>
          <w:divBdr>
            <w:top w:val="none" w:sz="0" w:space="0" w:color="auto"/>
            <w:left w:val="none" w:sz="0" w:space="0" w:color="auto"/>
            <w:bottom w:val="none" w:sz="0" w:space="0" w:color="auto"/>
            <w:right w:val="none" w:sz="0" w:space="0" w:color="auto"/>
          </w:divBdr>
        </w:div>
        <w:div w:id="573660786">
          <w:marLeft w:val="0"/>
          <w:marRight w:val="0"/>
          <w:marTop w:val="0"/>
          <w:marBottom w:val="0"/>
          <w:divBdr>
            <w:top w:val="none" w:sz="0" w:space="0" w:color="auto"/>
            <w:left w:val="none" w:sz="0" w:space="0" w:color="auto"/>
            <w:bottom w:val="none" w:sz="0" w:space="0" w:color="auto"/>
            <w:right w:val="none" w:sz="0" w:space="0" w:color="auto"/>
          </w:divBdr>
        </w:div>
        <w:div w:id="1490635914">
          <w:marLeft w:val="0"/>
          <w:marRight w:val="0"/>
          <w:marTop w:val="0"/>
          <w:marBottom w:val="0"/>
          <w:divBdr>
            <w:top w:val="none" w:sz="0" w:space="0" w:color="auto"/>
            <w:left w:val="none" w:sz="0" w:space="0" w:color="auto"/>
            <w:bottom w:val="none" w:sz="0" w:space="0" w:color="auto"/>
            <w:right w:val="none" w:sz="0" w:space="0" w:color="auto"/>
          </w:divBdr>
        </w:div>
        <w:div w:id="1544171817">
          <w:marLeft w:val="0"/>
          <w:marRight w:val="0"/>
          <w:marTop w:val="0"/>
          <w:marBottom w:val="0"/>
          <w:divBdr>
            <w:top w:val="none" w:sz="0" w:space="0" w:color="auto"/>
            <w:left w:val="none" w:sz="0" w:space="0" w:color="auto"/>
            <w:bottom w:val="none" w:sz="0" w:space="0" w:color="auto"/>
            <w:right w:val="none" w:sz="0" w:space="0" w:color="auto"/>
          </w:divBdr>
        </w:div>
        <w:div w:id="462890738">
          <w:marLeft w:val="0"/>
          <w:marRight w:val="0"/>
          <w:marTop w:val="0"/>
          <w:marBottom w:val="0"/>
          <w:divBdr>
            <w:top w:val="none" w:sz="0" w:space="0" w:color="auto"/>
            <w:left w:val="none" w:sz="0" w:space="0" w:color="auto"/>
            <w:bottom w:val="none" w:sz="0" w:space="0" w:color="auto"/>
            <w:right w:val="none" w:sz="0" w:space="0" w:color="auto"/>
          </w:divBdr>
        </w:div>
        <w:div w:id="413279920">
          <w:marLeft w:val="0"/>
          <w:marRight w:val="0"/>
          <w:marTop w:val="0"/>
          <w:marBottom w:val="0"/>
          <w:divBdr>
            <w:top w:val="none" w:sz="0" w:space="0" w:color="auto"/>
            <w:left w:val="none" w:sz="0" w:space="0" w:color="auto"/>
            <w:bottom w:val="none" w:sz="0" w:space="0" w:color="auto"/>
            <w:right w:val="none" w:sz="0" w:space="0" w:color="auto"/>
          </w:divBdr>
        </w:div>
        <w:div w:id="882330117">
          <w:marLeft w:val="0"/>
          <w:marRight w:val="0"/>
          <w:marTop w:val="0"/>
          <w:marBottom w:val="0"/>
          <w:divBdr>
            <w:top w:val="none" w:sz="0" w:space="0" w:color="auto"/>
            <w:left w:val="none" w:sz="0" w:space="0" w:color="auto"/>
            <w:bottom w:val="none" w:sz="0" w:space="0" w:color="auto"/>
            <w:right w:val="none" w:sz="0" w:space="0" w:color="auto"/>
          </w:divBdr>
        </w:div>
        <w:div w:id="1176069273">
          <w:marLeft w:val="0"/>
          <w:marRight w:val="0"/>
          <w:marTop w:val="0"/>
          <w:marBottom w:val="0"/>
          <w:divBdr>
            <w:top w:val="none" w:sz="0" w:space="0" w:color="auto"/>
            <w:left w:val="none" w:sz="0" w:space="0" w:color="auto"/>
            <w:bottom w:val="none" w:sz="0" w:space="0" w:color="auto"/>
            <w:right w:val="none" w:sz="0" w:space="0" w:color="auto"/>
          </w:divBdr>
        </w:div>
        <w:div w:id="1509179442">
          <w:marLeft w:val="0"/>
          <w:marRight w:val="0"/>
          <w:marTop w:val="0"/>
          <w:marBottom w:val="0"/>
          <w:divBdr>
            <w:top w:val="none" w:sz="0" w:space="0" w:color="auto"/>
            <w:left w:val="none" w:sz="0" w:space="0" w:color="auto"/>
            <w:bottom w:val="none" w:sz="0" w:space="0" w:color="auto"/>
            <w:right w:val="none" w:sz="0" w:space="0" w:color="auto"/>
          </w:divBdr>
        </w:div>
      </w:divsChild>
    </w:div>
    <w:div w:id="1852723678">
      <w:bodyDiv w:val="1"/>
      <w:marLeft w:val="0"/>
      <w:marRight w:val="0"/>
      <w:marTop w:val="0"/>
      <w:marBottom w:val="0"/>
      <w:divBdr>
        <w:top w:val="none" w:sz="0" w:space="0" w:color="auto"/>
        <w:left w:val="none" w:sz="0" w:space="0" w:color="auto"/>
        <w:bottom w:val="none" w:sz="0" w:space="0" w:color="auto"/>
        <w:right w:val="none" w:sz="0" w:space="0" w:color="auto"/>
      </w:divBdr>
      <w:divsChild>
        <w:div w:id="1560820782">
          <w:marLeft w:val="0"/>
          <w:marRight w:val="0"/>
          <w:marTop w:val="0"/>
          <w:marBottom w:val="0"/>
          <w:divBdr>
            <w:top w:val="none" w:sz="0" w:space="0" w:color="auto"/>
            <w:left w:val="none" w:sz="0" w:space="0" w:color="auto"/>
            <w:bottom w:val="none" w:sz="0" w:space="0" w:color="auto"/>
            <w:right w:val="none" w:sz="0" w:space="0" w:color="auto"/>
          </w:divBdr>
        </w:div>
        <w:div w:id="1186023225">
          <w:marLeft w:val="0"/>
          <w:marRight w:val="0"/>
          <w:marTop w:val="0"/>
          <w:marBottom w:val="0"/>
          <w:divBdr>
            <w:top w:val="none" w:sz="0" w:space="0" w:color="auto"/>
            <w:left w:val="none" w:sz="0" w:space="0" w:color="auto"/>
            <w:bottom w:val="none" w:sz="0" w:space="0" w:color="auto"/>
            <w:right w:val="none" w:sz="0" w:space="0" w:color="auto"/>
          </w:divBdr>
        </w:div>
        <w:div w:id="2014649268">
          <w:marLeft w:val="0"/>
          <w:marRight w:val="0"/>
          <w:marTop w:val="0"/>
          <w:marBottom w:val="0"/>
          <w:divBdr>
            <w:top w:val="none" w:sz="0" w:space="0" w:color="auto"/>
            <w:left w:val="none" w:sz="0" w:space="0" w:color="auto"/>
            <w:bottom w:val="none" w:sz="0" w:space="0" w:color="auto"/>
            <w:right w:val="none" w:sz="0" w:space="0" w:color="auto"/>
          </w:divBdr>
        </w:div>
        <w:div w:id="1575777771">
          <w:marLeft w:val="0"/>
          <w:marRight w:val="0"/>
          <w:marTop w:val="0"/>
          <w:marBottom w:val="0"/>
          <w:divBdr>
            <w:top w:val="none" w:sz="0" w:space="0" w:color="auto"/>
            <w:left w:val="none" w:sz="0" w:space="0" w:color="auto"/>
            <w:bottom w:val="none" w:sz="0" w:space="0" w:color="auto"/>
            <w:right w:val="none" w:sz="0" w:space="0" w:color="auto"/>
          </w:divBdr>
        </w:div>
        <w:div w:id="1463110434">
          <w:marLeft w:val="0"/>
          <w:marRight w:val="0"/>
          <w:marTop w:val="0"/>
          <w:marBottom w:val="0"/>
          <w:divBdr>
            <w:top w:val="none" w:sz="0" w:space="0" w:color="auto"/>
            <w:left w:val="none" w:sz="0" w:space="0" w:color="auto"/>
            <w:bottom w:val="none" w:sz="0" w:space="0" w:color="auto"/>
            <w:right w:val="none" w:sz="0" w:space="0" w:color="auto"/>
          </w:divBdr>
        </w:div>
        <w:div w:id="20877261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304</Words>
  <Characters>1735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Recorder</dc:creator>
  <cp:lastModifiedBy>Recorder</cp:lastModifiedBy>
  <cp:revision>2</cp:revision>
  <dcterms:created xsi:type="dcterms:W3CDTF">2020-07-13T20:19:00Z</dcterms:created>
  <dcterms:modified xsi:type="dcterms:W3CDTF">2020-07-13T20:42:00Z</dcterms:modified>
</cp:coreProperties>
</file>