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94A" w:rsidRDefault="0064324F" w:rsidP="0064324F">
      <w:pPr>
        <w:spacing w:after="0" w:line="240" w:lineRule="auto"/>
        <w:ind w:left="-180"/>
        <w:rPr>
          <w:rFonts w:ascii="Arial" w:hAnsi="Arial" w:cs="Arial"/>
          <w:b/>
          <w:bCs/>
          <w:color w:val="212529"/>
          <w:shd w:val="clear" w:color="auto" w:fill="FFFFFF"/>
        </w:rPr>
      </w:pPr>
      <w:bookmarkStart w:id="0" w:name="_GoBack"/>
      <w:bookmarkEnd w:id="0"/>
      <w:r>
        <w:rPr>
          <w:rFonts w:ascii="Arial" w:hAnsi="Arial" w:cs="Arial"/>
          <w:b/>
          <w:bCs/>
          <w:color w:val="212529"/>
          <w:shd w:val="clear" w:color="auto" w:fill="FFFFFF"/>
        </w:rPr>
        <w:t>10-15C-6: DENSITY:</w:t>
      </w:r>
    </w:p>
    <w:p w:rsidR="0064324F" w:rsidRDefault="0064324F" w:rsidP="0064324F">
      <w:pPr>
        <w:spacing w:after="0" w:line="240" w:lineRule="auto"/>
        <w:ind w:left="-180"/>
        <w:rPr>
          <w:rFonts w:ascii="Arial" w:hAnsi="Arial" w:cs="Arial"/>
          <w:b/>
          <w:bCs/>
          <w:color w:val="212529"/>
          <w:shd w:val="clear" w:color="auto" w:fill="FFFFFF"/>
        </w:rPr>
      </w:pPr>
    </w:p>
    <w:p w:rsidR="0064324F" w:rsidRDefault="0064324F" w:rsidP="0064324F">
      <w:pPr>
        <w:spacing w:after="0" w:line="240" w:lineRule="auto"/>
        <w:ind w:left="-180"/>
        <w:rPr>
          <w:rFonts w:ascii="Arial" w:hAnsi="Arial" w:cs="Arial"/>
          <w:color w:val="212529"/>
          <w:shd w:val="clear" w:color="auto" w:fill="FFFFFF"/>
        </w:rPr>
      </w:pPr>
      <w:r>
        <w:rPr>
          <w:rFonts w:ascii="Arial" w:hAnsi="Arial" w:cs="Arial"/>
          <w:color w:val="212529"/>
          <w:shd w:val="clear" w:color="auto" w:fill="FFFFFF"/>
        </w:rPr>
        <w:t>B.   Density Bonus: An applicant for a master planned development may be eligible for a density bonus based on additional amenities and creative land use. An applicant may include one or more of the following amenities in the design of the project and be considered for a density bonus. Each amenity is assigned a percentage increase in the total project density for providing that amenity. The bonus increase listed is the maximum allowed, and the planning commission may approve less than the maximum allowed. The sum total of all bonuses allowed may not exceed forty percent (40%) of the base total density:</w:t>
      </w:r>
    </w:p>
    <w:p w:rsidR="0064324F" w:rsidRDefault="0064324F" w:rsidP="00CC358C">
      <w:pPr>
        <w:spacing w:after="0" w:line="240" w:lineRule="auto"/>
        <w:rPr>
          <w:rFonts w:ascii="Arial" w:hAnsi="Arial" w:cs="Arial"/>
          <w:color w:val="212529"/>
          <w:shd w:val="clear" w:color="auto" w:fill="FFFFFF"/>
        </w:rPr>
      </w:pPr>
    </w:p>
    <w:p w:rsidR="0064324F" w:rsidRPr="0064324F" w:rsidRDefault="0064324F" w:rsidP="0064324F">
      <w:pPr>
        <w:shd w:val="clear" w:color="auto" w:fill="FFFFFF"/>
        <w:spacing w:after="0" w:line="240" w:lineRule="auto"/>
        <w:rPr>
          <w:rFonts w:ascii="Arial" w:eastAsia="Times New Roman" w:hAnsi="Arial" w:cs="Arial"/>
          <w:color w:val="212529"/>
          <w:sz w:val="24"/>
          <w:szCs w:val="24"/>
        </w:rPr>
      </w:pPr>
    </w:p>
    <w:tbl>
      <w:tblPr>
        <w:tblW w:w="10500" w:type="dxa"/>
        <w:tblCellMar>
          <w:top w:w="15" w:type="dxa"/>
          <w:left w:w="15" w:type="dxa"/>
          <w:bottom w:w="15" w:type="dxa"/>
          <w:right w:w="15" w:type="dxa"/>
        </w:tblCellMar>
        <w:tblLook w:val="04A0" w:firstRow="1" w:lastRow="0" w:firstColumn="1" w:lastColumn="0" w:noHBand="0" w:noVBand="1"/>
      </w:tblPr>
      <w:tblGrid>
        <w:gridCol w:w="4449"/>
        <w:gridCol w:w="6051"/>
      </w:tblGrid>
      <w:tr w:rsidR="0064324F" w:rsidRPr="0064324F" w:rsidTr="0064324F">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180" w:line="240" w:lineRule="auto"/>
              <w:jc w:val="center"/>
              <w:rPr>
                <w:rFonts w:ascii="Arial" w:eastAsia="Times New Roman" w:hAnsi="Arial" w:cs="Arial"/>
                <w:b/>
                <w:bCs/>
                <w:sz w:val="24"/>
                <w:szCs w:val="24"/>
              </w:rPr>
            </w:pPr>
            <w:r w:rsidRPr="0064324F">
              <w:rPr>
                <w:rFonts w:ascii="Arial" w:eastAsia="Times New Roman" w:hAnsi="Arial" w:cs="Arial"/>
                <w:b/>
                <w:bCs/>
                <w:sz w:val="24"/>
                <w:szCs w:val="24"/>
              </w:rPr>
              <w:t>Amenity Provided</w:t>
            </w:r>
          </w:p>
        </w:t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180" w:line="240" w:lineRule="auto"/>
              <w:jc w:val="center"/>
              <w:rPr>
                <w:rFonts w:ascii="Arial" w:eastAsia="Times New Roman" w:hAnsi="Arial" w:cs="Arial"/>
                <w:b/>
                <w:bCs/>
                <w:sz w:val="24"/>
                <w:szCs w:val="24"/>
              </w:rPr>
            </w:pPr>
            <w:r w:rsidRPr="0064324F">
              <w:rPr>
                <w:rFonts w:ascii="Arial" w:eastAsia="Times New Roman" w:hAnsi="Arial" w:cs="Arial"/>
                <w:b/>
                <w:bCs/>
                <w:sz w:val="24"/>
                <w:szCs w:val="24"/>
              </w:rPr>
              <w:t>Maximum Density Bonus</w:t>
            </w:r>
          </w:p>
        </w:tc>
      </w:tr>
    </w:tbl>
    <w:p w:rsidR="0064324F" w:rsidRPr="0064324F" w:rsidRDefault="0064324F" w:rsidP="0064324F">
      <w:pPr>
        <w:shd w:val="clear" w:color="auto" w:fill="FFFFFF"/>
        <w:spacing w:after="0" w:line="240" w:lineRule="auto"/>
        <w:rPr>
          <w:rFonts w:ascii="Arial" w:eastAsia="Times New Roman" w:hAnsi="Arial" w:cs="Arial"/>
          <w:vanish/>
          <w:color w:val="212529"/>
          <w:sz w:val="24"/>
          <w:szCs w:val="24"/>
        </w:rPr>
      </w:pPr>
    </w:p>
    <w:tbl>
      <w:tblPr>
        <w:tblW w:w="10500" w:type="dxa"/>
        <w:tblCellMar>
          <w:top w:w="15" w:type="dxa"/>
          <w:left w:w="15" w:type="dxa"/>
          <w:bottom w:w="15" w:type="dxa"/>
          <w:right w:w="15" w:type="dxa"/>
        </w:tblCellMar>
        <w:tblLook w:val="04A0" w:firstRow="1" w:lastRow="0" w:firstColumn="1" w:lastColumn="0" w:noHBand="0" w:noVBand="1"/>
      </w:tblPr>
      <w:tblGrid>
        <w:gridCol w:w="5022"/>
        <w:gridCol w:w="976"/>
        <w:gridCol w:w="867"/>
        <w:gridCol w:w="3635"/>
      </w:tblGrid>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Open space: Increase in open space above base requirements of subsection 10-15C-5I of this article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0 percent to 2 percent for each 1 percent increase in open space above minimum. Up to 15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Water conservation plan: Implementation of water conservation plan per subsection 10-15C-5J of this article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0 percent to 1 percent for each 1 percent reduction of culinary water use below 0.9 acre-feet per year per unit. Up to 15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Parks: Playground and leisure areas</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Up to 10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Irrevocable reservation of property for public purposes</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Up to 10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Trails: Pedestrian, bicycle and/or other recreational trails that are separated from vehicular traffic, within or outside the project</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Up to 5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Active recreation facilities: Facilities which are provided for residents of the MPDO or citizens of the city, such as swimming pools, playgrounds, spas, etc.</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Up to 5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Special features: Architectural features, design features, dramatic entryways, etc.</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Up to 5 percent</w:t>
            </w:r>
          </w:p>
        </w:tc>
      </w:tr>
      <w:tr w:rsidR="0064324F" w:rsidRPr="0064324F" w:rsidTr="0064324F">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Example of density bonus calculations: A 20 acre parcel that has an approved base density of 2.5 units per acre and includes open space, parks and a water conservation plan:</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Times New Roman" w:eastAsia="Times New Roman" w:hAnsi="Times New Roman" w:cs="Times New Roman"/>
                <w:sz w:val="24"/>
                <w:szCs w:val="24"/>
              </w:rPr>
            </w:pPr>
            <w:r w:rsidRPr="0064324F">
              <w:rPr>
                <w:rFonts w:ascii="Times New Roman" w:eastAsia="Times New Roman" w:hAnsi="Times New Roman" w:cs="Times New Roman"/>
                <w:sz w:val="24"/>
                <w:szCs w:val="24"/>
              </w:rPr>
              <w:t> </w:t>
            </w:r>
          </w:p>
        </w:tc>
      </w:tr>
      <w:tr w:rsidR="0064324F" w:rsidRPr="0064324F" w:rsidTr="0064324F">
        <w:tblPrEx>
          <w:shd w:val="clear" w:color="auto" w:fill="FFFFFF"/>
        </w:tblPrEx>
        <w:trPr>
          <w:gridAfter w:val="1"/>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br/>
              <w:t>Open space</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Up to 15 percent</w:t>
            </w:r>
          </w:p>
        </w:tc>
      </w:tr>
      <w:tr w:rsidR="0064324F" w:rsidRPr="0064324F" w:rsidTr="0064324F">
        <w:tblPrEx>
          <w:shd w:val="clear" w:color="auto" w:fill="FFFFFF"/>
        </w:tblPrEx>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Parks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Up to 10 percent</w:t>
            </w:r>
          </w:p>
        </w:tc>
      </w:tr>
      <w:tr w:rsidR="0064324F" w:rsidRPr="0064324F" w:rsidTr="0064324F">
        <w:tblPrEx>
          <w:shd w:val="clear" w:color="auto" w:fill="FFFFFF"/>
        </w:tblPrEx>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Water conservation plan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Up to 15 percent</w:t>
            </w:r>
          </w:p>
        </w:tc>
      </w:tr>
      <w:tr w:rsidR="0064324F" w:rsidRPr="0064324F" w:rsidTr="0064324F">
        <w:tblPrEx>
          <w:shd w:val="clear" w:color="auto" w:fill="FFFFFF"/>
        </w:tblPrEx>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Maximum bonus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40 percent</w:t>
            </w:r>
          </w:p>
        </w:tc>
      </w:tr>
      <w:tr w:rsidR="0064324F" w:rsidRPr="0064324F" w:rsidTr="0064324F">
        <w:tblPrEx>
          <w:shd w:val="clear" w:color="auto" w:fill="FFFFFF"/>
        </w:tblPrEx>
        <w:tc>
          <w:tcPr>
            <w:tcW w:w="0" w:type="auto"/>
            <w:gridSpan w:val="4"/>
            <w:tcBorders>
              <w:top w:val="single" w:sz="8" w:space="0" w:color="000000"/>
              <w:left w:val="single" w:sz="8" w:space="0" w:color="000000"/>
              <w:bottom w:val="single" w:sz="8" w:space="0" w:color="000000"/>
              <w:right w:val="single" w:sz="8" w:space="0" w:color="000000"/>
            </w:tcBorders>
            <w:shd w:val="clear" w:color="auto" w:fill="FFFFFF"/>
            <w:tcMar>
              <w:top w:w="32" w:type="dxa"/>
              <w:left w:w="108" w:type="dxa"/>
              <w:bottom w:w="32" w:type="dxa"/>
              <w:right w:w="108" w:type="dxa"/>
            </w:tcMar>
            <w:hideMark/>
          </w:tcPr>
          <w:p w:rsidR="0064324F" w:rsidRPr="0064324F" w:rsidRDefault="0064324F" w:rsidP="0064324F">
            <w:pPr>
              <w:spacing w:after="0" w:line="240" w:lineRule="auto"/>
              <w:rPr>
                <w:rFonts w:ascii="Arial" w:eastAsia="Times New Roman" w:hAnsi="Arial" w:cs="Arial"/>
                <w:color w:val="212529"/>
                <w:sz w:val="24"/>
                <w:szCs w:val="24"/>
              </w:rPr>
            </w:pPr>
            <w:r w:rsidRPr="0064324F">
              <w:rPr>
                <w:rFonts w:ascii="Arial" w:eastAsia="Times New Roman" w:hAnsi="Arial" w:cs="Arial"/>
                <w:color w:val="212529"/>
                <w:sz w:val="24"/>
                <w:szCs w:val="24"/>
              </w:rPr>
              <w:t>Calculation: 2.5 base x 40 percent bonus = maximum 3.5 units/acre</w:t>
            </w:r>
          </w:p>
        </w:tc>
      </w:tr>
    </w:tbl>
    <w:p w:rsidR="0064324F" w:rsidRPr="00CC358C" w:rsidRDefault="0064324F" w:rsidP="0064324F">
      <w:pPr>
        <w:spacing w:after="0" w:line="240" w:lineRule="auto"/>
        <w:ind w:left="-540"/>
        <w:rPr>
          <w:rFonts w:ascii="Times New Roman" w:hAnsi="Times New Roman" w:cs="Times New Roman"/>
          <w:sz w:val="24"/>
          <w:szCs w:val="24"/>
        </w:rPr>
      </w:pPr>
    </w:p>
    <w:sectPr w:rsidR="0064324F" w:rsidRPr="00CC35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D2A" w:rsidRDefault="006E6D2A" w:rsidP="006E6D2A">
      <w:pPr>
        <w:spacing w:after="0" w:line="240" w:lineRule="auto"/>
      </w:pPr>
      <w:r>
        <w:separator/>
      </w:r>
    </w:p>
  </w:endnote>
  <w:endnote w:type="continuationSeparator" w:id="0">
    <w:p w:rsidR="006E6D2A" w:rsidRDefault="006E6D2A" w:rsidP="006E6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D2A" w:rsidRDefault="006E6D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D2A" w:rsidRDefault="006E6D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D2A" w:rsidRDefault="006E6D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D2A" w:rsidRDefault="006E6D2A" w:rsidP="006E6D2A">
      <w:pPr>
        <w:spacing w:after="0" w:line="240" w:lineRule="auto"/>
      </w:pPr>
      <w:r>
        <w:separator/>
      </w:r>
    </w:p>
  </w:footnote>
  <w:footnote w:type="continuationSeparator" w:id="0">
    <w:p w:rsidR="006E6D2A" w:rsidRDefault="006E6D2A" w:rsidP="006E6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D2A" w:rsidRDefault="006E6D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11503"/>
      <w:docPartObj>
        <w:docPartGallery w:val="Watermarks"/>
        <w:docPartUnique/>
      </w:docPartObj>
    </w:sdtPr>
    <w:sdtContent>
      <w:p w:rsidR="006E6D2A" w:rsidRDefault="006E6D2A">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D2A" w:rsidRDefault="006E6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24F"/>
    <w:rsid w:val="0013294A"/>
    <w:rsid w:val="0064324F"/>
    <w:rsid w:val="006E6D2A"/>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D2A"/>
  </w:style>
  <w:style w:type="paragraph" w:styleId="Footer">
    <w:name w:val="footer"/>
    <w:basedOn w:val="Normal"/>
    <w:link w:val="FooterChar"/>
    <w:uiPriority w:val="99"/>
    <w:unhideWhenUsed/>
    <w:rsid w:val="006E6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D2A"/>
  </w:style>
  <w:style w:type="paragraph" w:styleId="Footer">
    <w:name w:val="footer"/>
    <w:basedOn w:val="Normal"/>
    <w:link w:val="FooterChar"/>
    <w:uiPriority w:val="99"/>
    <w:unhideWhenUsed/>
    <w:rsid w:val="006E6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36409">
      <w:bodyDiv w:val="1"/>
      <w:marLeft w:val="0"/>
      <w:marRight w:val="0"/>
      <w:marTop w:val="0"/>
      <w:marBottom w:val="0"/>
      <w:divBdr>
        <w:top w:val="none" w:sz="0" w:space="0" w:color="auto"/>
        <w:left w:val="none" w:sz="0" w:space="0" w:color="auto"/>
        <w:bottom w:val="none" w:sz="0" w:space="0" w:color="auto"/>
        <w:right w:val="none" w:sz="0" w:space="0" w:color="auto"/>
      </w:divBdr>
      <w:divsChild>
        <w:div w:id="1875917735">
          <w:marLeft w:val="0"/>
          <w:marRight w:val="0"/>
          <w:marTop w:val="0"/>
          <w:marBottom w:val="180"/>
          <w:divBdr>
            <w:top w:val="none" w:sz="0" w:space="0" w:color="auto"/>
            <w:left w:val="none" w:sz="0" w:space="0" w:color="auto"/>
            <w:bottom w:val="none" w:sz="0" w:space="0" w:color="auto"/>
            <w:right w:val="none" w:sz="0" w:space="0" w:color="auto"/>
          </w:divBdr>
        </w:div>
        <w:div w:id="174653654">
          <w:marLeft w:val="0"/>
          <w:marRight w:val="0"/>
          <w:marTop w:val="0"/>
          <w:marBottom w:val="180"/>
          <w:divBdr>
            <w:top w:val="none" w:sz="0" w:space="0" w:color="auto"/>
            <w:left w:val="none" w:sz="0" w:space="0" w:color="auto"/>
            <w:bottom w:val="none" w:sz="0" w:space="0" w:color="auto"/>
            <w:right w:val="none" w:sz="0" w:space="0" w:color="auto"/>
          </w:divBdr>
        </w:div>
        <w:div w:id="618076195">
          <w:marLeft w:val="0"/>
          <w:marRight w:val="0"/>
          <w:marTop w:val="0"/>
          <w:marBottom w:val="0"/>
          <w:divBdr>
            <w:top w:val="none" w:sz="0" w:space="0" w:color="auto"/>
            <w:left w:val="none" w:sz="0" w:space="0" w:color="auto"/>
            <w:bottom w:val="none" w:sz="0" w:space="0" w:color="auto"/>
            <w:right w:val="none" w:sz="0" w:space="0" w:color="auto"/>
          </w:divBdr>
        </w:div>
        <w:div w:id="298416524">
          <w:marLeft w:val="0"/>
          <w:marRight w:val="0"/>
          <w:marTop w:val="0"/>
          <w:marBottom w:val="0"/>
          <w:divBdr>
            <w:top w:val="none" w:sz="0" w:space="0" w:color="auto"/>
            <w:left w:val="none" w:sz="0" w:space="0" w:color="auto"/>
            <w:bottom w:val="none" w:sz="0" w:space="0" w:color="auto"/>
            <w:right w:val="none" w:sz="0" w:space="0" w:color="auto"/>
          </w:divBdr>
        </w:div>
        <w:div w:id="441461305">
          <w:marLeft w:val="0"/>
          <w:marRight w:val="0"/>
          <w:marTop w:val="0"/>
          <w:marBottom w:val="0"/>
          <w:divBdr>
            <w:top w:val="none" w:sz="0" w:space="0" w:color="auto"/>
            <w:left w:val="none" w:sz="0" w:space="0" w:color="auto"/>
            <w:bottom w:val="none" w:sz="0" w:space="0" w:color="auto"/>
            <w:right w:val="none" w:sz="0" w:space="0" w:color="auto"/>
          </w:divBdr>
        </w:div>
        <w:div w:id="1463381462">
          <w:marLeft w:val="0"/>
          <w:marRight w:val="0"/>
          <w:marTop w:val="0"/>
          <w:marBottom w:val="0"/>
          <w:divBdr>
            <w:top w:val="none" w:sz="0" w:space="0" w:color="auto"/>
            <w:left w:val="none" w:sz="0" w:space="0" w:color="auto"/>
            <w:bottom w:val="none" w:sz="0" w:space="0" w:color="auto"/>
            <w:right w:val="none" w:sz="0" w:space="0" w:color="auto"/>
          </w:divBdr>
        </w:div>
        <w:div w:id="1716542552">
          <w:marLeft w:val="0"/>
          <w:marRight w:val="0"/>
          <w:marTop w:val="0"/>
          <w:marBottom w:val="0"/>
          <w:divBdr>
            <w:top w:val="none" w:sz="0" w:space="0" w:color="auto"/>
            <w:left w:val="none" w:sz="0" w:space="0" w:color="auto"/>
            <w:bottom w:val="none" w:sz="0" w:space="0" w:color="auto"/>
            <w:right w:val="none" w:sz="0" w:space="0" w:color="auto"/>
          </w:divBdr>
        </w:div>
        <w:div w:id="1011184433">
          <w:marLeft w:val="0"/>
          <w:marRight w:val="0"/>
          <w:marTop w:val="0"/>
          <w:marBottom w:val="0"/>
          <w:divBdr>
            <w:top w:val="none" w:sz="0" w:space="0" w:color="auto"/>
            <w:left w:val="none" w:sz="0" w:space="0" w:color="auto"/>
            <w:bottom w:val="none" w:sz="0" w:space="0" w:color="auto"/>
            <w:right w:val="none" w:sz="0" w:space="0" w:color="auto"/>
          </w:divBdr>
        </w:div>
        <w:div w:id="1042827432">
          <w:marLeft w:val="0"/>
          <w:marRight w:val="0"/>
          <w:marTop w:val="0"/>
          <w:marBottom w:val="0"/>
          <w:divBdr>
            <w:top w:val="none" w:sz="0" w:space="0" w:color="auto"/>
            <w:left w:val="none" w:sz="0" w:space="0" w:color="auto"/>
            <w:bottom w:val="none" w:sz="0" w:space="0" w:color="auto"/>
            <w:right w:val="none" w:sz="0" w:space="0" w:color="auto"/>
          </w:divBdr>
        </w:div>
        <w:div w:id="1940286719">
          <w:marLeft w:val="0"/>
          <w:marRight w:val="0"/>
          <w:marTop w:val="0"/>
          <w:marBottom w:val="0"/>
          <w:divBdr>
            <w:top w:val="none" w:sz="0" w:space="0" w:color="auto"/>
            <w:left w:val="none" w:sz="0" w:space="0" w:color="auto"/>
            <w:bottom w:val="none" w:sz="0" w:space="0" w:color="auto"/>
            <w:right w:val="none" w:sz="0" w:space="0" w:color="auto"/>
          </w:divBdr>
        </w:div>
        <w:div w:id="220411436">
          <w:marLeft w:val="0"/>
          <w:marRight w:val="0"/>
          <w:marTop w:val="0"/>
          <w:marBottom w:val="0"/>
          <w:divBdr>
            <w:top w:val="none" w:sz="0" w:space="0" w:color="auto"/>
            <w:left w:val="none" w:sz="0" w:space="0" w:color="auto"/>
            <w:bottom w:val="none" w:sz="0" w:space="0" w:color="auto"/>
            <w:right w:val="none" w:sz="0" w:space="0" w:color="auto"/>
          </w:divBdr>
        </w:div>
        <w:div w:id="1446731470">
          <w:marLeft w:val="0"/>
          <w:marRight w:val="0"/>
          <w:marTop w:val="0"/>
          <w:marBottom w:val="0"/>
          <w:divBdr>
            <w:top w:val="none" w:sz="0" w:space="0" w:color="auto"/>
            <w:left w:val="none" w:sz="0" w:space="0" w:color="auto"/>
            <w:bottom w:val="none" w:sz="0" w:space="0" w:color="auto"/>
            <w:right w:val="none" w:sz="0" w:space="0" w:color="auto"/>
          </w:divBdr>
        </w:div>
      </w:divsChild>
    </w:div>
    <w:div w:id="1147283727">
      <w:bodyDiv w:val="1"/>
      <w:marLeft w:val="0"/>
      <w:marRight w:val="0"/>
      <w:marTop w:val="0"/>
      <w:marBottom w:val="0"/>
      <w:divBdr>
        <w:top w:val="none" w:sz="0" w:space="0" w:color="auto"/>
        <w:left w:val="none" w:sz="0" w:space="0" w:color="auto"/>
        <w:bottom w:val="none" w:sz="0" w:space="0" w:color="auto"/>
        <w:right w:val="none" w:sz="0" w:space="0" w:color="auto"/>
      </w:divBdr>
      <w:divsChild>
        <w:div w:id="1729108131">
          <w:marLeft w:val="0"/>
          <w:marRight w:val="0"/>
          <w:marTop w:val="0"/>
          <w:marBottom w:val="0"/>
          <w:divBdr>
            <w:top w:val="none" w:sz="0" w:space="0" w:color="auto"/>
            <w:left w:val="none" w:sz="0" w:space="0" w:color="auto"/>
            <w:bottom w:val="none" w:sz="0" w:space="0" w:color="auto"/>
            <w:right w:val="none" w:sz="0" w:space="0" w:color="auto"/>
          </w:divBdr>
        </w:div>
        <w:div w:id="917590029">
          <w:marLeft w:val="0"/>
          <w:marRight w:val="0"/>
          <w:marTop w:val="0"/>
          <w:marBottom w:val="0"/>
          <w:divBdr>
            <w:top w:val="none" w:sz="0" w:space="0" w:color="auto"/>
            <w:left w:val="none" w:sz="0" w:space="0" w:color="auto"/>
            <w:bottom w:val="none" w:sz="0" w:space="0" w:color="auto"/>
            <w:right w:val="none" w:sz="0" w:space="0" w:color="auto"/>
          </w:divBdr>
        </w:div>
        <w:div w:id="274950820">
          <w:marLeft w:val="0"/>
          <w:marRight w:val="0"/>
          <w:marTop w:val="0"/>
          <w:marBottom w:val="0"/>
          <w:divBdr>
            <w:top w:val="none" w:sz="0" w:space="0" w:color="auto"/>
            <w:left w:val="none" w:sz="0" w:space="0" w:color="auto"/>
            <w:bottom w:val="none" w:sz="0" w:space="0" w:color="auto"/>
            <w:right w:val="none" w:sz="0" w:space="0" w:color="auto"/>
          </w:divBdr>
        </w:div>
        <w:div w:id="719982877">
          <w:marLeft w:val="0"/>
          <w:marRight w:val="0"/>
          <w:marTop w:val="0"/>
          <w:marBottom w:val="0"/>
          <w:divBdr>
            <w:top w:val="none" w:sz="0" w:space="0" w:color="auto"/>
            <w:left w:val="none" w:sz="0" w:space="0" w:color="auto"/>
            <w:bottom w:val="none" w:sz="0" w:space="0" w:color="auto"/>
            <w:right w:val="none" w:sz="0" w:space="0" w:color="auto"/>
          </w:divBdr>
        </w:div>
        <w:div w:id="573660786">
          <w:marLeft w:val="0"/>
          <w:marRight w:val="0"/>
          <w:marTop w:val="0"/>
          <w:marBottom w:val="0"/>
          <w:divBdr>
            <w:top w:val="none" w:sz="0" w:space="0" w:color="auto"/>
            <w:left w:val="none" w:sz="0" w:space="0" w:color="auto"/>
            <w:bottom w:val="none" w:sz="0" w:space="0" w:color="auto"/>
            <w:right w:val="none" w:sz="0" w:space="0" w:color="auto"/>
          </w:divBdr>
        </w:div>
        <w:div w:id="1490635914">
          <w:marLeft w:val="0"/>
          <w:marRight w:val="0"/>
          <w:marTop w:val="0"/>
          <w:marBottom w:val="0"/>
          <w:divBdr>
            <w:top w:val="none" w:sz="0" w:space="0" w:color="auto"/>
            <w:left w:val="none" w:sz="0" w:space="0" w:color="auto"/>
            <w:bottom w:val="none" w:sz="0" w:space="0" w:color="auto"/>
            <w:right w:val="none" w:sz="0" w:space="0" w:color="auto"/>
          </w:divBdr>
        </w:div>
        <w:div w:id="1544171817">
          <w:marLeft w:val="0"/>
          <w:marRight w:val="0"/>
          <w:marTop w:val="0"/>
          <w:marBottom w:val="0"/>
          <w:divBdr>
            <w:top w:val="none" w:sz="0" w:space="0" w:color="auto"/>
            <w:left w:val="none" w:sz="0" w:space="0" w:color="auto"/>
            <w:bottom w:val="none" w:sz="0" w:space="0" w:color="auto"/>
            <w:right w:val="none" w:sz="0" w:space="0" w:color="auto"/>
          </w:divBdr>
        </w:div>
        <w:div w:id="462890738">
          <w:marLeft w:val="0"/>
          <w:marRight w:val="0"/>
          <w:marTop w:val="0"/>
          <w:marBottom w:val="0"/>
          <w:divBdr>
            <w:top w:val="none" w:sz="0" w:space="0" w:color="auto"/>
            <w:left w:val="none" w:sz="0" w:space="0" w:color="auto"/>
            <w:bottom w:val="none" w:sz="0" w:space="0" w:color="auto"/>
            <w:right w:val="none" w:sz="0" w:space="0" w:color="auto"/>
          </w:divBdr>
        </w:div>
        <w:div w:id="413279920">
          <w:marLeft w:val="0"/>
          <w:marRight w:val="0"/>
          <w:marTop w:val="0"/>
          <w:marBottom w:val="0"/>
          <w:divBdr>
            <w:top w:val="none" w:sz="0" w:space="0" w:color="auto"/>
            <w:left w:val="none" w:sz="0" w:space="0" w:color="auto"/>
            <w:bottom w:val="none" w:sz="0" w:space="0" w:color="auto"/>
            <w:right w:val="none" w:sz="0" w:space="0" w:color="auto"/>
          </w:divBdr>
        </w:div>
        <w:div w:id="882330117">
          <w:marLeft w:val="0"/>
          <w:marRight w:val="0"/>
          <w:marTop w:val="0"/>
          <w:marBottom w:val="0"/>
          <w:divBdr>
            <w:top w:val="none" w:sz="0" w:space="0" w:color="auto"/>
            <w:left w:val="none" w:sz="0" w:space="0" w:color="auto"/>
            <w:bottom w:val="none" w:sz="0" w:space="0" w:color="auto"/>
            <w:right w:val="none" w:sz="0" w:space="0" w:color="auto"/>
          </w:divBdr>
        </w:div>
        <w:div w:id="1176069273">
          <w:marLeft w:val="0"/>
          <w:marRight w:val="0"/>
          <w:marTop w:val="0"/>
          <w:marBottom w:val="0"/>
          <w:divBdr>
            <w:top w:val="none" w:sz="0" w:space="0" w:color="auto"/>
            <w:left w:val="none" w:sz="0" w:space="0" w:color="auto"/>
            <w:bottom w:val="none" w:sz="0" w:space="0" w:color="auto"/>
            <w:right w:val="none" w:sz="0" w:space="0" w:color="auto"/>
          </w:divBdr>
        </w:div>
        <w:div w:id="1509179442">
          <w:marLeft w:val="0"/>
          <w:marRight w:val="0"/>
          <w:marTop w:val="0"/>
          <w:marBottom w:val="0"/>
          <w:divBdr>
            <w:top w:val="none" w:sz="0" w:space="0" w:color="auto"/>
            <w:left w:val="none" w:sz="0" w:space="0" w:color="auto"/>
            <w:bottom w:val="none" w:sz="0" w:space="0" w:color="auto"/>
            <w:right w:val="none" w:sz="0" w:space="0" w:color="auto"/>
          </w:divBdr>
        </w:div>
      </w:divsChild>
    </w:div>
    <w:div w:id="1852723678">
      <w:bodyDiv w:val="1"/>
      <w:marLeft w:val="0"/>
      <w:marRight w:val="0"/>
      <w:marTop w:val="0"/>
      <w:marBottom w:val="0"/>
      <w:divBdr>
        <w:top w:val="none" w:sz="0" w:space="0" w:color="auto"/>
        <w:left w:val="none" w:sz="0" w:space="0" w:color="auto"/>
        <w:bottom w:val="none" w:sz="0" w:space="0" w:color="auto"/>
        <w:right w:val="none" w:sz="0" w:space="0" w:color="auto"/>
      </w:divBdr>
      <w:divsChild>
        <w:div w:id="1560820782">
          <w:marLeft w:val="0"/>
          <w:marRight w:val="0"/>
          <w:marTop w:val="0"/>
          <w:marBottom w:val="0"/>
          <w:divBdr>
            <w:top w:val="none" w:sz="0" w:space="0" w:color="auto"/>
            <w:left w:val="none" w:sz="0" w:space="0" w:color="auto"/>
            <w:bottom w:val="none" w:sz="0" w:space="0" w:color="auto"/>
            <w:right w:val="none" w:sz="0" w:space="0" w:color="auto"/>
          </w:divBdr>
        </w:div>
        <w:div w:id="1186023225">
          <w:marLeft w:val="0"/>
          <w:marRight w:val="0"/>
          <w:marTop w:val="0"/>
          <w:marBottom w:val="0"/>
          <w:divBdr>
            <w:top w:val="none" w:sz="0" w:space="0" w:color="auto"/>
            <w:left w:val="none" w:sz="0" w:space="0" w:color="auto"/>
            <w:bottom w:val="none" w:sz="0" w:space="0" w:color="auto"/>
            <w:right w:val="none" w:sz="0" w:space="0" w:color="auto"/>
          </w:divBdr>
        </w:div>
        <w:div w:id="2014649268">
          <w:marLeft w:val="0"/>
          <w:marRight w:val="0"/>
          <w:marTop w:val="0"/>
          <w:marBottom w:val="0"/>
          <w:divBdr>
            <w:top w:val="none" w:sz="0" w:space="0" w:color="auto"/>
            <w:left w:val="none" w:sz="0" w:space="0" w:color="auto"/>
            <w:bottom w:val="none" w:sz="0" w:space="0" w:color="auto"/>
            <w:right w:val="none" w:sz="0" w:space="0" w:color="auto"/>
          </w:divBdr>
        </w:div>
        <w:div w:id="1575777771">
          <w:marLeft w:val="0"/>
          <w:marRight w:val="0"/>
          <w:marTop w:val="0"/>
          <w:marBottom w:val="0"/>
          <w:divBdr>
            <w:top w:val="none" w:sz="0" w:space="0" w:color="auto"/>
            <w:left w:val="none" w:sz="0" w:space="0" w:color="auto"/>
            <w:bottom w:val="none" w:sz="0" w:space="0" w:color="auto"/>
            <w:right w:val="none" w:sz="0" w:space="0" w:color="auto"/>
          </w:divBdr>
        </w:div>
        <w:div w:id="1463110434">
          <w:marLeft w:val="0"/>
          <w:marRight w:val="0"/>
          <w:marTop w:val="0"/>
          <w:marBottom w:val="0"/>
          <w:divBdr>
            <w:top w:val="none" w:sz="0" w:space="0" w:color="auto"/>
            <w:left w:val="none" w:sz="0" w:space="0" w:color="auto"/>
            <w:bottom w:val="none" w:sz="0" w:space="0" w:color="auto"/>
            <w:right w:val="none" w:sz="0" w:space="0" w:color="auto"/>
          </w:divBdr>
        </w:div>
        <w:div w:id="2087726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dcterms:created xsi:type="dcterms:W3CDTF">2020-07-13T20:19:00Z</dcterms:created>
  <dcterms:modified xsi:type="dcterms:W3CDTF">2020-07-13T20:42:00Z</dcterms:modified>
</cp:coreProperties>
</file>