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53" w:rsidRDefault="00BE1DB6">
      <w:bookmarkStart w:id="0" w:name="_GoBack"/>
      <w:bookmarkEnd w:id="0"/>
      <w:r>
        <w:tab/>
      </w:r>
      <w:r>
        <w:tab/>
      </w:r>
      <w:r>
        <w:tab/>
      </w:r>
      <w:r>
        <w:tab/>
      </w:r>
      <w:r>
        <w:tab/>
      </w:r>
    </w:p>
    <w:p w:rsidR="00980253" w:rsidRDefault="00BE1DB6">
      <w:pPr>
        <w:rPr>
          <w:rFonts w:ascii="Palatino" w:eastAsia="Palatino" w:hAnsi="Palatino" w:cs="Palatino"/>
        </w:rPr>
      </w:pPr>
      <w:r>
        <w:rPr>
          <w:rFonts w:ascii="Palatino" w:eastAsia="Palatino" w:hAnsi="Palatino" w:cs="Palatino"/>
        </w:rPr>
        <w:t>June 19, 2020</w:t>
      </w:r>
    </w:p>
    <w:p w:rsidR="00980253" w:rsidRDefault="00980253">
      <w:pPr>
        <w:rPr>
          <w:rFonts w:ascii="Palatino" w:eastAsia="Palatino" w:hAnsi="Palatino" w:cs="Palatino"/>
        </w:rPr>
      </w:pP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Mr. Rick Baxter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Program Manager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Bureau of Reclamation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Provo Area Office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302 East Lakeview Parkway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Provo, UT 84606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Dear Mr. Baxter: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We have the honor of serving on the Utah Board of Water Resources (UBWR). Our board is comprised of eight individuals who were appointed by Gov. Gary R. Herbert to represent the eight river districts in the State of Utah. The board has specific powers and </w:t>
      </w:r>
      <w:r>
        <w:rPr>
          <w:rFonts w:ascii="Palatino" w:eastAsia="Palatino" w:hAnsi="Palatino" w:cs="Palatino"/>
        </w:rPr>
        <w:t xml:space="preserve">duties which include working closely with water conservancy districts, including the Washington County Water Conservancy District, to ensure they have the water resources needed to meet future demands.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Recognizing the need to increase the water supply </w:t>
      </w:r>
      <w:r>
        <w:rPr>
          <w:rFonts w:ascii="Palatino" w:eastAsia="Palatino" w:hAnsi="Palatino" w:cs="Palatino"/>
        </w:rPr>
        <w:t>due to a growing population, the Utah State Legislature passed the 2006 Lake Powell Pipeline Development Act (Utah Code 73-28) that authorized the UBWR to build the Lake Powell Pipeline (LPP). In fact, the LPP has been included in the state’s comprehensive</w:t>
      </w:r>
      <w:r>
        <w:rPr>
          <w:rFonts w:ascii="Palatino" w:eastAsia="Palatino" w:hAnsi="Palatino" w:cs="Palatino"/>
        </w:rPr>
        <w:t xml:space="preserve"> water plans for nearly 20 years.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Since the late 1980s, Washington County has experienced the most rapid growth rate in Utah and one of the most rapid in the nation. There are 10 communities in Washington County that need the LPP to improve the reliabi</w:t>
      </w:r>
      <w:r>
        <w:rPr>
          <w:rFonts w:ascii="Palatino" w:eastAsia="Palatino" w:hAnsi="Palatino" w:cs="Palatino"/>
        </w:rPr>
        <w:t xml:space="preserve">lity of water systems, protect against droughts and support economic vitality.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For over a century, the State of Utah and the Bureau of Reclamation have worked together on many important projects and policies including the allocation of water under the t</w:t>
      </w:r>
      <w:r>
        <w:rPr>
          <w:rFonts w:ascii="Palatino" w:eastAsia="Palatino" w:hAnsi="Palatino" w:cs="Palatino"/>
        </w:rPr>
        <w:t xml:space="preserve">erms of the 1922 Compact and the Law of the River. Currently, Utah does not use its full share of water under this law. The LPP will use approximately 6% of Utah’s annual average reliable supply from the Colorado River. Operating at full capacity, the LPP </w:t>
      </w:r>
      <w:r>
        <w:rPr>
          <w:rFonts w:ascii="Palatino" w:eastAsia="Palatino" w:hAnsi="Palatino" w:cs="Palatino"/>
        </w:rPr>
        <w:t xml:space="preserve">will deliver 0.5% of the average </w:t>
      </w:r>
      <w:r>
        <w:rPr>
          <w:rFonts w:ascii="Palatino" w:eastAsia="Palatino" w:hAnsi="Palatino" w:cs="Palatino"/>
        </w:rPr>
        <w:lastRenderedPageBreak/>
        <w:t xml:space="preserve">annual amount of water in Lake Powell according to the Bureau’s statistics. Any impact will, therefore, be minimal.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The LPP is a crucial water delivery project that, with the benefit of modern technology and engineering, P</w:t>
      </w:r>
      <w:r>
        <w:rPr>
          <w:rFonts w:ascii="Palatino" w:eastAsia="Palatino" w:hAnsi="Palatino" w:cs="Palatino"/>
        </w:rPr>
        <w:t>resident Theodore Roosevelt envisioned when he signed the Reclamation Act in 1902. We’re pleased the Bureau of Reclamation and the technical experts who conducted the Draft LPP Environmental Impact Statement (EIS) concluded that Washington County needs the</w:t>
      </w:r>
      <w:r>
        <w:rPr>
          <w:rFonts w:ascii="Palatino" w:eastAsia="Palatino" w:hAnsi="Palatino" w:cs="Palatino"/>
        </w:rPr>
        <w:t xml:space="preserve"> water and can afford to repay the state for the costs of building the project. And it points out that any impacts created during the construction of the project can be mitigated. We ask that the Bureau continue its heritage of supporting the western arid </w:t>
      </w:r>
      <w:r>
        <w:rPr>
          <w:rFonts w:ascii="Palatino" w:eastAsia="Palatino" w:hAnsi="Palatino" w:cs="Palatino"/>
        </w:rPr>
        <w:t xml:space="preserve">states by finalizing the LPP EIS and issuing a Record of Decision approving the Southern Alternative.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980253">
      <w:pPr>
        <w:shd w:val="clear" w:color="auto" w:fill="FFFFFF"/>
        <w:rPr>
          <w:rFonts w:ascii="Palatino" w:eastAsia="Palatino" w:hAnsi="Palatino" w:cs="Palatino"/>
        </w:rPr>
      </w:pPr>
    </w:p>
    <w:p w:rsidR="00980253" w:rsidRDefault="00BE1DB6">
      <w:pPr>
        <w:shd w:val="clear" w:color="auto" w:fill="FFFFFF"/>
        <w:rPr>
          <w:rFonts w:ascii="Palatino" w:eastAsia="Palatino" w:hAnsi="Palatino" w:cs="Palatino"/>
        </w:rPr>
      </w:pPr>
      <w:r>
        <w:rPr>
          <w:rFonts w:ascii="Palatino" w:eastAsia="Palatino" w:hAnsi="Palatino" w:cs="Palatino"/>
        </w:rPr>
        <w:t xml:space="preserve">Sincerely,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Blaine Ipson, Sevier River District, Board Chairman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Kyle Stevens, Weber River District, Board Vice-Chair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Wayne Andersen, Provo River District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Randy Crozier, Green River District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Charles Holmgren, Bear River District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Norman L. Johnson, Upper Colorado River District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James Lemmon, Lower Colorado River District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Juliette Tennert, Salt Lake District </w:t>
      </w:r>
    </w:p>
    <w:p w:rsidR="00980253" w:rsidRDefault="00BE1DB6">
      <w:pPr>
        <w:shd w:val="clear" w:color="auto" w:fill="FFFFFF"/>
        <w:spacing w:line="307" w:lineRule="auto"/>
        <w:rPr>
          <w:rFonts w:ascii="Palatino" w:eastAsia="Palatino" w:hAnsi="Palatino" w:cs="Palatino"/>
        </w:rPr>
      </w:pPr>
      <w:r>
        <w:rPr>
          <w:rFonts w:ascii="Palatino" w:eastAsia="Palatino" w:hAnsi="Palatino" w:cs="Palatino"/>
        </w:rPr>
        <w:t xml:space="preserve">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Utah B</w:t>
      </w:r>
      <w:r>
        <w:rPr>
          <w:rFonts w:ascii="Palatino" w:eastAsia="Palatino" w:hAnsi="Palatino" w:cs="Palatino"/>
        </w:rPr>
        <w:t xml:space="preserve">oard of Water Resources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1594 W North Temple, Suite 310 </w:t>
      </w:r>
    </w:p>
    <w:p w:rsidR="00980253" w:rsidRDefault="00BE1DB6">
      <w:pPr>
        <w:shd w:val="clear" w:color="auto" w:fill="FFFFFF"/>
        <w:spacing w:line="276" w:lineRule="auto"/>
        <w:rPr>
          <w:rFonts w:ascii="Palatino" w:eastAsia="Palatino" w:hAnsi="Palatino" w:cs="Palatino"/>
        </w:rPr>
      </w:pPr>
      <w:r>
        <w:rPr>
          <w:rFonts w:ascii="Palatino" w:eastAsia="Palatino" w:hAnsi="Palatino" w:cs="Palatino"/>
        </w:rPr>
        <w:t xml:space="preserve">Salt Lake City, Utah, 84114 </w:t>
      </w:r>
    </w:p>
    <w:sectPr w:rsidR="00980253">
      <w:headerReference w:type="even" r:id="rId6"/>
      <w:headerReference w:type="default" r:id="rId7"/>
      <w:footerReference w:type="default" r:id="rId8"/>
      <w:headerReference w:type="first" r:id="rId9"/>
      <w:footerReference w:type="first" r:id="rId10"/>
      <w:pgSz w:w="12240" w:h="15840"/>
      <w:pgMar w:top="2794" w:right="72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DB6">
      <w:r>
        <w:separator/>
      </w:r>
    </w:p>
  </w:endnote>
  <w:endnote w:type="continuationSeparator" w:id="0">
    <w:p w:rsidR="00000000" w:rsidRDefault="00BE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53" w:rsidRDefault="00BE1DB6">
    <w:pPr>
      <w:tabs>
        <w:tab w:val="center" w:pos="4320"/>
        <w:tab w:val="right" w:pos="8640"/>
        <w:tab w:val="left" w:pos="720"/>
      </w:tabs>
      <w:spacing w:before="200" w:line="180" w:lineRule="auto"/>
      <w:rPr>
        <w:sz w:val="15"/>
        <w:szCs w:val="15"/>
      </w:rPr>
    </w:pPr>
    <w:r>
      <w:rPr>
        <w:sz w:val="15"/>
        <w:szCs w:val="15"/>
      </w:rPr>
      <w:t>1594 West North Temple, Suite 310, PO Box 146201, Salt Lake City, UT 84114-6201</w:t>
    </w:r>
    <w:r>
      <w:rPr>
        <w:sz w:val="15"/>
        <w:szCs w:val="15"/>
      </w:rPr>
      <w:br/>
    </w:r>
    <w:r>
      <w:rPr>
        <w:sz w:val="15"/>
        <w:szCs w:val="15"/>
      </w:rPr>
      <w:t xml:space="preserve">telephone (801) 538-7230 </w:t>
    </w:r>
    <w:r>
      <w:rPr>
        <w:rFonts w:ascii="Symbol" w:eastAsia="Symbol" w:hAnsi="Symbol" w:cs="Symbol"/>
        <w:sz w:val="13"/>
        <w:szCs w:val="13"/>
      </w:rPr>
      <w:t>∙</w:t>
    </w:r>
    <w:r>
      <w:rPr>
        <w:sz w:val="15"/>
        <w:szCs w:val="15"/>
      </w:rPr>
      <w:t xml:space="preserve"> facsimile (801) 538-7279 </w:t>
    </w:r>
    <w:r>
      <w:rPr>
        <w:rFonts w:ascii="Symbol" w:eastAsia="Symbol" w:hAnsi="Symbol" w:cs="Symbol"/>
        <w:sz w:val="13"/>
        <w:szCs w:val="13"/>
      </w:rPr>
      <w:t>∙</w:t>
    </w:r>
    <w:r>
      <w:rPr>
        <w:sz w:val="15"/>
        <w:szCs w:val="15"/>
      </w:rPr>
      <w:t xml:space="preserve"> TTY (801) 538-7458 </w:t>
    </w:r>
    <w:r>
      <w:rPr>
        <w:rFonts w:ascii="Symbol" w:eastAsia="Symbol" w:hAnsi="Symbol" w:cs="Symbol"/>
        <w:sz w:val="13"/>
        <w:szCs w:val="13"/>
      </w:rPr>
      <w:t>∙</w:t>
    </w:r>
    <w:r>
      <w:rPr>
        <w:sz w:val="15"/>
        <w:szCs w:val="15"/>
      </w:rPr>
      <w:t xml:space="preserve"> </w:t>
    </w:r>
    <w:r>
      <w:rPr>
        <w:i/>
        <w:sz w:val="15"/>
        <w:szCs w:val="15"/>
      </w:rPr>
      <w:t>www.water.utah.gov</w:t>
    </w:r>
  </w:p>
  <w:p w:rsidR="00980253" w:rsidRDefault="00BE1DB6">
    <w:pPr>
      <w:tabs>
        <w:tab w:val="center" w:pos="4320"/>
        <w:tab w:val="right" w:pos="8640"/>
        <w:tab w:val="left" w:pos="720"/>
      </w:tabs>
      <w:spacing w:before="200" w:line="180" w:lineRule="auto"/>
      <w:rPr>
        <w:sz w:val="15"/>
        <w:szCs w:val="15"/>
      </w:rPr>
    </w:pPr>
    <w:r>
      <w:rPr>
        <w:sz w:val="15"/>
        <w:szCs w:val="15"/>
      </w:rPr>
      <w:tab/>
    </w:r>
    <w:r>
      <w:rPr>
        <w:sz w:val="15"/>
        <w:szCs w:val="15"/>
      </w:rPr>
      <w:tab/>
    </w:r>
  </w:p>
  <w:p w:rsidR="00980253" w:rsidRDefault="00980253"/>
  <w:p w:rsidR="00980253" w:rsidRDefault="009802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53" w:rsidRDefault="00BE1DB6">
    <w:pPr>
      <w:pBdr>
        <w:top w:val="nil"/>
        <w:left w:val="nil"/>
        <w:bottom w:val="nil"/>
        <w:right w:val="nil"/>
        <w:between w:val="nil"/>
      </w:pBdr>
      <w:tabs>
        <w:tab w:val="center" w:pos="4320"/>
        <w:tab w:val="right" w:pos="8640"/>
        <w:tab w:val="left" w:pos="720"/>
      </w:tabs>
      <w:spacing w:before="200" w:line="180" w:lineRule="auto"/>
      <w:rPr>
        <w:sz w:val="15"/>
        <w:szCs w:val="15"/>
      </w:rPr>
    </w:pPr>
    <w:r>
      <w:rPr>
        <w:color w:val="000000"/>
        <w:sz w:val="15"/>
        <w:szCs w:val="15"/>
      </w:rPr>
      <w:t>1594 West North Temple, Suite 310, PO Box 146201, Salt Lake City, UT 84114-6201</w:t>
    </w:r>
    <w:r>
      <w:rPr>
        <w:color w:val="000000"/>
        <w:sz w:val="15"/>
        <w:szCs w:val="15"/>
      </w:rPr>
      <w:br/>
      <w:t xml:space="preserve">telephone (801) 538-7230 </w:t>
    </w:r>
    <w:r>
      <w:rPr>
        <w:rFonts w:ascii="Symbol" w:eastAsia="Symbol" w:hAnsi="Symbol" w:cs="Symbol"/>
        <w:color w:val="000000"/>
        <w:sz w:val="13"/>
        <w:szCs w:val="13"/>
      </w:rPr>
      <w:t>∙</w:t>
    </w:r>
    <w:r>
      <w:rPr>
        <w:color w:val="000000"/>
        <w:sz w:val="15"/>
        <w:szCs w:val="15"/>
      </w:rPr>
      <w:t xml:space="preserve"> facsimile (801) 538-7279 </w:t>
    </w:r>
    <w:r>
      <w:rPr>
        <w:rFonts w:ascii="Symbol" w:eastAsia="Symbol" w:hAnsi="Symbol" w:cs="Symbol"/>
        <w:color w:val="000000"/>
        <w:sz w:val="13"/>
        <w:szCs w:val="13"/>
      </w:rPr>
      <w:t>∙</w:t>
    </w:r>
    <w:r>
      <w:rPr>
        <w:color w:val="000000"/>
        <w:sz w:val="15"/>
        <w:szCs w:val="15"/>
      </w:rPr>
      <w:t xml:space="preserve"> TTY (801) 538-7458 </w:t>
    </w:r>
    <w:r>
      <w:rPr>
        <w:rFonts w:ascii="Symbol" w:eastAsia="Symbol" w:hAnsi="Symbol" w:cs="Symbol"/>
        <w:color w:val="000000"/>
        <w:sz w:val="13"/>
        <w:szCs w:val="13"/>
      </w:rPr>
      <w:t>∙</w:t>
    </w:r>
    <w:r>
      <w:rPr>
        <w:color w:val="000000"/>
        <w:sz w:val="15"/>
        <w:szCs w:val="15"/>
      </w:rPr>
      <w:t xml:space="preserve"> </w:t>
    </w:r>
    <w:r>
      <w:rPr>
        <w:i/>
        <w:color w:val="000000"/>
        <w:sz w:val="15"/>
        <w:szCs w:val="15"/>
      </w:rPr>
      <w:t>ww</w:t>
    </w:r>
    <w:r>
      <w:rPr>
        <w:i/>
        <w:color w:val="000000"/>
        <w:sz w:val="15"/>
        <w:szCs w:val="15"/>
      </w:rPr>
      <w:t>w.water.utah.gov</w:t>
    </w:r>
  </w:p>
  <w:p w:rsidR="00980253" w:rsidRDefault="00BE1DB6">
    <w:pPr>
      <w:tabs>
        <w:tab w:val="center" w:pos="4320"/>
        <w:tab w:val="right" w:pos="8640"/>
        <w:tab w:val="left" w:pos="720"/>
      </w:tabs>
      <w:spacing w:before="200" w:line="180" w:lineRule="auto"/>
      <w:rPr>
        <w:sz w:val="15"/>
        <w:szCs w:val="15"/>
      </w:rPr>
    </w:pPr>
    <w:r>
      <w:rPr>
        <w:sz w:val="15"/>
        <w:szCs w:val="15"/>
      </w:rPr>
      <w:tab/>
    </w:r>
    <w:r>
      <w:rPr>
        <w:sz w:val="15"/>
        <w:szCs w:val="15"/>
      </w:rPr>
      <w:tab/>
    </w:r>
  </w:p>
  <w:p w:rsidR="00980253" w:rsidRDefault="009802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DB6">
      <w:r>
        <w:separator/>
      </w:r>
    </w:p>
  </w:footnote>
  <w:footnote w:type="continuationSeparator" w:id="0">
    <w:p w:rsidR="00000000" w:rsidRDefault="00BE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53" w:rsidRDefault="00980253"/>
  <w:p w:rsidR="00980253" w:rsidRDefault="00980253"/>
  <w:p w:rsidR="00980253" w:rsidRDefault="00980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53" w:rsidRDefault="00980253"/>
  <w:p w:rsidR="00980253" w:rsidRDefault="00BE1DB6">
    <w:pPr>
      <w:spacing w:before="40"/>
    </w:pPr>
    <w:r>
      <w:t xml:space="preserve">Page </w:t>
    </w:r>
    <w:r>
      <w:fldChar w:fldCharType="begin"/>
    </w:r>
    <w:r>
      <w:instrText>PAGE</w:instrText>
    </w:r>
    <w:r>
      <w:fldChar w:fldCharType="separate"/>
    </w:r>
    <w:r>
      <w:rPr>
        <w:noProof/>
      </w:rPr>
      <w:t>2</w:t>
    </w:r>
    <w:r>
      <w:fldChar w:fldCharType="end"/>
    </w:r>
  </w:p>
  <w:p w:rsidR="00980253" w:rsidRDefault="00BE1DB6">
    <w:r>
      <w:t>June 18,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53" w:rsidRDefault="00BE1DB6">
    <w:pPr>
      <w:ind w:left="1440" w:firstLine="450"/>
      <w:rPr>
        <w:b/>
        <w:sz w:val="44"/>
        <w:szCs w:val="44"/>
      </w:rPr>
    </w:pPr>
    <w:r>
      <w:rPr>
        <w:noProof/>
      </w:rPr>
      <w:drawing>
        <wp:anchor distT="0" distB="0" distL="114300" distR="114300" simplePos="0" relativeHeight="251658240" behindDoc="0" locked="0" layoutInCell="1" hidden="0" allowOverlap="1">
          <wp:simplePos x="0" y="0"/>
          <wp:positionH relativeFrom="margin">
            <wp:posOffset>164465</wp:posOffset>
          </wp:positionH>
          <wp:positionV relativeFrom="margin">
            <wp:posOffset>-1344294</wp:posOffset>
          </wp:positionV>
          <wp:extent cx="721995" cy="728980"/>
          <wp:effectExtent l="0" t="0" r="0" b="0"/>
          <wp:wrapSquare wrapText="bothSides" distT="0" distB="0" distL="114300" distR="114300"/>
          <wp:docPr id="4" name="image4.jpg" descr="State Seal-blue on white"/>
          <wp:cNvGraphicFramePr/>
          <a:graphic xmlns:a="http://schemas.openxmlformats.org/drawingml/2006/main">
            <a:graphicData uri="http://schemas.openxmlformats.org/drawingml/2006/picture">
              <pic:pic xmlns:pic="http://schemas.openxmlformats.org/drawingml/2006/picture">
                <pic:nvPicPr>
                  <pic:cNvPr id="0" name="image4.jpg" descr="State Seal-blue on white"/>
                  <pic:cNvPicPr preferRelativeResize="0"/>
                </pic:nvPicPr>
                <pic:blipFill>
                  <a:blip r:embed="rId1"/>
                  <a:srcRect/>
                  <a:stretch>
                    <a:fillRect/>
                  </a:stretch>
                </pic:blipFill>
                <pic:spPr>
                  <a:xfrm>
                    <a:off x="0" y="0"/>
                    <a:ext cx="721995" cy="728980"/>
                  </a:xfrm>
                  <a:prstGeom prst="rect">
                    <a:avLst/>
                  </a:prstGeom>
                  <a:ln/>
                </pic:spPr>
              </pic:pic>
            </a:graphicData>
          </a:graphic>
        </wp:anchor>
      </w:drawing>
    </w:r>
    <w:r>
      <w:rPr>
        <w:b/>
        <w:sz w:val="44"/>
        <w:szCs w:val="44"/>
      </w:rPr>
      <w:t>State of Utah</w:t>
    </w:r>
    <w:r>
      <w:rPr>
        <w:noProof/>
      </w:rPr>
      <mc:AlternateContent>
        <mc:Choice Requires="wpg">
          <w:drawing>
            <wp:anchor distT="0" distB="0" distL="114300" distR="114300" simplePos="0" relativeHeight="251659264" behindDoc="0" locked="0" layoutInCell="1" hidden="0" allowOverlap="1">
              <wp:simplePos x="0" y="0"/>
              <wp:positionH relativeFrom="column">
                <wp:posOffset>1092200</wp:posOffset>
              </wp:positionH>
              <wp:positionV relativeFrom="paragraph">
                <wp:posOffset>0</wp:posOffset>
              </wp:positionV>
              <wp:extent cx="38100" cy="1161415"/>
              <wp:effectExtent l="0" t="0" r="0" b="0"/>
              <wp:wrapNone/>
              <wp:docPr id="3" name=""/>
              <wp:cNvGraphicFramePr/>
              <a:graphic xmlns:a="http://schemas.openxmlformats.org/drawingml/2006/main">
                <a:graphicData uri="http://schemas.microsoft.com/office/word/2010/wordprocessingShape">
                  <wps:wsp>
                    <wps:cNvCnPr/>
                    <wps:spPr>
                      <a:xfrm>
                        <a:off x="5346000" y="3199293"/>
                        <a:ext cx="0" cy="1161415"/>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38100" cy="116141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00" cy="1161415"/>
                      </a:xfrm>
                      <a:prstGeom prst="rect"/>
                      <a:ln/>
                    </pic:spPr>
                  </pic:pic>
                </a:graphicData>
              </a:graphic>
            </wp:anchor>
          </w:drawing>
        </mc:Fallback>
      </mc:AlternateContent>
    </w:r>
  </w:p>
  <w:p w:rsidR="00980253" w:rsidRDefault="00BE1DB6">
    <w:pPr>
      <w:ind w:left="2160" w:hanging="270"/>
      <w:rPr>
        <w:b/>
        <w:sz w:val="20"/>
        <w:szCs w:val="20"/>
      </w:rPr>
    </w:pPr>
    <w:r>
      <w:rPr>
        <w:b/>
        <w:sz w:val="20"/>
        <w:szCs w:val="20"/>
      </w:rPr>
      <w:t>DEPARTMENT OF NATURAL RESOURCES</w:t>
    </w:r>
    <w:r>
      <w:rPr>
        <w:noProof/>
      </w:rPr>
      <mc:AlternateContent>
        <mc:Choice Requires="wpg">
          <w:drawing>
            <wp:anchor distT="0" distB="0" distL="0" distR="0" simplePos="0" relativeHeight="251660288" behindDoc="0" locked="0" layoutInCell="1" hidden="0" allowOverlap="1">
              <wp:simplePos x="0" y="0"/>
              <wp:positionH relativeFrom="column">
                <wp:posOffset>-320039</wp:posOffset>
              </wp:positionH>
              <wp:positionV relativeFrom="paragraph">
                <wp:posOffset>384048</wp:posOffset>
              </wp:positionV>
              <wp:extent cx="1671955" cy="64579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4514785" y="3461865"/>
                        <a:ext cx="1662430" cy="636270"/>
                      </a:xfrm>
                      <a:prstGeom prst="rect">
                        <a:avLst/>
                      </a:prstGeom>
                      <a:noFill/>
                      <a:ln>
                        <a:noFill/>
                      </a:ln>
                    </wps:spPr>
                    <wps:txbx>
                      <w:txbxContent>
                        <w:p w:rsidR="00980253" w:rsidRDefault="00BE1DB6">
                          <w:pPr>
                            <w:spacing w:after="20" w:line="180" w:lineRule="auto"/>
                            <w:jc w:val="center"/>
                            <w:textDirection w:val="btLr"/>
                          </w:pPr>
                          <w:r>
                            <w:rPr>
                              <w:rFonts w:ascii="Arial" w:eastAsia="Arial" w:hAnsi="Arial" w:cs="Arial"/>
                              <w:b/>
                              <w:color w:val="000000"/>
                              <w:sz w:val="14"/>
                            </w:rPr>
                            <w:t>GARY R. HERBERT</w:t>
                          </w:r>
                        </w:p>
                        <w:p w:rsidR="00980253" w:rsidRDefault="00BE1DB6">
                          <w:pPr>
                            <w:spacing w:after="120" w:line="180" w:lineRule="auto"/>
                            <w:jc w:val="center"/>
                            <w:textDirection w:val="btLr"/>
                          </w:pPr>
                          <w:r>
                            <w:rPr>
                              <w:rFonts w:ascii="Arial" w:eastAsia="Arial" w:hAnsi="Arial" w:cs="Arial"/>
                              <w:i/>
                              <w:color w:val="000000"/>
                              <w:sz w:val="14"/>
                            </w:rPr>
                            <w:t>Governor</w:t>
                          </w:r>
                        </w:p>
                        <w:p w:rsidR="00980253" w:rsidRDefault="00BE1DB6">
                          <w:pPr>
                            <w:spacing w:after="20" w:line="180" w:lineRule="auto"/>
                            <w:jc w:val="center"/>
                            <w:textDirection w:val="btLr"/>
                          </w:pPr>
                          <w:r>
                            <w:rPr>
                              <w:rFonts w:ascii="Arial" w:eastAsia="Arial" w:hAnsi="Arial" w:cs="Arial"/>
                              <w:b/>
                              <w:color w:val="000000"/>
                              <w:sz w:val="14"/>
                            </w:rPr>
                            <w:t>SPENCER J. COX</w:t>
                          </w:r>
                        </w:p>
                        <w:p w:rsidR="00980253" w:rsidRDefault="00BE1DB6">
                          <w:pPr>
                            <w:spacing w:line="180" w:lineRule="auto"/>
                            <w:jc w:val="center"/>
                            <w:textDirection w:val="btLr"/>
                          </w:pPr>
                          <w:r>
                            <w:rPr>
                              <w:rFonts w:ascii="Arial" w:eastAsia="Arial" w:hAnsi="Arial" w:cs="Arial"/>
                              <w:i/>
                              <w:color w:val="000000"/>
                              <w:sz w:val="14"/>
                            </w:rPr>
                            <w:t>Lieutenant Governor</w:t>
                          </w:r>
                        </w:p>
                        <w:p w:rsidR="00980253" w:rsidRDefault="00980253">
                          <w:pPr>
                            <w:spacing w:before="40" w:after="230" w:line="219" w:lineRule="auto"/>
                            <w:jc w:val="center"/>
                            <w:textDirection w:val="btLr"/>
                          </w:pPr>
                        </w:p>
                        <w:p w:rsidR="00980253" w:rsidRDefault="00980253">
                          <w:pPr>
                            <w:spacing w:before="40" w:after="230" w:line="219" w:lineRule="auto"/>
                            <w:jc w:val="center"/>
                            <w:textDirection w:val="btLr"/>
                          </w:pPr>
                        </w:p>
                        <w:p w:rsidR="00980253" w:rsidRDefault="00980253">
                          <w:pPr>
                            <w:textDirection w:val="btLr"/>
                          </w:pPr>
                        </w:p>
                      </w:txbxContent>
                    </wps:txbx>
                    <wps:bodyPr spcFirstLastPara="1" wrap="square" lIns="91425" tIns="4570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-320039</wp:posOffset>
              </wp:positionH>
              <wp:positionV relativeFrom="paragraph">
                <wp:posOffset>384048</wp:posOffset>
              </wp:positionV>
              <wp:extent cx="1671955" cy="6457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671955" cy="6457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990600</wp:posOffset>
              </wp:positionH>
              <wp:positionV relativeFrom="paragraph">
                <wp:posOffset>177800</wp:posOffset>
              </wp:positionV>
              <wp:extent cx="2859405" cy="663575"/>
              <wp:effectExtent l="0" t="0" r="0" b="0"/>
              <wp:wrapNone/>
              <wp:docPr id="2" name=""/>
              <wp:cNvGraphicFramePr/>
              <a:graphic xmlns:a="http://schemas.openxmlformats.org/drawingml/2006/main">
                <a:graphicData uri="http://schemas.microsoft.com/office/word/2010/wordprocessingShape">
                  <wps:wsp>
                    <wps:cNvSpPr/>
                    <wps:spPr>
                      <a:xfrm>
                        <a:off x="3921060" y="3452975"/>
                        <a:ext cx="2849880" cy="654050"/>
                      </a:xfrm>
                      <a:prstGeom prst="rect">
                        <a:avLst/>
                      </a:prstGeom>
                      <a:noFill/>
                      <a:ln>
                        <a:noFill/>
                      </a:ln>
                    </wps:spPr>
                    <wps:txbx>
                      <w:txbxContent>
                        <w:p w:rsidR="00980253" w:rsidRDefault="00BE1DB6">
                          <w:pPr>
                            <w:spacing w:before="40" w:after="20" w:line="180" w:lineRule="auto"/>
                            <w:textDirection w:val="btLr"/>
                          </w:pPr>
                          <w:r>
                            <w:rPr>
                              <w:rFonts w:ascii="Arial" w:eastAsia="Arial" w:hAnsi="Arial" w:cs="Arial"/>
                              <w:color w:val="000000"/>
                              <w:sz w:val="16"/>
                            </w:rPr>
                            <w:tab/>
                          </w:r>
                          <w:r>
                            <w:rPr>
                              <w:rFonts w:ascii="Arial" w:eastAsia="Arial" w:hAnsi="Arial" w:cs="Arial"/>
                              <w:b/>
                              <w:color w:val="000000"/>
                              <w:sz w:val="14"/>
                            </w:rPr>
                            <w:t>BRIAN C. STEED</w:t>
                          </w:r>
                        </w:p>
                        <w:p w:rsidR="00980253" w:rsidRDefault="00BE1DB6">
                          <w:pPr>
                            <w:spacing w:before="40" w:after="20" w:line="180" w:lineRule="auto"/>
                            <w:textDirection w:val="btLr"/>
                          </w:pPr>
                          <w:r>
                            <w:rPr>
                              <w:rFonts w:ascii="Arial" w:eastAsia="Arial" w:hAnsi="Arial" w:cs="Arial"/>
                              <w:b/>
                              <w:color w:val="000000"/>
                              <w:sz w:val="16"/>
                            </w:rPr>
                            <w:tab/>
                          </w:r>
                          <w:r>
                            <w:rPr>
                              <w:rFonts w:ascii="Arial" w:eastAsia="Arial" w:hAnsi="Arial" w:cs="Arial"/>
                              <w:color w:val="000000"/>
                              <w:sz w:val="16"/>
                            </w:rPr>
                            <w:t>Executive Director</w:t>
                          </w:r>
                        </w:p>
                        <w:p w:rsidR="00980253" w:rsidRDefault="00BE1DB6">
                          <w:pPr>
                            <w:spacing w:before="140" w:after="20" w:line="180" w:lineRule="auto"/>
                            <w:textDirection w:val="btLr"/>
                          </w:pPr>
                          <w:r>
                            <w:rPr>
                              <w:rFonts w:ascii="Arial" w:eastAsia="Arial" w:hAnsi="Arial" w:cs="Arial"/>
                              <w:b/>
                              <w:color w:val="000000"/>
                              <w:sz w:val="14"/>
                            </w:rPr>
                            <w:t xml:space="preserve">      </w:t>
                          </w:r>
                          <w:r>
                            <w:rPr>
                              <w:rFonts w:ascii="Arial" w:eastAsia="Arial" w:hAnsi="Arial" w:cs="Arial"/>
                              <w:b/>
                              <w:color w:val="000000"/>
                              <w:sz w:val="20"/>
                            </w:rPr>
                            <w:t>Division of Water Resources</w:t>
                          </w:r>
                        </w:p>
                        <w:p w:rsidR="00980253" w:rsidRDefault="00BE1DB6">
                          <w:pPr>
                            <w:spacing w:before="80" w:after="20" w:line="180" w:lineRule="auto"/>
                            <w:textDirection w:val="btLr"/>
                          </w:pPr>
                          <w:r>
                            <w:rPr>
                              <w:rFonts w:ascii="Arial" w:eastAsia="Arial" w:hAnsi="Arial" w:cs="Arial"/>
                              <w:b/>
                              <w:color w:val="000000"/>
                              <w:sz w:val="14"/>
                            </w:rPr>
                            <w:t xml:space="preserve">  </w:t>
                          </w:r>
                          <w:r>
                            <w:rPr>
                              <w:rFonts w:ascii="Arial" w:eastAsia="Arial" w:hAnsi="Arial" w:cs="Arial"/>
                              <w:b/>
                              <w:color w:val="000000"/>
                              <w:sz w:val="14"/>
                            </w:rPr>
                            <w:tab/>
                            <w:t>TODD D. ADAMS</w:t>
                          </w:r>
                        </w:p>
                        <w:p w:rsidR="00980253" w:rsidRDefault="00BE1DB6">
                          <w:pPr>
                            <w:spacing w:line="180" w:lineRule="auto"/>
                            <w:textDirection w:val="btLr"/>
                          </w:pPr>
                          <w:r>
                            <w:rPr>
                              <w:rFonts w:ascii="Arial" w:eastAsia="Arial" w:hAnsi="Arial" w:cs="Arial"/>
                              <w:b/>
                              <w:i/>
                              <w:color w:val="000000"/>
                              <w:sz w:val="14"/>
                            </w:rPr>
                            <w:tab/>
                          </w:r>
                          <w:r>
                            <w:rPr>
                              <w:rFonts w:ascii="Arial" w:eastAsia="Arial" w:hAnsi="Arial" w:cs="Arial"/>
                              <w:i/>
                              <w:color w:val="000000"/>
                              <w:sz w:val="14"/>
                            </w:rPr>
                            <w:t>Division Director</w:t>
                          </w:r>
                        </w:p>
                        <w:p w:rsidR="00980253" w:rsidRDefault="00980253">
                          <w:pPr>
                            <w:spacing w:line="180" w:lineRule="auto"/>
                            <w:textDirection w:val="btLr"/>
                          </w:pPr>
                        </w:p>
                        <w:p w:rsidR="00980253" w:rsidRDefault="00980253">
                          <w:pPr>
                            <w:spacing w:line="180" w:lineRule="auto"/>
                            <w:textDirection w:val="btLr"/>
                          </w:pPr>
                        </w:p>
                        <w:p w:rsidR="00980253" w:rsidRDefault="00BE1DB6">
                          <w:pPr>
                            <w:spacing w:line="180" w:lineRule="auto"/>
                            <w:textDirection w:val="btLr"/>
                          </w:pPr>
                          <w:r>
                            <w:rPr>
                              <w:rFonts w:ascii="Arial" w:eastAsia="Arial" w:hAnsi="Arial" w:cs="Arial"/>
                              <w:i/>
                              <w:color w:val="000000"/>
                              <w:sz w:val="14"/>
                            </w:rPr>
                            <w:t xml:space="preserve"> </w:t>
                          </w:r>
                        </w:p>
                        <w:p w:rsidR="00980253" w:rsidRDefault="00980253">
                          <w:pPr>
                            <w:textDirection w:val="btLr"/>
                          </w:pPr>
                        </w:p>
                      </w:txbxContent>
                    </wps:txbx>
                    <wps:bodyPr spcFirstLastPara="1" wrap="square" lIns="91425"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2859405" cy="663575"/>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2859405" cy="663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53"/>
    <w:rsid w:val="00980253"/>
    <w:rsid w:val="00B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ABB9E-B648-4449-B3AD-619EB7F0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4118"/>
      </w:tabs>
      <w:spacing w:after="200" w:line="160" w:lineRule="auto"/>
      <w:outlineLvl w:val="0"/>
    </w:pPr>
    <w:rPr>
      <w:i/>
      <w:sz w:val="16"/>
      <w:szCs w:val="16"/>
    </w:rPr>
  </w:style>
  <w:style w:type="paragraph" w:styleId="Heading2">
    <w:name w:val="heading 2"/>
    <w:basedOn w:val="Normal"/>
    <w:next w:val="Normal"/>
    <w:pPr>
      <w:keepNext/>
      <w:keepLines/>
      <w:spacing w:after="170"/>
      <w:outlineLvl w:val="1"/>
    </w:pPr>
    <w:rPr>
      <w:smallCaps/>
      <w:sz w:val="21"/>
      <w:szCs w:val="21"/>
    </w:rPr>
  </w:style>
  <w:style w:type="paragraph" w:styleId="Heading3">
    <w:name w:val="heading 3"/>
    <w:basedOn w:val="Normal"/>
    <w:next w:val="Normal"/>
    <w:pPr>
      <w:keepNext/>
      <w:keepLines/>
      <w:spacing w:after="240"/>
      <w:outlineLvl w:val="2"/>
    </w:pPr>
    <w:rPr>
      <w:i/>
    </w:rPr>
  </w:style>
  <w:style w:type="paragraph" w:styleId="Heading4">
    <w:name w:val="heading 4"/>
    <w:basedOn w:val="Normal"/>
    <w:next w:val="Normal"/>
    <w:pPr>
      <w:keepNext/>
      <w:keepLines/>
      <w:outlineLvl w:val="3"/>
    </w:pPr>
    <w:rPr>
      <w:smallCaps/>
      <w:sz w:val="23"/>
      <w:szCs w:val="23"/>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dcterms:created xsi:type="dcterms:W3CDTF">2020-06-16T22:25:00Z</dcterms:created>
  <dcterms:modified xsi:type="dcterms:W3CDTF">2020-06-16T22:25:00Z</dcterms:modified>
</cp:coreProperties>
</file>