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670D3B" w14:textId="77777777" w:rsidR="00376B94" w:rsidRPr="00376B94" w:rsidRDefault="00376B94" w:rsidP="00173AEB">
      <w:pPr>
        <w:shd w:val="clear" w:color="auto" w:fill="FFFFFF"/>
        <w:spacing w:after="0" w:line="240" w:lineRule="auto"/>
        <w:jc w:val="both"/>
        <w:rPr>
          <w:rFonts w:ascii="Times New Roman" w:eastAsia="Times New Roman" w:hAnsi="Times New Roman" w:cs="Times New Roman"/>
          <w:b/>
          <w:bCs/>
          <w:color w:val="0070C0"/>
          <w:sz w:val="28"/>
          <w:szCs w:val="28"/>
        </w:rPr>
      </w:pPr>
      <w:bookmarkStart w:id="0" w:name="_GoBack"/>
      <w:bookmarkEnd w:id="0"/>
      <w:r>
        <w:rPr>
          <w:rFonts w:ascii="Times New Roman" w:eastAsia="Times New Roman" w:hAnsi="Times New Roman" w:cs="Times New Roman"/>
          <w:b/>
          <w:bCs/>
          <w:color w:val="0070C0"/>
          <w:sz w:val="28"/>
          <w:szCs w:val="28"/>
        </w:rPr>
        <w:t xml:space="preserve">Subdivision </w:t>
      </w:r>
      <w:r w:rsidR="00E50389">
        <w:rPr>
          <w:rFonts w:ascii="Times New Roman" w:eastAsia="Times New Roman" w:hAnsi="Times New Roman" w:cs="Times New Roman"/>
          <w:b/>
          <w:bCs/>
          <w:color w:val="0070C0"/>
          <w:sz w:val="28"/>
          <w:szCs w:val="28"/>
        </w:rPr>
        <w:t>Ordinance</w:t>
      </w:r>
    </w:p>
    <w:p w14:paraId="387363D4" w14:textId="77777777" w:rsidR="00376B94" w:rsidRDefault="00376B94" w:rsidP="00173AEB">
      <w:pPr>
        <w:shd w:val="clear" w:color="auto" w:fill="FFFFFF"/>
        <w:spacing w:after="0" w:line="240" w:lineRule="auto"/>
        <w:jc w:val="both"/>
        <w:rPr>
          <w:rFonts w:ascii="Times New Roman" w:eastAsia="Times New Roman" w:hAnsi="Times New Roman" w:cs="Times New Roman"/>
          <w:b/>
          <w:bCs/>
          <w:color w:val="515967"/>
        </w:rPr>
      </w:pPr>
    </w:p>
    <w:p w14:paraId="3DC99C39" w14:textId="77777777" w:rsidR="00173AEB" w:rsidRPr="00173AEB" w:rsidRDefault="00DA005F" w:rsidP="00173AEB">
      <w:pPr>
        <w:shd w:val="clear" w:color="auto" w:fill="FFFFFF"/>
        <w:spacing w:after="0" w:line="240" w:lineRule="auto"/>
        <w:jc w:val="both"/>
        <w:rPr>
          <w:rFonts w:ascii="Times New Roman" w:eastAsia="Times New Roman" w:hAnsi="Times New Roman" w:cs="Times New Roman"/>
          <w:b/>
          <w:bCs/>
          <w:color w:val="515967"/>
        </w:rPr>
      </w:pPr>
      <w:hyperlink r:id="rId6" w:anchor="name=13.60.010_Minimum_Improvement_Requirements" w:history="1">
        <w:r w:rsidR="00173AEB" w:rsidRPr="00173AEB">
          <w:rPr>
            <w:rFonts w:ascii="Times New Roman" w:eastAsia="Times New Roman" w:hAnsi="Times New Roman" w:cs="Times New Roman"/>
            <w:b/>
            <w:bCs/>
            <w:color w:val="000000"/>
          </w:rPr>
          <w:t>13.60.010 Minimum Improvement Requirements</w:t>
        </w:r>
      </w:hyperlink>
    </w:p>
    <w:p w14:paraId="7A7B193C" w14:textId="77777777" w:rsidR="00173AEB" w:rsidRPr="00173AEB" w:rsidRDefault="00173AEB" w:rsidP="00173AEB">
      <w:pPr>
        <w:shd w:val="clear" w:color="auto" w:fill="FFFFFF"/>
        <w:spacing w:after="150" w:line="240" w:lineRule="auto"/>
        <w:jc w:val="both"/>
        <w:rPr>
          <w:rFonts w:ascii="Times New Roman" w:eastAsia="Times New Roman" w:hAnsi="Times New Roman" w:cs="Times New Roman"/>
          <w:color w:val="515967"/>
        </w:rPr>
      </w:pPr>
      <w:r w:rsidRPr="00173AEB">
        <w:rPr>
          <w:rFonts w:ascii="Times New Roman" w:eastAsia="Times New Roman" w:hAnsi="Times New Roman" w:cs="Times New Roman"/>
          <w:color w:val="515967"/>
        </w:rPr>
        <w:t xml:space="preserve">This section provides a summary of minimum improvement requirements for subdivisions, including lots, blocks, roads, sidewalks, curbs and gutters, storm water management, water and sewer utilities, street signs, monuments, and street lights. More specific specifications and standards are located within this subdivision ordinance and care and useful reference should be made to those requirements as they are controlling. </w:t>
      </w:r>
      <w:proofErr w:type="spellStart"/>
      <w:r w:rsidRPr="00173AEB">
        <w:rPr>
          <w:rFonts w:ascii="Times New Roman" w:eastAsia="Times New Roman" w:hAnsi="Times New Roman" w:cs="Times New Roman"/>
          <w:color w:val="515967"/>
        </w:rPr>
        <w:t>Subdivider</w:t>
      </w:r>
      <w:proofErr w:type="spellEnd"/>
      <w:r w:rsidRPr="00173AEB">
        <w:rPr>
          <w:rFonts w:ascii="Times New Roman" w:eastAsia="Times New Roman" w:hAnsi="Times New Roman" w:cs="Times New Roman"/>
          <w:color w:val="515967"/>
        </w:rPr>
        <w:t xml:space="preserve"> shall be responsible for costs relative to construction of all public improvements within the proposed subdivision. He shall also construct at his cost all water lines, sewer lines, roads and related improvements necessary for connection to the City’s existing systems, as well as road improvements on one-half of adjacent streets.</w:t>
      </w:r>
    </w:p>
    <w:p w14:paraId="5F840D87" w14:textId="77777777" w:rsidR="00173AEB" w:rsidRPr="00173AEB" w:rsidRDefault="00173AEB" w:rsidP="00173AEB">
      <w:pPr>
        <w:shd w:val="clear" w:color="auto" w:fill="FFFFFF"/>
        <w:spacing w:after="150" w:line="240" w:lineRule="auto"/>
        <w:jc w:val="both"/>
        <w:rPr>
          <w:rFonts w:ascii="Times New Roman" w:eastAsia="Times New Roman" w:hAnsi="Times New Roman" w:cs="Times New Roman"/>
          <w:color w:val="515967"/>
        </w:rPr>
      </w:pPr>
      <w:r w:rsidRPr="00173AEB">
        <w:rPr>
          <w:rFonts w:ascii="Times New Roman" w:eastAsia="Times New Roman" w:hAnsi="Times New Roman" w:cs="Times New Roman"/>
          <w:color w:val="515967"/>
        </w:rPr>
        <w:t>The extensions of any City public works facilities including, but not limited to roads, bridges, storm drains, water mains, sewer lines, and secondary water systems, public or private, shall be installed by the developer of any subdivision and lie within a city dedicated right-or-way. There shall be no consideration or return to the developer for the costs of said improvements. The City, however, will consider cost sharing on any water or sewer lines in excess of eight (8") inch diameter in the event the City desires to participate for future planning purposes.</w:t>
      </w:r>
    </w:p>
    <w:p w14:paraId="6807E243" w14:textId="5EB39517" w:rsidR="00376B94" w:rsidRDefault="00173AEB" w:rsidP="00376B94">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173AEB">
        <w:rPr>
          <w:rFonts w:ascii="Times New Roman" w:eastAsia="Times New Roman" w:hAnsi="Times New Roman" w:cs="Times New Roman"/>
          <w:color w:val="515967"/>
        </w:rPr>
        <w:t>Lots. The lot arrangement and design shall be such that lots will provide satisfactory and desirable sites for buildings, and be properly related to topography, to the character of surrounding development and to existing requirements. Lots shall not exceed 5100 feet elevation.</w:t>
      </w:r>
      <w:r w:rsidRPr="00173AEB">
        <w:rPr>
          <w:rFonts w:ascii="Times New Roman" w:eastAsia="Times New Roman" w:hAnsi="Times New Roman" w:cs="Times New Roman"/>
          <w:color w:val="515967"/>
        </w:rPr>
        <w:br/>
      </w:r>
      <w:r w:rsidRPr="00173AEB">
        <w:rPr>
          <w:rFonts w:ascii="Times New Roman" w:eastAsia="Times New Roman" w:hAnsi="Times New Roman" w:cs="Times New Roman"/>
          <w:color w:val="515967"/>
        </w:rPr>
        <w:br/>
        <w:t>All lots shown on the preliminary and final plats must conform to the minimum requirements of the zoning title for the zone or proposed zone in which the subdivision is located, and to the minimum requirements of the County Health Department for water supply and sewage disposal. On lots with frontage on cul-de-sacs the lot width shall be the distance between the side lot lines at the actual setback of the primary structure or dwelling, provided that the primary structure or dwelling exceeds the standard required front yard setback requirement. The minimum lot width at the property line shall not be less than twenty (20') feet.</w:t>
      </w:r>
      <w:r w:rsidR="00BE5051" w:rsidRPr="00173AEB">
        <w:rPr>
          <w:rFonts w:ascii="Times New Roman" w:eastAsia="Times New Roman" w:hAnsi="Times New Roman" w:cs="Times New Roman"/>
          <w:color w:val="515967"/>
        </w:rPr>
        <w:t xml:space="preserve"> </w:t>
      </w:r>
      <w:r w:rsidRPr="00173AEB">
        <w:rPr>
          <w:rFonts w:ascii="Times New Roman" w:eastAsia="Times New Roman" w:hAnsi="Times New Roman" w:cs="Times New Roman"/>
          <w:color w:val="515967"/>
        </w:rPr>
        <w:br/>
        <w:t>Each lot shall have the required size, area, and side yard required of the zone, and each lot shall have required frontage on a publicly dedicated street. Double frontage</w:t>
      </w:r>
      <w:r w:rsidR="00F170AA">
        <w:rPr>
          <w:rFonts w:ascii="Times New Roman" w:eastAsia="Times New Roman" w:hAnsi="Times New Roman" w:cs="Times New Roman"/>
          <w:color w:val="FF0000"/>
        </w:rPr>
        <w:t xml:space="preserve"> (a lot with a public street on 3 sides, or on the front and back of a lot)</w:t>
      </w:r>
      <w:r w:rsidRPr="00173AEB">
        <w:rPr>
          <w:rFonts w:ascii="Times New Roman" w:eastAsia="Times New Roman" w:hAnsi="Times New Roman" w:cs="Times New Roman"/>
          <w:color w:val="515967"/>
        </w:rPr>
        <w:t xml:space="preserve"> lots shall be prohibited, except</w:t>
      </w:r>
      <w:r w:rsidR="00BE5051">
        <w:rPr>
          <w:rFonts w:ascii="Times New Roman" w:eastAsia="Times New Roman" w:hAnsi="Times New Roman" w:cs="Times New Roman"/>
          <w:color w:val="515967"/>
        </w:rPr>
        <w:t xml:space="preserve"> </w:t>
      </w:r>
      <w:r w:rsidR="00BE5051">
        <w:rPr>
          <w:rFonts w:ascii="Times New Roman" w:eastAsia="Times New Roman" w:hAnsi="Times New Roman" w:cs="Times New Roman"/>
          <w:color w:val="FF0000"/>
        </w:rPr>
        <w:t>when in or adjacent to a PUD where there is not reasonable alternative.</w:t>
      </w:r>
      <w:r w:rsidRPr="00173AEB">
        <w:rPr>
          <w:rFonts w:ascii="Times New Roman" w:eastAsia="Times New Roman" w:hAnsi="Times New Roman" w:cs="Times New Roman"/>
          <w:color w:val="515967"/>
        </w:rPr>
        <w:t xml:space="preserve"> </w:t>
      </w:r>
      <w:r w:rsidRPr="00173AEB">
        <w:rPr>
          <w:rFonts w:ascii="Times New Roman" w:eastAsia="Times New Roman" w:hAnsi="Times New Roman" w:cs="Times New Roman"/>
          <w:strike/>
          <w:color w:val="515967"/>
          <w:highlight w:val="yellow"/>
        </w:rPr>
        <w:t>where unusual</w:t>
      </w:r>
      <w:r w:rsidRPr="00173AEB">
        <w:rPr>
          <w:rFonts w:ascii="Times New Roman" w:eastAsia="Times New Roman" w:hAnsi="Times New Roman" w:cs="Times New Roman"/>
          <w:strike/>
          <w:color w:val="515967"/>
        </w:rPr>
        <w:t xml:space="preserve"> </w:t>
      </w:r>
      <w:r w:rsidRPr="00173AEB">
        <w:rPr>
          <w:rFonts w:ascii="Times New Roman" w:eastAsia="Times New Roman" w:hAnsi="Times New Roman" w:cs="Times New Roman"/>
          <w:strike/>
          <w:color w:val="515967"/>
          <w:highlight w:val="yellow"/>
        </w:rPr>
        <w:t>conditions make other designs undesirable</w:t>
      </w:r>
      <w:r w:rsidRPr="00173AEB">
        <w:rPr>
          <w:rFonts w:ascii="Times New Roman" w:eastAsia="Times New Roman" w:hAnsi="Times New Roman" w:cs="Times New Roman"/>
          <w:color w:val="515967"/>
        </w:rPr>
        <w:t>. Corner lots shall be deemed to have two front yards and two side yards, except that lot frontage requirements may vary where a flag lot is approved by conditional use. Side lines of lots shall be approximately at right angles, or radial to the street lines.</w:t>
      </w:r>
      <w:r w:rsidRPr="00173AEB">
        <w:rPr>
          <w:rFonts w:ascii="Times New Roman" w:eastAsia="Times New Roman" w:hAnsi="Times New Roman" w:cs="Times New Roman"/>
          <w:color w:val="515967"/>
        </w:rPr>
        <w:br/>
      </w:r>
      <w:r w:rsidRPr="00173AEB">
        <w:rPr>
          <w:rFonts w:ascii="Times New Roman" w:eastAsia="Times New Roman" w:hAnsi="Times New Roman" w:cs="Times New Roman"/>
          <w:color w:val="515967"/>
        </w:rPr>
        <w:br/>
        <w:t>In general all remnants of lots below minimum size must be added to adjacent lots, rather than allowed to remain as unusable parcels.</w:t>
      </w:r>
    </w:p>
    <w:p w14:paraId="1180059A" w14:textId="77777777" w:rsidR="00376B94" w:rsidRPr="00713712" w:rsidRDefault="00713712" w:rsidP="00376B94">
      <w:pPr>
        <w:shd w:val="clear" w:color="auto" w:fill="FFFFFF"/>
        <w:spacing w:before="100" w:beforeAutospacing="1" w:after="100" w:afterAutospacing="1" w:line="240" w:lineRule="auto"/>
        <w:jc w:val="both"/>
        <w:rPr>
          <w:rFonts w:ascii="Times New Roman" w:eastAsia="Times New Roman" w:hAnsi="Times New Roman" w:cs="Times New Roman"/>
          <w:b/>
          <w:color w:val="515967"/>
          <w:sz w:val="24"/>
          <w:szCs w:val="24"/>
        </w:rPr>
      </w:pPr>
      <w:r w:rsidRPr="00713712">
        <w:rPr>
          <w:rFonts w:ascii="Times New Roman" w:eastAsia="Times New Roman" w:hAnsi="Times New Roman" w:cs="Times New Roman"/>
          <w:b/>
          <w:color w:val="515967"/>
          <w:sz w:val="24"/>
          <w:szCs w:val="24"/>
        </w:rPr>
        <w:t>13.30.040 Preliminary Plat</w:t>
      </w:r>
    </w:p>
    <w:p w14:paraId="77638F94" w14:textId="77777777" w:rsidR="00713712" w:rsidRPr="00F33188" w:rsidRDefault="00713712" w:rsidP="00713712">
      <w:pPr>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F33188">
        <w:rPr>
          <w:rFonts w:ascii="Times New Roman" w:eastAsia="Times New Roman" w:hAnsi="Times New Roman" w:cs="Times New Roman"/>
          <w:color w:val="515967"/>
        </w:rPr>
        <w:t>Proposed subdivision development plans on the preliminary plat shall include:</w:t>
      </w:r>
    </w:p>
    <w:p w14:paraId="4188082B" w14:textId="77777777" w:rsidR="00713712" w:rsidRPr="00F33188" w:rsidRDefault="00713712" w:rsidP="00713712">
      <w:pPr>
        <w:numPr>
          <w:ilvl w:val="1"/>
          <w:numId w:val="7"/>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F33188">
        <w:rPr>
          <w:rFonts w:ascii="Wingdings" w:eastAsia="Times New Roman" w:hAnsi="Wingdings" w:cs="Times New Roman"/>
          <w:color w:val="515967"/>
        </w:rPr>
        <w:t></w:t>
      </w:r>
      <w:r w:rsidRPr="00F33188">
        <w:rPr>
          <w:rFonts w:ascii="Times New Roman" w:eastAsia="Times New Roman" w:hAnsi="Times New Roman" w:cs="Times New Roman"/>
          <w:color w:val="515967"/>
        </w:rPr>
        <w:t xml:space="preserve"> The layout of streets showing location, widths, and other dimensions of proposed streets (designated by actual or proposed names and numbers) crosswalks, alleys and easements.</w:t>
      </w:r>
    </w:p>
    <w:p w14:paraId="1AAE2693" w14:textId="77777777" w:rsidR="00713712" w:rsidRPr="00F33188" w:rsidRDefault="00713712" w:rsidP="00713712">
      <w:pPr>
        <w:numPr>
          <w:ilvl w:val="1"/>
          <w:numId w:val="7"/>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F33188">
        <w:rPr>
          <w:rFonts w:ascii="Wingdings" w:eastAsia="Times New Roman" w:hAnsi="Wingdings" w:cs="Times New Roman"/>
          <w:color w:val="515967"/>
        </w:rPr>
        <w:t></w:t>
      </w:r>
      <w:r w:rsidRPr="00F33188">
        <w:rPr>
          <w:rFonts w:ascii="Times New Roman" w:eastAsia="Times New Roman" w:hAnsi="Times New Roman" w:cs="Times New Roman"/>
          <w:color w:val="515967"/>
        </w:rPr>
        <w:t xml:space="preserve"> A tentative plan for culinary water improvements and waste disposal improvements for all lots proposed within the subdivision, all to be constructed underground.</w:t>
      </w:r>
    </w:p>
    <w:p w14:paraId="260A9DC9" w14:textId="77777777" w:rsidR="00713712" w:rsidRPr="00F33188" w:rsidRDefault="00713712" w:rsidP="00713712">
      <w:pPr>
        <w:numPr>
          <w:ilvl w:val="1"/>
          <w:numId w:val="7"/>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F33188">
        <w:rPr>
          <w:rFonts w:ascii="Wingdings" w:eastAsia="Times New Roman" w:hAnsi="Wingdings" w:cs="Times New Roman"/>
          <w:color w:val="515967"/>
        </w:rPr>
        <w:t></w:t>
      </w:r>
      <w:r w:rsidRPr="00F33188">
        <w:rPr>
          <w:rFonts w:ascii="Times New Roman" w:eastAsia="Times New Roman" w:hAnsi="Times New Roman" w:cs="Times New Roman"/>
          <w:color w:val="515967"/>
        </w:rPr>
        <w:t xml:space="preserve"> The layout, numbers and dimensions of lots.</w:t>
      </w:r>
    </w:p>
    <w:p w14:paraId="0053ED55" w14:textId="77777777" w:rsidR="00713712" w:rsidRPr="00F33188" w:rsidRDefault="00713712" w:rsidP="00713712">
      <w:pPr>
        <w:numPr>
          <w:ilvl w:val="2"/>
          <w:numId w:val="7"/>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F33188">
        <w:rPr>
          <w:rFonts w:ascii="Wingdings" w:eastAsia="Times New Roman" w:hAnsi="Wingdings" w:cs="Times New Roman"/>
          <w:b/>
          <w:bCs/>
          <w:color w:val="515967"/>
        </w:rPr>
        <w:t></w:t>
      </w:r>
      <w:r w:rsidRPr="00F33188">
        <w:rPr>
          <w:rFonts w:ascii="Times New Roman" w:eastAsia="Times New Roman" w:hAnsi="Times New Roman" w:cs="Times New Roman"/>
          <w:b/>
          <w:bCs/>
          <w:color w:val="515967"/>
        </w:rPr>
        <w:t xml:space="preserve"> Standard Subdivision</w:t>
      </w:r>
      <w:r w:rsidRPr="00F33188">
        <w:rPr>
          <w:rFonts w:ascii="Times New Roman" w:eastAsia="Times New Roman" w:hAnsi="Times New Roman" w:cs="Times New Roman"/>
          <w:color w:val="515967"/>
        </w:rPr>
        <w:t>.  The total number of dwelling units allowed within a Standard Subdivision shall be based on each lot equaling the minimum lot area as required in the zone, with roads and other improvements within a subdivision being in addition to the lots.</w:t>
      </w:r>
    </w:p>
    <w:p w14:paraId="2EC48A08" w14:textId="77777777" w:rsidR="00713712" w:rsidRPr="00F33188" w:rsidRDefault="00713712" w:rsidP="00713712">
      <w:pPr>
        <w:numPr>
          <w:ilvl w:val="2"/>
          <w:numId w:val="7"/>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F33188">
        <w:rPr>
          <w:rFonts w:ascii="Wingdings" w:eastAsia="Times New Roman" w:hAnsi="Wingdings" w:cs="Times New Roman"/>
          <w:b/>
          <w:bCs/>
          <w:color w:val="515967"/>
        </w:rPr>
        <w:t></w:t>
      </w:r>
      <w:r w:rsidRPr="00F33188">
        <w:rPr>
          <w:rFonts w:ascii="Times New Roman" w:eastAsia="Times New Roman" w:hAnsi="Times New Roman" w:cs="Times New Roman"/>
          <w:b/>
          <w:bCs/>
          <w:color w:val="515967"/>
        </w:rPr>
        <w:t xml:space="preserve"> Subdivision with Bonus Density</w:t>
      </w:r>
      <w:r w:rsidRPr="00F33188">
        <w:rPr>
          <w:rFonts w:ascii="Times New Roman" w:eastAsia="Times New Roman" w:hAnsi="Times New Roman" w:cs="Times New Roman"/>
          <w:color w:val="515967"/>
        </w:rPr>
        <w:t>.  Bonus density allows for the purchase of designated open space in the City for the exchange of usable open space within a subdivision, thereby creating an additional building lot or lots in said subdivision. All of the requirements below must be complied with to exercise this option:</w:t>
      </w:r>
    </w:p>
    <w:p w14:paraId="44F01891" w14:textId="01981C66" w:rsidR="00713712" w:rsidRDefault="00713712" w:rsidP="00713712">
      <w:pPr>
        <w:numPr>
          <w:ilvl w:val="3"/>
          <w:numId w:val="7"/>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Pr>
          <w:rFonts w:ascii="Times New Roman" w:eastAsia="Times New Roman" w:hAnsi="Times New Roman" w:cs="Times New Roman"/>
          <w:color w:val="FF0000"/>
        </w:rPr>
        <w:t>When calculating the number of lots on the gross acreage of a sub</w:t>
      </w:r>
      <w:r w:rsidR="00F170AA">
        <w:rPr>
          <w:rFonts w:ascii="Times New Roman" w:eastAsia="Times New Roman" w:hAnsi="Times New Roman" w:cs="Times New Roman"/>
          <w:color w:val="FF0000"/>
        </w:rPr>
        <w:t>division, rounding is allowed. (</w:t>
      </w:r>
      <w:r>
        <w:rPr>
          <w:rFonts w:ascii="Times New Roman" w:eastAsia="Times New Roman" w:hAnsi="Times New Roman" w:cs="Times New Roman"/>
          <w:color w:val="FF0000"/>
        </w:rPr>
        <w:t>.5 and greater is rounded up, and less than .5 is rounded down.</w:t>
      </w:r>
      <w:r w:rsidR="00F170AA">
        <w:rPr>
          <w:rFonts w:ascii="Times New Roman" w:eastAsia="Times New Roman" w:hAnsi="Times New Roman" w:cs="Times New Roman"/>
          <w:color w:val="FF0000"/>
        </w:rPr>
        <w:t>)</w:t>
      </w:r>
    </w:p>
    <w:p w14:paraId="49EB5BBA" w14:textId="77777777" w:rsidR="00713712" w:rsidRPr="00F33188" w:rsidRDefault="00713712" w:rsidP="00713712">
      <w:pPr>
        <w:numPr>
          <w:ilvl w:val="3"/>
          <w:numId w:val="7"/>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F33188">
        <w:rPr>
          <w:rFonts w:ascii="Times New Roman" w:eastAsia="Times New Roman" w:hAnsi="Times New Roman" w:cs="Times New Roman"/>
          <w:color w:val="515967"/>
        </w:rPr>
        <w:t xml:space="preserve">  </w:t>
      </w:r>
      <w:r w:rsidRPr="00F33188">
        <w:rPr>
          <w:rFonts w:ascii="Wingdings" w:eastAsia="Times New Roman" w:hAnsi="Wingdings" w:cs="Times New Roman"/>
          <w:color w:val="515967"/>
        </w:rPr>
        <w:t></w:t>
      </w:r>
      <w:r w:rsidRPr="00F33188">
        <w:rPr>
          <w:rFonts w:ascii="Times New Roman" w:eastAsia="Times New Roman" w:hAnsi="Times New Roman" w:cs="Times New Roman"/>
          <w:color w:val="515967"/>
        </w:rPr>
        <w:t xml:space="preserve"> The allowed number of dwelling units permitted in the Subdivision with Bonus Density is determined by the Gross Acreage Table shown below: </w:t>
      </w:r>
    </w:p>
    <w:p w14:paraId="652ABB5F" w14:textId="77777777" w:rsidR="00713712" w:rsidRPr="00F33188" w:rsidRDefault="00713712" w:rsidP="00713712">
      <w:pPr>
        <w:shd w:val="clear" w:color="auto" w:fill="FFFFFF"/>
        <w:spacing w:after="150" w:line="240" w:lineRule="auto"/>
        <w:jc w:val="both"/>
        <w:rPr>
          <w:rFonts w:ascii="Times New Roman" w:eastAsia="Times New Roman" w:hAnsi="Times New Roman" w:cs="Times New Roman"/>
          <w:color w:val="515967"/>
        </w:rPr>
      </w:pPr>
      <w:r w:rsidRPr="00F33188">
        <w:rPr>
          <w:rFonts w:ascii="Times New Roman" w:eastAsia="Times New Roman" w:hAnsi="Times New Roman" w:cs="Times New Roman"/>
          <w:color w:val="515967"/>
        </w:rPr>
        <w:lastRenderedPageBreak/>
        <w:t>Zone Allowed Density in Dwelling Units/Acre: </w:t>
      </w:r>
    </w:p>
    <w:p w14:paraId="33630C52" w14:textId="77777777" w:rsidR="00713712" w:rsidRPr="00F33188" w:rsidRDefault="00713712" w:rsidP="00713712">
      <w:pPr>
        <w:shd w:val="clear" w:color="auto" w:fill="FFFFFF"/>
        <w:spacing w:after="150" w:line="240" w:lineRule="auto"/>
        <w:jc w:val="both"/>
        <w:rPr>
          <w:rFonts w:ascii="Times New Roman" w:eastAsia="Times New Roman" w:hAnsi="Times New Roman" w:cs="Times New Roman"/>
          <w:color w:val="515967"/>
        </w:rPr>
      </w:pP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1431"/>
        <w:gridCol w:w="4420"/>
        <w:gridCol w:w="5093"/>
      </w:tblGrid>
      <w:tr w:rsidR="00713712" w:rsidRPr="00F33188" w14:paraId="1C06E03C" w14:textId="77777777" w:rsidTr="00C83A81">
        <w:trPr>
          <w:trHeight w:val="450"/>
        </w:trPr>
        <w:tc>
          <w:tcPr>
            <w:tcW w:w="2115"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14:paraId="79DC7356" w14:textId="77777777" w:rsidR="00713712" w:rsidRPr="00F33188" w:rsidRDefault="00713712" w:rsidP="00C83A81">
            <w:pPr>
              <w:spacing w:after="240" w:line="240" w:lineRule="auto"/>
              <w:jc w:val="both"/>
              <w:rPr>
                <w:rFonts w:ascii="Times New Roman" w:eastAsia="Times New Roman" w:hAnsi="Times New Roman" w:cs="Times New Roman"/>
                <w:color w:val="515967"/>
              </w:rPr>
            </w:pPr>
            <w:r w:rsidRPr="00F33188">
              <w:rPr>
                <w:rFonts w:ascii="Times New Roman" w:eastAsia="Times New Roman" w:hAnsi="Times New Roman" w:cs="Times New Roman"/>
                <w:color w:val="515967"/>
              </w:rPr>
              <w:t>Zone</w:t>
            </w:r>
          </w:p>
        </w:tc>
        <w:tc>
          <w:tcPr>
            <w:tcW w:w="7518"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14:paraId="1941AA5F" w14:textId="77777777" w:rsidR="00713712" w:rsidRPr="00F33188" w:rsidRDefault="00713712" w:rsidP="00C83A81">
            <w:pPr>
              <w:spacing w:after="240" w:line="240" w:lineRule="auto"/>
              <w:jc w:val="both"/>
              <w:rPr>
                <w:rFonts w:ascii="Times New Roman" w:eastAsia="Times New Roman" w:hAnsi="Times New Roman" w:cs="Times New Roman"/>
                <w:color w:val="515967"/>
              </w:rPr>
            </w:pPr>
            <w:r w:rsidRPr="00F33188">
              <w:rPr>
                <w:rFonts w:ascii="Times New Roman" w:eastAsia="Times New Roman" w:hAnsi="Times New Roman" w:cs="Times New Roman"/>
                <w:color w:val="515967"/>
              </w:rPr>
              <w:t>#Lots per Acre</w:t>
            </w:r>
          </w:p>
        </w:tc>
        <w:tc>
          <w:tcPr>
            <w:tcW w:w="811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14:paraId="0731C95E" w14:textId="77777777" w:rsidR="00713712" w:rsidRPr="00F33188" w:rsidRDefault="00713712" w:rsidP="00C83A81">
            <w:pPr>
              <w:spacing w:after="240" w:line="240" w:lineRule="auto"/>
              <w:jc w:val="both"/>
              <w:rPr>
                <w:rFonts w:ascii="Times New Roman" w:eastAsia="Times New Roman" w:hAnsi="Times New Roman" w:cs="Times New Roman"/>
                <w:color w:val="515967"/>
              </w:rPr>
            </w:pPr>
            <w:r w:rsidRPr="00F33188">
              <w:rPr>
                <w:rFonts w:ascii="Times New Roman" w:eastAsia="Times New Roman" w:hAnsi="Times New Roman" w:cs="Times New Roman"/>
                <w:color w:val="515967"/>
              </w:rPr>
              <w:t>Subdivision with Bonus Density</w:t>
            </w:r>
          </w:p>
        </w:tc>
      </w:tr>
      <w:tr w:rsidR="00713712" w:rsidRPr="00F33188" w14:paraId="78AB1309" w14:textId="77777777" w:rsidTr="00C83A81">
        <w:trPr>
          <w:trHeight w:val="405"/>
        </w:trPr>
        <w:tc>
          <w:tcPr>
            <w:tcW w:w="2115"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14:paraId="4ED52368" w14:textId="77777777" w:rsidR="00713712" w:rsidRPr="00F33188" w:rsidRDefault="00713712" w:rsidP="00C83A81">
            <w:pPr>
              <w:spacing w:after="240" w:line="240" w:lineRule="auto"/>
              <w:jc w:val="both"/>
              <w:rPr>
                <w:rFonts w:ascii="Times New Roman" w:eastAsia="Times New Roman" w:hAnsi="Times New Roman" w:cs="Times New Roman"/>
                <w:color w:val="515967"/>
              </w:rPr>
            </w:pPr>
            <w:r w:rsidRPr="00F33188">
              <w:rPr>
                <w:rFonts w:ascii="Times New Roman" w:eastAsia="Times New Roman" w:hAnsi="Times New Roman" w:cs="Times New Roman"/>
                <w:color w:val="515967"/>
              </w:rPr>
              <w:t>A-1</w:t>
            </w:r>
          </w:p>
        </w:tc>
        <w:tc>
          <w:tcPr>
            <w:tcW w:w="7518"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14:paraId="61BC1CCE" w14:textId="77777777" w:rsidR="00713712" w:rsidRPr="00F33188" w:rsidRDefault="00713712" w:rsidP="00C83A81">
            <w:pPr>
              <w:spacing w:after="240" w:line="240" w:lineRule="auto"/>
              <w:jc w:val="both"/>
              <w:rPr>
                <w:rFonts w:ascii="Times New Roman" w:eastAsia="Times New Roman" w:hAnsi="Times New Roman" w:cs="Times New Roman"/>
                <w:color w:val="515967"/>
              </w:rPr>
            </w:pPr>
            <w:r w:rsidRPr="00F33188">
              <w:rPr>
                <w:rFonts w:ascii="Times New Roman" w:eastAsia="Times New Roman" w:hAnsi="Times New Roman" w:cs="Times New Roman"/>
                <w:color w:val="515967"/>
              </w:rPr>
              <w:t>One (1)</w:t>
            </w:r>
          </w:p>
        </w:tc>
        <w:tc>
          <w:tcPr>
            <w:tcW w:w="811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14:paraId="08A9E461" w14:textId="77777777" w:rsidR="00713712" w:rsidRPr="00F33188" w:rsidRDefault="00713712" w:rsidP="00C83A81">
            <w:pPr>
              <w:spacing w:after="240" w:line="240" w:lineRule="auto"/>
              <w:jc w:val="both"/>
              <w:rPr>
                <w:rFonts w:ascii="Times New Roman" w:eastAsia="Times New Roman" w:hAnsi="Times New Roman" w:cs="Times New Roman"/>
                <w:color w:val="515967"/>
              </w:rPr>
            </w:pPr>
            <w:r w:rsidRPr="00F33188">
              <w:rPr>
                <w:rFonts w:ascii="Times New Roman" w:eastAsia="Times New Roman" w:hAnsi="Times New Roman" w:cs="Times New Roman"/>
                <w:color w:val="515967"/>
              </w:rPr>
              <w:t>Before Improvements</w:t>
            </w:r>
          </w:p>
        </w:tc>
      </w:tr>
      <w:tr w:rsidR="00713712" w:rsidRPr="00F33188" w14:paraId="4DD7136E" w14:textId="77777777" w:rsidTr="00C83A81">
        <w:trPr>
          <w:trHeight w:val="448"/>
        </w:trPr>
        <w:tc>
          <w:tcPr>
            <w:tcW w:w="2115"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14:paraId="56062A24" w14:textId="77777777" w:rsidR="00713712" w:rsidRPr="00F33188" w:rsidRDefault="00713712" w:rsidP="00C83A81">
            <w:pPr>
              <w:spacing w:after="240" w:line="240" w:lineRule="auto"/>
              <w:jc w:val="both"/>
              <w:rPr>
                <w:rFonts w:ascii="Times New Roman" w:eastAsia="Times New Roman" w:hAnsi="Times New Roman" w:cs="Times New Roman"/>
                <w:color w:val="515967"/>
              </w:rPr>
            </w:pPr>
            <w:r w:rsidRPr="00F33188">
              <w:rPr>
                <w:rFonts w:ascii="Times New Roman" w:eastAsia="Times New Roman" w:hAnsi="Times New Roman" w:cs="Times New Roman"/>
                <w:color w:val="515967"/>
              </w:rPr>
              <w:t>RE-20</w:t>
            </w:r>
          </w:p>
        </w:tc>
        <w:tc>
          <w:tcPr>
            <w:tcW w:w="7518"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14:paraId="458B9A3E" w14:textId="77777777" w:rsidR="00713712" w:rsidRPr="00F33188" w:rsidRDefault="00713712" w:rsidP="00C83A81">
            <w:pPr>
              <w:spacing w:after="240" w:line="240" w:lineRule="auto"/>
              <w:jc w:val="both"/>
              <w:rPr>
                <w:rFonts w:ascii="Times New Roman" w:eastAsia="Times New Roman" w:hAnsi="Times New Roman" w:cs="Times New Roman"/>
                <w:color w:val="515967"/>
              </w:rPr>
            </w:pPr>
            <w:r w:rsidRPr="00F33188">
              <w:rPr>
                <w:rFonts w:ascii="Times New Roman" w:eastAsia="Times New Roman" w:hAnsi="Times New Roman" w:cs="Times New Roman"/>
                <w:color w:val="515967"/>
              </w:rPr>
              <w:t>Two (2)</w:t>
            </w:r>
          </w:p>
        </w:tc>
        <w:tc>
          <w:tcPr>
            <w:tcW w:w="811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14:paraId="17A91D55" w14:textId="77777777" w:rsidR="00713712" w:rsidRPr="00F33188" w:rsidRDefault="00713712" w:rsidP="00C83A81">
            <w:pPr>
              <w:spacing w:after="240" w:line="240" w:lineRule="auto"/>
              <w:jc w:val="both"/>
              <w:rPr>
                <w:rFonts w:ascii="Times New Roman" w:eastAsia="Times New Roman" w:hAnsi="Times New Roman" w:cs="Times New Roman"/>
                <w:color w:val="515967"/>
              </w:rPr>
            </w:pPr>
            <w:r w:rsidRPr="00F33188">
              <w:rPr>
                <w:rFonts w:ascii="Times New Roman" w:eastAsia="Times New Roman" w:hAnsi="Times New Roman" w:cs="Times New Roman"/>
                <w:color w:val="515967"/>
              </w:rPr>
              <w:t>Before Improvements</w:t>
            </w:r>
          </w:p>
        </w:tc>
      </w:tr>
    </w:tbl>
    <w:p w14:paraId="4F113CB9" w14:textId="77777777" w:rsidR="00713712" w:rsidRPr="00F33188" w:rsidRDefault="00713712" w:rsidP="00713712">
      <w:pPr>
        <w:shd w:val="clear" w:color="auto" w:fill="FFFFFF"/>
        <w:spacing w:after="150" w:line="240" w:lineRule="auto"/>
        <w:jc w:val="both"/>
        <w:rPr>
          <w:rFonts w:ascii="Times New Roman" w:eastAsia="Times New Roman" w:hAnsi="Times New Roman" w:cs="Times New Roman"/>
          <w:color w:val="515967"/>
        </w:rPr>
      </w:pPr>
      <w:r w:rsidRPr="00F33188">
        <w:rPr>
          <w:rFonts w:ascii="Times New Roman" w:eastAsia="Times New Roman" w:hAnsi="Times New Roman" w:cs="Times New Roman"/>
          <w:color w:val="515967"/>
        </w:rPr>
        <w:t>Bonus Density lots are calculated at six percent (6%), rounded upwards, of the total acreage.</w:t>
      </w:r>
    </w:p>
    <w:p w14:paraId="63537646" w14:textId="77777777" w:rsidR="00713712" w:rsidRPr="00F33188" w:rsidRDefault="00713712" w:rsidP="00713712">
      <w:pPr>
        <w:shd w:val="clear" w:color="auto" w:fill="FFFFFF"/>
        <w:spacing w:after="150" w:line="240" w:lineRule="auto"/>
        <w:jc w:val="both"/>
        <w:rPr>
          <w:rFonts w:ascii="Times New Roman" w:eastAsia="Times New Roman" w:hAnsi="Times New Roman" w:cs="Times New Roman"/>
          <w:color w:val="515967"/>
        </w:rPr>
      </w:pPr>
      <w:r w:rsidRPr="00F33188">
        <w:rPr>
          <w:rFonts w:ascii="Times New Roman" w:eastAsia="Times New Roman" w:hAnsi="Times New Roman" w:cs="Times New Roman"/>
          <w:color w:val="515967"/>
        </w:rPr>
        <w:t>Example: 40-acre land parcel</w:t>
      </w:r>
    </w:p>
    <w:p w14:paraId="13ED38F1" w14:textId="77777777" w:rsidR="00713712" w:rsidRPr="00F33188" w:rsidRDefault="00713712" w:rsidP="00713712">
      <w:pPr>
        <w:shd w:val="clear" w:color="auto" w:fill="FFFFFF"/>
        <w:spacing w:after="150" w:line="240" w:lineRule="auto"/>
        <w:jc w:val="both"/>
        <w:rPr>
          <w:rFonts w:ascii="Times New Roman" w:eastAsia="Times New Roman" w:hAnsi="Times New Roman" w:cs="Times New Roman"/>
          <w:color w:val="515967"/>
        </w:rPr>
      </w:pP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2411"/>
        <w:gridCol w:w="8533"/>
      </w:tblGrid>
      <w:tr w:rsidR="00713712" w:rsidRPr="00F33188" w14:paraId="50E787E2" w14:textId="77777777" w:rsidTr="00C83A81">
        <w:trPr>
          <w:trHeight w:val="489"/>
        </w:trPr>
        <w:tc>
          <w:tcPr>
            <w:tcW w:w="1593"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14:paraId="0EAE4368" w14:textId="77777777" w:rsidR="00713712" w:rsidRPr="00F33188" w:rsidRDefault="00713712" w:rsidP="00C83A81">
            <w:pPr>
              <w:spacing w:after="240" w:line="240" w:lineRule="auto"/>
              <w:jc w:val="both"/>
              <w:rPr>
                <w:rFonts w:ascii="Times New Roman" w:eastAsia="Times New Roman" w:hAnsi="Times New Roman" w:cs="Times New Roman"/>
                <w:color w:val="515967"/>
              </w:rPr>
            </w:pPr>
            <w:r w:rsidRPr="00F33188">
              <w:rPr>
                <w:rFonts w:ascii="Times New Roman" w:eastAsia="Times New Roman" w:hAnsi="Times New Roman" w:cs="Times New Roman"/>
                <w:color w:val="515967"/>
              </w:rPr>
              <w:t>Zone</w:t>
            </w:r>
          </w:p>
        </w:tc>
        <w:tc>
          <w:tcPr>
            <w:tcW w:w="5637"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14:paraId="4E5C95B1" w14:textId="77777777" w:rsidR="00713712" w:rsidRPr="00F33188" w:rsidRDefault="00713712" w:rsidP="00C83A81">
            <w:pPr>
              <w:spacing w:after="240" w:line="240" w:lineRule="auto"/>
              <w:jc w:val="both"/>
              <w:rPr>
                <w:rFonts w:ascii="Times New Roman" w:eastAsia="Times New Roman" w:hAnsi="Times New Roman" w:cs="Times New Roman"/>
                <w:color w:val="515967"/>
              </w:rPr>
            </w:pPr>
            <w:r w:rsidRPr="00F33188">
              <w:rPr>
                <w:rFonts w:ascii="Times New Roman" w:eastAsia="Times New Roman" w:hAnsi="Times New Roman" w:cs="Times New Roman"/>
                <w:color w:val="515967"/>
              </w:rPr>
              <w:t>Number of Bonus Density Lots Required</w:t>
            </w:r>
          </w:p>
        </w:tc>
      </w:tr>
      <w:tr w:rsidR="00713712" w:rsidRPr="00F33188" w14:paraId="1117138E" w14:textId="77777777" w:rsidTr="00C83A81">
        <w:trPr>
          <w:trHeight w:val="660"/>
        </w:trPr>
        <w:tc>
          <w:tcPr>
            <w:tcW w:w="1593"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14:paraId="5D54C81C" w14:textId="77777777" w:rsidR="00F33188" w:rsidRPr="00F33188" w:rsidRDefault="00713712" w:rsidP="00C83A81">
            <w:pPr>
              <w:spacing w:after="0" w:line="240" w:lineRule="auto"/>
              <w:jc w:val="both"/>
              <w:rPr>
                <w:rFonts w:ascii="Times New Roman" w:eastAsia="Times New Roman" w:hAnsi="Times New Roman" w:cs="Times New Roman"/>
                <w:color w:val="515967"/>
              </w:rPr>
            </w:pPr>
            <w:r w:rsidRPr="00F33188">
              <w:rPr>
                <w:rFonts w:ascii="Times New Roman" w:eastAsia="Times New Roman" w:hAnsi="Times New Roman" w:cs="Times New Roman"/>
                <w:color w:val="515967"/>
              </w:rPr>
              <w:t>A-1</w:t>
            </w:r>
          </w:p>
        </w:tc>
        <w:tc>
          <w:tcPr>
            <w:tcW w:w="5637"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14:paraId="188DC04D" w14:textId="77777777" w:rsidR="00713712" w:rsidRPr="00F33188" w:rsidRDefault="00713712" w:rsidP="00C83A81">
            <w:pPr>
              <w:spacing w:after="0" w:line="240" w:lineRule="auto"/>
              <w:jc w:val="both"/>
              <w:rPr>
                <w:rFonts w:ascii="Times New Roman" w:eastAsia="Times New Roman" w:hAnsi="Times New Roman" w:cs="Times New Roman"/>
                <w:color w:val="515967"/>
              </w:rPr>
            </w:pPr>
            <w:r w:rsidRPr="00F33188">
              <w:rPr>
                <w:rFonts w:ascii="Times New Roman" w:eastAsia="Times New Roman" w:hAnsi="Times New Roman" w:cs="Times New Roman"/>
                <w:color w:val="515967"/>
              </w:rPr>
              <w:t>40 X 0.06 = 2.4 or 3 Bonus Density Lots</w:t>
            </w:r>
          </w:p>
        </w:tc>
      </w:tr>
      <w:tr w:rsidR="00713712" w:rsidRPr="00F33188" w14:paraId="385B72AA" w14:textId="77777777" w:rsidTr="00C83A81">
        <w:trPr>
          <w:trHeight w:val="495"/>
        </w:trPr>
        <w:tc>
          <w:tcPr>
            <w:tcW w:w="1593"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14:paraId="3D55F04C" w14:textId="77777777" w:rsidR="00713712" w:rsidRPr="00F33188" w:rsidRDefault="00713712" w:rsidP="00C83A81">
            <w:pPr>
              <w:spacing w:after="0" w:line="240" w:lineRule="auto"/>
              <w:jc w:val="both"/>
              <w:rPr>
                <w:rFonts w:ascii="Times New Roman" w:eastAsia="Times New Roman" w:hAnsi="Times New Roman" w:cs="Times New Roman"/>
                <w:color w:val="515967"/>
              </w:rPr>
            </w:pPr>
            <w:r w:rsidRPr="00F33188">
              <w:rPr>
                <w:rFonts w:ascii="Times New Roman" w:eastAsia="Times New Roman" w:hAnsi="Times New Roman" w:cs="Times New Roman"/>
                <w:color w:val="515967"/>
              </w:rPr>
              <w:t>RE-20</w:t>
            </w:r>
          </w:p>
        </w:tc>
        <w:tc>
          <w:tcPr>
            <w:tcW w:w="5637"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14:paraId="24F078EA" w14:textId="77777777" w:rsidR="00713712" w:rsidRPr="00F33188" w:rsidRDefault="00713712" w:rsidP="00C83A81">
            <w:pPr>
              <w:spacing w:after="0" w:line="240" w:lineRule="auto"/>
              <w:jc w:val="both"/>
              <w:rPr>
                <w:rFonts w:ascii="Times New Roman" w:eastAsia="Times New Roman" w:hAnsi="Times New Roman" w:cs="Times New Roman"/>
                <w:color w:val="515967"/>
              </w:rPr>
            </w:pPr>
            <w:r w:rsidRPr="00F33188">
              <w:rPr>
                <w:rFonts w:ascii="Times New Roman" w:eastAsia="Times New Roman" w:hAnsi="Times New Roman" w:cs="Times New Roman"/>
                <w:color w:val="515967"/>
              </w:rPr>
              <w:t>40 X 2 X 0.06 = 4.8 or 5 Bonus Density Lots</w:t>
            </w:r>
          </w:p>
        </w:tc>
      </w:tr>
    </w:tbl>
    <w:p w14:paraId="274AAC71" w14:textId="77777777" w:rsidR="00713712" w:rsidRDefault="00713712" w:rsidP="00376B94">
      <w:pPr>
        <w:shd w:val="clear" w:color="auto" w:fill="FFFFFF"/>
        <w:spacing w:before="100" w:beforeAutospacing="1" w:after="100" w:afterAutospacing="1" w:line="240" w:lineRule="auto"/>
        <w:jc w:val="both"/>
        <w:rPr>
          <w:rFonts w:ascii="Times New Roman" w:eastAsia="Times New Roman" w:hAnsi="Times New Roman" w:cs="Times New Roman"/>
          <w:color w:val="515967"/>
        </w:rPr>
      </w:pPr>
    </w:p>
    <w:p w14:paraId="76C625DE" w14:textId="77777777" w:rsidR="00376B94" w:rsidRPr="00376B94" w:rsidRDefault="00376B94" w:rsidP="00376B94">
      <w:pPr>
        <w:shd w:val="clear" w:color="auto" w:fill="FFFFFF"/>
        <w:spacing w:before="100" w:beforeAutospacing="1" w:after="100" w:afterAutospacing="1" w:line="240" w:lineRule="auto"/>
        <w:jc w:val="both"/>
        <w:rPr>
          <w:rFonts w:ascii="Times New Roman" w:eastAsia="Times New Roman" w:hAnsi="Times New Roman" w:cs="Times New Roman"/>
          <w:color w:val="515967"/>
        </w:rPr>
      </w:pPr>
    </w:p>
    <w:p w14:paraId="2AA7A60B" w14:textId="77777777" w:rsidR="001B1069" w:rsidRDefault="00376B94" w:rsidP="001B1069">
      <w:pPr>
        <w:shd w:val="clear" w:color="auto" w:fill="FFFFFF"/>
        <w:jc w:val="both"/>
        <w:rPr>
          <w:color w:val="0070C0"/>
          <w:sz w:val="28"/>
          <w:szCs w:val="28"/>
        </w:rPr>
      </w:pPr>
      <w:r>
        <w:rPr>
          <w:color w:val="0070C0"/>
          <w:sz w:val="28"/>
          <w:szCs w:val="28"/>
        </w:rPr>
        <w:t>Senior PUD</w:t>
      </w:r>
    </w:p>
    <w:commentRangeStart w:id="1"/>
    <w:p w14:paraId="7C99B927" w14:textId="77777777" w:rsidR="001B1069" w:rsidRPr="001B1069" w:rsidRDefault="001B1069" w:rsidP="001B1069">
      <w:pPr>
        <w:shd w:val="clear" w:color="auto" w:fill="FFFFFF"/>
        <w:jc w:val="both"/>
        <w:rPr>
          <w:rFonts w:ascii="Times New Roman" w:eastAsia="Times New Roman" w:hAnsi="Times New Roman" w:cs="Times New Roman"/>
          <w:b/>
          <w:bCs/>
          <w:color w:val="FF0000"/>
        </w:rPr>
      </w:pPr>
      <w:r w:rsidRPr="001B1069">
        <w:rPr>
          <w:rFonts w:ascii="Times New Roman" w:eastAsia="Times New Roman" w:hAnsi="Times New Roman" w:cs="Times New Roman"/>
          <w:b/>
          <w:bCs/>
          <w:color w:val="515967"/>
        </w:rPr>
        <w:fldChar w:fldCharType="begin"/>
      </w:r>
      <w:r w:rsidRPr="001B1069">
        <w:rPr>
          <w:rFonts w:ascii="Times New Roman" w:eastAsia="Times New Roman" w:hAnsi="Times New Roman" w:cs="Times New Roman"/>
          <w:b/>
          <w:bCs/>
          <w:color w:val="515967"/>
        </w:rPr>
        <w:instrText xml:space="preserve"> HYPERLINK "https://hydepark.municipalcodeonline.com/book?type=ordinances" \l "name=12.250.030_Conditional_Use" </w:instrText>
      </w:r>
      <w:r w:rsidRPr="001B1069">
        <w:rPr>
          <w:rFonts w:ascii="Times New Roman" w:eastAsia="Times New Roman" w:hAnsi="Times New Roman" w:cs="Times New Roman"/>
          <w:b/>
          <w:bCs/>
          <w:color w:val="515967"/>
        </w:rPr>
        <w:fldChar w:fldCharType="separate"/>
      </w:r>
      <w:r w:rsidRPr="001B1069">
        <w:rPr>
          <w:rFonts w:ascii="Times New Roman" w:eastAsia="Times New Roman" w:hAnsi="Times New Roman" w:cs="Times New Roman"/>
          <w:b/>
          <w:bCs/>
          <w:color w:val="000000"/>
        </w:rPr>
        <w:t xml:space="preserve">12.250.030 </w:t>
      </w:r>
      <w:r w:rsidRPr="001B1069">
        <w:rPr>
          <w:rFonts w:ascii="Times New Roman" w:eastAsia="Times New Roman" w:hAnsi="Times New Roman" w:cs="Times New Roman"/>
          <w:b/>
          <w:bCs/>
          <w:strike/>
          <w:highlight w:val="yellow"/>
        </w:rPr>
        <w:t>Conditional Use</w:t>
      </w:r>
      <w:r w:rsidRPr="001B1069">
        <w:rPr>
          <w:rFonts w:ascii="Times New Roman" w:eastAsia="Times New Roman" w:hAnsi="Times New Roman" w:cs="Times New Roman"/>
          <w:b/>
          <w:bCs/>
          <w:color w:val="515967"/>
        </w:rPr>
        <w:fldChar w:fldCharType="end"/>
      </w:r>
      <w:commentRangeEnd w:id="1"/>
      <w:r>
        <w:rPr>
          <w:rStyle w:val="CommentReference"/>
        </w:rPr>
        <w:commentReference w:id="1"/>
      </w:r>
      <w:r>
        <w:rPr>
          <w:rFonts w:ascii="Times New Roman" w:eastAsia="Times New Roman" w:hAnsi="Times New Roman" w:cs="Times New Roman"/>
          <w:b/>
          <w:bCs/>
          <w:color w:val="515967"/>
        </w:rPr>
        <w:t xml:space="preserve">  </w:t>
      </w:r>
      <w:r>
        <w:rPr>
          <w:rFonts w:ascii="Times New Roman" w:eastAsia="Times New Roman" w:hAnsi="Times New Roman" w:cs="Times New Roman"/>
          <w:b/>
          <w:bCs/>
          <w:color w:val="FF0000"/>
        </w:rPr>
        <w:t>Permitted Use by Overlay Zone in all Residential Zones</w:t>
      </w:r>
    </w:p>
    <w:p w14:paraId="3061001C" w14:textId="77777777" w:rsidR="001B1069" w:rsidRPr="001B1069" w:rsidRDefault="001B1069" w:rsidP="001B1069">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1B1069">
        <w:rPr>
          <w:rFonts w:ascii="Times New Roman" w:eastAsia="Times New Roman" w:hAnsi="Times New Roman" w:cs="Times New Roman"/>
          <w:color w:val="515967"/>
        </w:rPr>
        <w:t xml:space="preserve">Senior citizen PUD’s shall be allowed as a </w:t>
      </w:r>
      <w:r w:rsidRPr="001B1069">
        <w:rPr>
          <w:rFonts w:ascii="Times New Roman" w:eastAsia="Times New Roman" w:hAnsi="Times New Roman" w:cs="Times New Roman"/>
          <w:strike/>
          <w:color w:val="515967"/>
          <w:highlight w:val="yellow"/>
        </w:rPr>
        <w:t>conditional</w:t>
      </w:r>
      <w:r>
        <w:rPr>
          <w:rFonts w:ascii="Times New Roman" w:eastAsia="Times New Roman" w:hAnsi="Times New Roman" w:cs="Times New Roman"/>
          <w:color w:val="515967"/>
        </w:rPr>
        <w:t xml:space="preserve"> </w:t>
      </w:r>
      <w:r>
        <w:rPr>
          <w:rFonts w:ascii="Times New Roman" w:eastAsia="Times New Roman" w:hAnsi="Times New Roman" w:cs="Times New Roman"/>
          <w:color w:val="FF0000"/>
        </w:rPr>
        <w:t>permitted</w:t>
      </w:r>
      <w:r w:rsidRPr="001B1069">
        <w:rPr>
          <w:rFonts w:ascii="Times New Roman" w:eastAsia="Times New Roman" w:hAnsi="Times New Roman" w:cs="Times New Roman"/>
          <w:color w:val="515967"/>
        </w:rPr>
        <w:t xml:space="preserve"> use in all residential zones.</w:t>
      </w:r>
    </w:p>
    <w:p w14:paraId="144DFE3A" w14:textId="77777777" w:rsidR="001B1069" w:rsidRPr="001B1069" w:rsidRDefault="001B1069" w:rsidP="001B1069">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1B1069">
        <w:rPr>
          <w:rFonts w:ascii="Times New Roman" w:eastAsia="Times New Roman" w:hAnsi="Times New Roman" w:cs="Times New Roman"/>
          <w:color w:val="515967"/>
        </w:rPr>
        <w:t xml:space="preserve">Accessory uses may be included in PUD’s to provide necessary services to the occupants of the development as determined by the Planning Commission, provided that agreements and restrictive covenants controlling the proposed uses, ownership, characteristics and design are filed by and entered into by the developer and approved by the Planning Commission and City Council to assure that the approved necessary services are maintained. </w:t>
      </w:r>
    </w:p>
    <w:p w14:paraId="0F1EB890" w14:textId="77777777" w:rsidR="001B1069" w:rsidRPr="001B1069" w:rsidRDefault="001B1069" w:rsidP="001B1069">
      <w:pPr>
        <w:shd w:val="clear" w:color="auto" w:fill="FFFFFF"/>
        <w:spacing w:line="240" w:lineRule="auto"/>
        <w:jc w:val="both"/>
        <w:rPr>
          <w:rFonts w:ascii="Times New Roman" w:eastAsia="Times New Roman" w:hAnsi="Times New Roman" w:cs="Times New Roman"/>
          <w:color w:val="515967"/>
          <w:sz w:val="20"/>
          <w:szCs w:val="20"/>
        </w:rPr>
      </w:pPr>
      <w:r w:rsidRPr="001B1069">
        <w:rPr>
          <w:rFonts w:ascii="Times New Roman" w:eastAsia="Times New Roman" w:hAnsi="Times New Roman" w:cs="Times New Roman"/>
          <w:color w:val="515967"/>
          <w:sz w:val="20"/>
          <w:szCs w:val="20"/>
        </w:rPr>
        <w:t>HISTORY</w:t>
      </w:r>
      <w:r w:rsidRPr="001B1069">
        <w:rPr>
          <w:rFonts w:ascii="Times New Roman" w:eastAsia="Times New Roman" w:hAnsi="Times New Roman" w:cs="Times New Roman"/>
          <w:color w:val="515967"/>
          <w:sz w:val="20"/>
          <w:szCs w:val="20"/>
        </w:rPr>
        <w:br/>
      </w:r>
      <w:r w:rsidRPr="001B1069">
        <w:rPr>
          <w:rFonts w:ascii="Times New Roman" w:eastAsia="Times New Roman" w:hAnsi="Times New Roman" w:cs="Times New Roman"/>
          <w:i/>
          <w:iCs/>
          <w:color w:val="515967"/>
          <w:sz w:val="20"/>
          <w:szCs w:val="20"/>
        </w:rPr>
        <w:t xml:space="preserve">Adopted by Ord. </w:t>
      </w:r>
      <w:hyperlink r:id="rId8" w:tgtFrame="_blank" w:history="1">
        <w:r w:rsidRPr="001B1069">
          <w:rPr>
            <w:rFonts w:ascii="Times New Roman" w:eastAsia="Times New Roman" w:hAnsi="Times New Roman" w:cs="Times New Roman"/>
            <w:i/>
            <w:iCs/>
            <w:color w:val="0000EE"/>
            <w:sz w:val="20"/>
            <w:szCs w:val="20"/>
            <w:u w:val="single"/>
          </w:rPr>
          <w:t>2015-03</w:t>
        </w:r>
      </w:hyperlink>
      <w:r w:rsidRPr="001B1069">
        <w:rPr>
          <w:rFonts w:ascii="Times New Roman" w:eastAsia="Times New Roman" w:hAnsi="Times New Roman" w:cs="Times New Roman"/>
          <w:i/>
          <w:iCs/>
          <w:color w:val="515967"/>
          <w:sz w:val="20"/>
          <w:szCs w:val="20"/>
        </w:rPr>
        <w:t xml:space="preserve"> on 5/13/2015</w:t>
      </w:r>
    </w:p>
    <w:p w14:paraId="289B1659" w14:textId="77777777" w:rsidR="001B1069" w:rsidRDefault="001B1069">
      <w:pPr>
        <w:rPr>
          <w:color w:val="0070C0"/>
          <w:sz w:val="28"/>
          <w:szCs w:val="28"/>
        </w:rPr>
      </w:pPr>
    </w:p>
    <w:p w14:paraId="60B52A59" w14:textId="77777777" w:rsidR="00572C1E" w:rsidRPr="00572C1E" w:rsidRDefault="00DA005F" w:rsidP="00572C1E">
      <w:pPr>
        <w:shd w:val="clear" w:color="auto" w:fill="FFFFFF"/>
        <w:spacing w:after="0" w:line="240" w:lineRule="auto"/>
        <w:jc w:val="both"/>
        <w:rPr>
          <w:rFonts w:ascii="Times New Roman" w:eastAsia="Times New Roman" w:hAnsi="Times New Roman" w:cs="Times New Roman"/>
          <w:b/>
          <w:bCs/>
          <w:color w:val="515967"/>
        </w:rPr>
      </w:pPr>
      <w:hyperlink r:id="rId9" w:anchor="name=12.250.040_Location" w:history="1">
        <w:r w:rsidR="00572C1E" w:rsidRPr="00572C1E">
          <w:rPr>
            <w:rFonts w:ascii="Times New Roman" w:eastAsia="Times New Roman" w:hAnsi="Times New Roman" w:cs="Times New Roman"/>
            <w:b/>
            <w:bCs/>
            <w:color w:val="000000"/>
            <w:u w:val="single"/>
          </w:rPr>
          <w:t>12.250.040 Location</w:t>
        </w:r>
      </w:hyperlink>
    </w:p>
    <w:p w14:paraId="21268641" w14:textId="77777777" w:rsidR="00572C1E" w:rsidRPr="00572C1E" w:rsidRDefault="00572C1E" w:rsidP="00572C1E">
      <w:pPr>
        <w:shd w:val="clear" w:color="auto" w:fill="FFFFFF"/>
        <w:spacing w:after="150" w:line="240" w:lineRule="auto"/>
        <w:jc w:val="both"/>
        <w:rPr>
          <w:rFonts w:ascii="Times New Roman" w:eastAsia="Times New Roman" w:hAnsi="Times New Roman" w:cs="Times New Roman"/>
          <w:color w:val="515967"/>
        </w:rPr>
      </w:pPr>
      <w:r w:rsidRPr="00572C1E">
        <w:rPr>
          <w:rFonts w:ascii="Times New Roman" w:eastAsia="Times New Roman" w:hAnsi="Times New Roman" w:cs="Times New Roman"/>
          <w:color w:val="515967"/>
        </w:rPr>
        <w:t>In making decisions and/or recommendations as to the approval of a senior citizen PUD, the DRC, Planning Commission and City Council shall apply the following standards for location:</w:t>
      </w:r>
    </w:p>
    <w:p w14:paraId="5DF930FF" w14:textId="77777777" w:rsidR="00572C1E" w:rsidRPr="00572C1E" w:rsidRDefault="00572C1E" w:rsidP="00572C1E">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572C1E">
        <w:rPr>
          <w:rFonts w:ascii="Times New Roman" w:eastAsia="Times New Roman" w:hAnsi="Times New Roman" w:cs="Times New Roman"/>
          <w:color w:val="515967"/>
        </w:rPr>
        <w:t>The concept of the PUD is an important factor in the implementation of the City’s General Plan—2000.</w:t>
      </w:r>
    </w:p>
    <w:p w14:paraId="3BD9881E" w14:textId="77777777" w:rsidR="00572C1E" w:rsidRPr="00572C1E" w:rsidRDefault="00572C1E" w:rsidP="00572C1E">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572C1E">
        <w:rPr>
          <w:rFonts w:ascii="Times New Roman" w:eastAsia="Times New Roman" w:hAnsi="Times New Roman" w:cs="Times New Roman"/>
          <w:color w:val="515967"/>
        </w:rPr>
        <w:t xml:space="preserve">The PUD should be so located with respect to streets and public ways as to provide easy access to the senior citizen occupants, their visitors </w:t>
      </w:r>
      <w:r w:rsidRPr="00572C1E">
        <w:rPr>
          <w:rFonts w:ascii="Times New Roman" w:eastAsia="Times New Roman" w:hAnsi="Times New Roman" w:cs="Times New Roman"/>
          <w:strike/>
          <w:color w:val="515967"/>
          <w:highlight w:val="yellow"/>
        </w:rPr>
        <w:t xml:space="preserve">and public </w:t>
      </w:r>
      <w:commentRangeStart w:id="2"/>
      <w:r w:rsidRPr="00572C1E">
        <w:rPr>
          <w:rFonts w:ascii="Times New Roman" w:eastAsia="Times New Roman" w:hAnsi="Times New Roman" w:cs="Times New Roman"/>
          <w:strike/>
          <w:color w:val="515967"/>
          <w:highlight w:val="yellow"/>
        </w:rPr>
        <w:t>transportation</w:t>
      </w:r>
      <w:commentRangeEnd w:id="2"/>
      <w:r w:rsidR="00381FAB">
        <w:rPr>
          <w:rStyle w:val="CommentReference"/>
        </w:rPr>
        <w:commentReference w:id="2"/>
      </w:r>
      <w:r w:rsidRPr="00572C1E">
        <w:rPr>
          <w:rFonts w:ascii="Times New Roman" w:eastAsia="Times New Roman" w:hAnsi="Times New Roman" w:cs="Times New Roman"/>
          <w:strike/>
          <w:color w:val="515967"/>
          <w:highlight w:val="yellow"/>
        </w:rPr>
        <w:t>.</w:t>
      </w:r>
    </w:p>
    <w:p w14:paraId="2347CCCE" w14:textId="77777777" w:rsidR="00572C1E" w:rsidRPr="00572C1E" w:rsidRDefault="00572C1E" w:rsidP="00572C1E">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572C1E">
        <w:rPr>
          <w:rFonts w:ascii="Times New Roman" w:eastAsia="Times New Roman" w:hAnsi="Times New Roman" w:cs="Times New Roman"/>
          <w:color w:val="515967"/>
        </w:rPr>
        <w:t>The site should be suitable for development without hazards to persons or property, on or off the tract, from flooding, erosion, or other dangers nor annoyances.</w:t>
      </w:r>
    </w:p>
    <w:p w14:paraId="1488AF83" w14:textId="77777777" w:rsidR="00572C1E" w:rsidRPr="00572C1E" w:rsidRDefault="00572C1E" w:rsidP="00572C1E">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572C1E">
        <w:rPr>
          <w:rFonts w:ascii="Times New Roman" w:eastAsia="Times New Roman" w:hAnsi="Times New Roman" w:cs="Times New Roman"/>
          <w:color w:val="515967"/>
        </w:rPr>
        <w:t>A slopes report and a preliminary title report shall be required.</w:t>
      </w:r>
    </w:p>
    <w:p w14:paraId="5AC202AA" w14:textId="0CA23C92" w:rsidR="00572C1E" w:rsidRDefault="00572C1E" w:rsidP="00572C1E">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572C1E">
        <w:rPr>
          <w:rFonts w:ascii="Times New Roman" w:eastAsia="Times New Roman" w:hAnsi="Times New Roman" w:cs="Times New Roman"/>
          <w:color w:val="515967"/>
        </w:rPr>
        <w:t xml:space="preserve">Senior Citizen Housing Planned Unit Developments must be a minimum of 1800 feet apart from each other, and a minimum of 600 feet apart from any other Planned Unit Development (non-Senior Citizen Housing). </w:t>
      </w:r>
      <w:r w:rsidRPr="00572C1E">
        <w:rPr>
          <w:rFonts w:ascii="Times New Roman" w:eastAsia="Times New Roman" w:hAnsi="Times New Roman" w:cs="Times New Roman"/>
          <w:color w:val="515967"/>
        </w:rPr>
        <w:lastRenderedPageBreak/>
        <w:t>(Straight-line as the crow flies, measured from the physical center of the PUD to the next PUD, distance from each other)</w:t>
      </w:r>
    </w:p>
    <w:p w14:paraId="46FA5CB2" w14:textId="77777777" w:rsidR="00CB7611" w:rsidRDefault="00CB7611" w:rsidP="00CB7611">
      <w:pPr>
        <w:shd w:val="clear" w:color="auto" w:fill="FFFFFF"/>
        <w:spacing w:before="100" w:beforeAutospacing="1" w:after="100" w:afterAutospacing="1" w:line="240" w:lineRule="auto"/>
        <w:ind w:left="540"/>
        <w:jc w:val="both"/>
        <w:rPr>
          <w:rFonts w:ascii="Times New Roman" w:eastAsia="Times New Roman" w:hAnsi="Times New Roman" w:cs="Times New Roman"/>
          <w:color w:val="515967"/>
        </w:rPr>
      </w:pPr>
    </w:p>
    <w:p w14:paraId="288BB7AB" w14:textId="77777777" w:rsidR="00CB7611" w:rsidRPr="00CB7611" w:rsidRDefault="00DA005F" w:rsidP="00CB7611">
      <w:pPr>
        <w:shd w:val="clear" w:color="auto" w:fill="FFFFFF"/>
        <w:spacing w:after="0" w:line="240" w:lineRule="auto"/>
        <w:ind w:left="540"/>
        <w:jc w:val="both"/>
        <w:rPr>
          <w:rFonts w:ascii="Times New Roman" w:eastAsia="Times New Roman" w:hAnsi="Times New Roman" w:cs="Times New Roman"/>
          <w:b/>
          <w:bCs/>
          <w:color w:val="515967"/>
        </w:rPr>
      </w:pPr>
      <w:hyperlink r:id="rId10" w:anchor="name=12.250.050_Unified_Control" w:history="1">
        <w:r w:rsidR="00CB7611" w:rsidRPr="00CB7611">
          <w:rPr>
            <w:rFonts w:ascii="Times New Roman" w:eastAsia="Times New Roman" w:hAnsi="Times New Roman" w:cs="Times New Roman"/>
            <w:b/>
            <w:bCs/>
            <w:color w:val="000000"/>
            <w:u w:val="single"/>
          </w:rPr>
          <w:t>12.250.050 Unified Control</w:t>
        </w:r>
      </w:hyperlink>
    </w:p>
    <w:p w14:paraId="1311F4BD" w14:textId="02138C61" w:rsidR="00CB7611" w:rsidRPr="00CB7611" w:rsidRDefault="00CB7611" w:rsidP="00CB7611">
      <w:pPr>
        <w:shd w:val="clear" w:color="auto" w:fill="FFFFFF"/>
        <w:spacing w:after="150" w:line="240" w:lineRule="auto"/>
        <w:ind w:left="540"/>
        <w:jc w:val="both"/>
        <w:rPr>
          <w:rFonts w:ascii="Times New Roman" w:eastAsia="Times New Roman" w:hAnsi="Times New Roman" w:cs="Times New Roman"/>
          <w:color w:val="515967"/>
        </w:rPr>
      </w:pPr>
      <w:r w:rsidRPr="00CB7611">
        <w:rPr>
          <w:rFonts w:ascii="Times New Roman" w:eastAsia="Times New Roman" w:hAnsi="Times New Roman" w:cs="Times New Roman"/>
          <w:color w:val="515967"/>
        </w:rPr>
        <w:t>All land included in the development shall be under the legal control of the applicant, whether the applicant is an individual, partnership, corporation or a group; such control to be in the form of ownership or the option to purchase dependent on project approval.</w:t>
      </w:r>
      <w:r>
        <w:rPr>
          <w:rFonts w:ascii="Times New Roman" w:eastAsia="Times New Roman" w:hAnsi="Times New Roman" w:cs="Times New Roman"/>
          <w:color w:val="FF0000"/>
        </w:rPr>
        <w:t xml:space="preserve"> An HOA shall be established by the Developer and funded with the equivalent of 10% of the development cost for all common improvements, which shall be used for the HOA to operate, maintain, for the first year.</w:t>
      </w:r>
      <w:r w:rsidR="00767FA5">
        <w:rPr>
          <w:rFonts w:ascii="Times New Roman" w:eastAsia="Times New Roman" w:hAnsi="Times New Roman" w:cs="Times New Roman"/>
          <w:color w:val="FF0000"/>
        </w:rPr>
        <w:t xml:space="preserve"> Upon the sale of 60% of PUD lots an election will be held to elect HOA officers.</w:t>
      </w:r>
      <w:r w:rsidRPr="00CB7611">
        <w:rPr>
          <w:rFonts w:ascii="Times New Roman" w:eastAsia="Times New Roman" w:hAnsi="Times New Roman" w:cs="Times New Roman"/>
          <w:color w:val="515967"/>
        </w:rPr>
        <w:t xml:space="preserve"> Evidence of unified control of the entire tract comprising the development in written legal form establishing that applicant has the unrestricted right to impose all of the covenants; conditions and restrictions (CC&amp;R’s) upon the land as are contemplated by the provisions of this ordinance shall be</w:t>
      </w:r>
      <w:r w:rsidR="00F170AA">
        <w:rPr>
          <w:rFonts w:ascii="Times New Roman" w:eastAsia="Times New Roman" w:hAnsi="Times New Roman" w:cs="Times New Roman"/>
          <w:color w:val="515967"/>
        </w:rPr>
        <w:t xml:space="preserve"> </w:t>
      </w:r>
      <w:r w:rsidR="00F170AA">
        <w:rPr>
          <w:rFonts w:ascii="Times New Roman" w:eastAsia="Times New Roman" w:hAnsi="Times New Roman" w:cs="Times New Roman"/>
          <w:color w:val="FF0000"/>
        </w:rPr>
        <w:t>provided to the City upon recording of the Plat</w:t>
      </w:r>
      <w:r w:rsidR="00F170AA" w:rsidRPr="00F170AA">
        <w:rPr>
          <w:rFonts w:ascii="Times New Roman" w:eastAsia="Times New Roman" w:hAnsi="Times New Roman" w:cs="Times New Roman"/>
          <w:color w:val="FF0000"/>
          <w:highlight w:val="yellow"/>
        </w:rPr>
        <w:t>.</w:t>
      </w:r>
      <w:r w:rsidRPr="00F170AA">
        <w:rPr>
          <w:rFonts w:ascii="Times New Roman" w:eastAsia="Times New Roman" w:hAnsi="Times New Roman" w:cs="Times New Roman"/>
          <w:color w:val="515967"/>
          <w:highlight w:val="yellow"/>
        </w:rPr>
        <w:t xml:space="preserve"> </w:t>
      </w:r>
      <w:proofErr w:type="gramStart"/>
      <w:r w:rsidRPr="00F170AA">
        <w:rPr>
          <w:rFonts w:ascii="Times New Roman" w:eastAsia="Times New Roman" w:hAnsi="Times New Roman" w:cs="Times New Roman"/>
          <w:strike/>
          <w:color w:val="515967"/>
          <w:highlight w:val="yellow"/>
        </w:rPr>
        <w:t>delivered</w:t>
      </w:r>
      <w:proofErr w:type="gramEnd"/>
      <w:r w:rsidRPr="00F170AA">
        <w:rPr>
          <w:rFonts w:ascii="Times New Roman" w:eastAsia="Times New Roman" w:hAnsi="Times New Roman" w:cs="Times New Roman"/>
          <w:strike/>
          <w:color w:val="515967"/>
          <w:highlight w:val="yellow"/>
        </w:rPr>
        <w:t xml:space="preserve"> to the City prior to approval. Any future changes to the CC&amp;R’s must be approved by the City Council</w:t>
      </w:r>
      <w:r w:rsidRPr="00F170AA">
        <w:rPr>
          <w:rFonts w:ascii="Times New Roman" w:eastAsia="Times New Roman" w:hAnsi="Times New Roman" w:cs="Times New Roman"/>
          <w:color w:val="515967"/>
          <w:highlight w:val="yellow"/>
        </w:rPr>
        <w:t>.</w:t>
      </w:r>
      <w:r w:rsidRPr="00CB7611">
        <w:rPr>
          <w:rFonts w:ascii="Times New Roman" w:eastAsia="Times New Roman" w:hAnsi="Times New Roman" w:cs="Times New Roman"/>
          <w:color w:val="515967"/>
        </w:rPr>
        <w:t xml:space="preserve"> </w:t>
      </w:r>
    </w:p>
    <w:p w14:paraId="09A50923" w14:textId="1B5C438E" w:rsidR="00CB7611" w:rsidRDefault="00CB7611" w:rsidP="00CB7611">
      <w:pPr>
        <w:shd w:val="clear" w:color="auto" w:fill="FFFFFF"/>
        <w:spacing w:before="100" w:beforeAutospacing="1" w:after="100" w:afterAutospacing="1" w:line="240" w:lineRule="auto"/>
        <w:jc w:val="both"/>
        <w:rPr>
          <w:rFonts w:ascii="Times New Roman" w:eastAsia="Times New Roman" w:hAnsi="Times New Roman" w:cs="Times New Roman"/>
          <w:color w:val="515967"/>
        </w:rPr>
      </w:pPr>
    </w:p>
    <w:p w14:paraId="3D986F22" w14:textId="1BEC4F4F" w:rsidR="00CB7611" w:rsidRDefault="00CB7611" w:rsidP="00CB7611">
      <w:pPr>
        <w:shd w:val="clear" w:color="auto" w:fill="FFFFFF"/>
        <w:spacing w:before="100" w:beforeAutospacing="1" w:after="100" w:afterAutospacing="1" w:line="240" w:lineRule="auto"/>
        <w:jc w:val="both"/>
        <w:rPr>
          <w:rFonts w:ascii="Times New Roman" w:eastAsia="Times New Roman" w:hAnsi="Times New Roman" w:cs="Times New Roman"/>
          <w:color w:val="515967"/>
        </w:rPr>
      </w:pPr>
    </w:p>
    <w:p w14:paraId="53AB4903" w14:textId="6D1CE495" w:rsidR="00CB7611" w:rsidRDefault="00CB7611" w:rsidP="00CB7611">
      <w:pPr>
        <w:shd w:val="clear" w:color="auto" w:fill="FFFFFF"/>
        <w:spacing w:before="100" w:beforeAutospacing="1" w:after="100" w:afterAutospacing="1" w:line="240" w:lineRule="auto"/>
        <w:jc w:val="both"/>
        <w:rPr>
          <w:rFonts w:ascii="Times New Roman" w:eastAsia="Times New Roman" w:hAnsi="Times New Roman" w:cs="Times New Roman"/>
          <w:color w:val="515967"/>
        </w:rPr>
      </w:pPr>
    </w:p>
    <w:p w14:paraId="087A28EF" w14:textId="51811597" w:rsidR="00CB7611" w:rsidRDefault="00CB7611" w:rsidP="00CB7611">
      <w:pPr>
        <w:shd w:val="clear" w:color="auto" w:fill="FFFFFF"/>
        <w:spacing w:before="100" w:beforeAutospacing="1" w:after="100" w:afterAutospacing="1" w:line="240" w:lineRule="auto"/>
        <w:jc w:val="both"/>
        <w:rPr>
          <w:rFonts w:ascii="Times New Roman" w:eastAsia="Times New Roman" w:hAnsi="Times New Roman" w:cs="Times New Roman"/>
          <w:color w:val="515967"/>
        </w:rPr>
      </w:pPr>
    </w:p>
    <w:p w14:paraId="6026279B" w14:textId="32CA58C6" w:rsidR="00CB7611" w:rsidRDefault="00CB7611" w:rsidP="00CB7611">
      <w:pPr>
        <w:shd w:val="clear" w:color="auto" w:fill="FFFFFF"/>
        <w:spacing w:before="100" w:beforeAutospacing="1" w:after="100" w:afterAutospacing="1" w:line="240" w:lineRule="auto"/>
        <w:jc w:val="both"/>
        <w:rPr>
          <w:rFonts w:ascii="Times New Roman" w:eastAsia="Times New Roman" w:hAnsi="Times New Roman" w:cs="Times New Roman"/>
          <w:color w:val="515967"/>
        </w:rPr>
      </w:pPr>
    </w:p>
    <w:p w14:paraId="17BC7A40" w14:textId="77777777" w:rsidR="00CB7611" w:rsidRPr="00572C1E" w:rsidRDefault="00CB7611" w:rsidP="00CB7611">
      <w:pPr>
        <w:shd w:val="clear" w:color="auto" w:fill="FFFFFF"/>
        <w:spacing w:before="100" w:beforeAutospacing="1" w:after="100" w:afterAutospacing="1" w:line="240" w:lineRule="auto"/>
        <w:jc w:val="both"/>
        <w:rPr>
          <w:rFonts w:ascii="Times New Roman" w:eastAsia="Times New Roman" w:hAnsi="Times New Roman" w:cs="Times New Roman"/>
          <w:color w:val="515967"/>
        </w:rPr>
      </w:pPr>
    </w:p>
    <w:p w14:paraId="5FED17EF" w14:textId="77777777" w:rsidR="00376B94" w:rsidRPr="00376B94" w:rsidRDefault="00DA005F" w:rsidP="00376B94">
      <w:pPr>
        <w:spacing w:after="0" w:line="240" w:lineRule="auto"/>
        <w:rPr>
          <w:rFonts w:ascii="Times New Roman" w:eastAsia="Times New Roman" w:hAnsi="Times New Roman" w:cs="Times New Roman"/>
          <w:b/>
          <w:bCs/>
          <w:sz w:val="24"/>
          <w:szCs w:val="24"/>
        </w:rPr>
      </w:pPr>
      <w:hyperlink r:id="rId11" w:anchor="name=12.250.060_Standards_And_Conditions" w:history="1">
        <w:r w:rsidR="00376B94" w:rsidRPr="00376B94">
          <w:rPr>
            <w:rFonts w:ascii="Times New Roman" w:eastAsia="Times New Roman" w:hAnsi="Times New Roman" w:cs="Times New Roman"/>
            <w:b/>
            <w:bCs/>
            <w:color w:val="000000"/>
            <w:sz w:val="24"/>
            <w:szCs w:val="24"/>
          </w:rPr>
          <w:t xml:space="preserve">12.250.060 Standards </w:t>
        </w:r>
        <w:proofErr w:type="gramStart"/>
        <w:r w:rsidR="00376B94" w:rsidRPr="00376B94">
          <w:rPr>
            <w:rFonts w:ascii="Times New Roman" w:eastAsia="Times New Roman" w:hAnsi="Times New Roman" w:cs="Times New Roman"/>
            <w:b/>
            <w:bCs/>
            <w:color w:val="000000"/>
            <w:sz w:val="24"/>
            <w:szCs w:val="24"/>
          </w:rPr>
          <w:t>And</w:t>
        </w:r>
        <w:proofErr w:type="gramEnd"/>
        <w:r w:rsidR="00376B94" w:rsidRPr="00376B94">
          <w:rPr>
            <w:rFonts w:ascii="Times New Roman" w:eastAsia="Times New Roman" w:hAnsi="Times New Roman" w:cs="Times New Roman"/>
            <w:b/>
            <w:bCs/>
            <w:color w:val="000000"/>
            <w:sz w:val="24"/>
            <w:szCs w:val="24"/>
          </w:rPr>
          <w:t xml:space="preserve"> Conditions</w:t>
        </w:r>
      </w:hyperlink>
    </w:p>
    <w:p w14:paraId="25BC2669" w14:textId="77777777" w:rsidR="00376B94" w:rsidRPr="00376B94" w:rsidRDefault="00376B94" w:rsidP="00376B94">
      <w:pPr>
        <w:numPr>
          <w:ilvl w:val="0"/>
          <w:numId w:val="2"/>
        </w:numPr>
        <w:shd w:val="clear" w:color="auto" w:fill="FFFFFF"/>
        <w:spacing w:before="100" w:beforeAutospacing="1" w:after="100" w:afterAutospacing="1" w:line="240" w:lineRule="auto"/>
        <w:ind w:firstLine="0"/>
        <w:jc w:val="both"/>
        <w:rPr>
          <w:rFonts w:ascii="Times New Roman" w:eastAsia="Times New Roman" w:hAnsi="Times New Roman" w:cs="Times New Roman"/>
          <w:color w:val="515967"/>
        </w:rPr>
      </w:pPr>
      <w:r w:rsidRPr="00376B94">
        <w:rPr>
          <w:rFonts w:ascii="Times New Roman" w:eastAsia="Times New Roman" w:hAnsi="Times New Roman" w:cs="Times New Roman"/>
          <w:color w:val="515967"/>
        </w:rPr>
        <w:t>Area. A tract of land proposed for development as a senior citizen PUD shall contain acreage in accordance with the following table:</w:t>
      </w:r>
      <w:r w:rsidRPr="00376B94">
        <w:rPr>
          <w:rFonts w:ascii="Times New Roman" w:eastAsia="Times New Roman" w:hAnsi="Times New Roman" w:cs="Times New Roman"/>
          <w:color w:val="515967"/>
        </w:rPr>
        <w:br/>
      </w:r>
    </w:p>
    <w:tbl>
      <w:tblPr>
        <w:tblW w:w="12465" w:type="dxa"/>
        <w:tblInd w:w="720" w:type="dxa"/>
        <w:tblCellMar>
          <w:top w:w="15" w:type="dxa"/>
          <w:left w:w="15" w:type="dxa"/>
          <w:bottom w:w="15" w:type="dxa"/>
          <w:right w:w="15" w:type="dxa"/>
        </w:tblCellMar>
        <w:tblLook w:val="04A0" w:firstRow="1" w:lastRow="0" w:firstColumn="1" w:lastColumn="0" w:noHBand="0" w:noVBand="1"/>
      </w:tblPr>
      <w:tblGrid>
        <w:gridCol w:w="4147"/>
        <w:gridCol w:w="4159"/>
        <w:gridCol w:w="4159"/>
      </w:tblGrid>
      <w:tr w:rsidR="00376B94" w:rsidRPr="00376B94" w14:paraId="5FEBF8BD" w14:textId="77777777" w:rsidTr="00376B94">
        <w:trPr>
          <w:trHeight w:val="432"/>
        </w:trPr>
        <w:tc>
          <w:tcPr>
            <w:tcW w:w="4044"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14:paraId="3E1A43EA" w14:textId="77777777" w:rsidR="00376B94" w:rsidRPr="00376B94" w:rsidRDefault="00376B94" w:rsidP="00376B94">
            <w:pPr>
              <w:spacing w:after="240" w:line="240" w:lineRule="auto"/>
              <w:rPr>
                <w:rFonts w:ascii="Times New Roman" w:eastAsia="Times New Roman" w:hAnsi="Times New Roman" w:cs="Times New Roman"/>
                <w:sz w:val="24"/>
                <w:szCs w:val="24"/>
              </w:rPr>
            </w:pPr>
            <w:r w:rsidRPr="00376B94">
              <w:rPr>
                <w:rFonts w:ascii="Times New Roman" w:eastAsia="Times New Roman" w:hAnsi="Times New Roman" w:cs="Times New Roman"/>
                <w:b/>
                <w:bCs/>
                <w:sz w:val="24"/>
                <w:szCs w:val="24"/>
              </w:rPr>
              <w:t>Minimum Acreage</w:t>
            </w:r>
          </w:p>
        </w:tc>
        <w:tc>
          <w:tcPr>
            <w:tcW w:w="4056"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14:paraId="10AC4393" w14:textId="77777777" w:rsidR="00376B94" w:rsidRPr="00376B94" w:rsidRDefault="00376B94" w:rsidP="00376B94">
            <w:pPr>
              <w:spacing w:after="240" w:line="240" w:lineRule="auto"/>
              <w:rPr>
                <w:rFonts w:ascii="Times New Roman" w:eastAsia="Times New Roman" w:hAnsi="Times New Roman" w:cs="Times New Roman"/>
                <w:sz w:val="24"/>
                <w:szCs w:val="24"/>
              </w:rPr>
            </w:pPr>
            <w:r w:rsidRPr="00376B94">
              <w:rPr>
                <w:rFonts w:ascii="Times New Roman" w:eastAsia="Times New Roman" w:hAnsi="Times New Roman" w:cs="Times New Roman"/>
                <w:b/>
                <w:bCs/>
                <w:sz w:val="24"/>
                <w:szCs w:val="24"/>
              </w:rPr>
              <w:t>Maximum Acreage</w:t>
            </w:r>
          </w:p>
        </w:tc>
        <w:tc>
          <w:tcPr>
            <w:tcW w:w="4056"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14:paraId="3BA91088" w14:textId="77777777" w:rsidR="00376B94" w:rsidRPr="00376B94" w:rsidRDefault="00376B94" w:rsidP="00376B94">
            <w:pPr>
              <w:spacing w:after="240" w:line="240" w:lineRule="auto"/>
              <w:rPr>
                <w:rFonts w:ascii="Times New Roman" w:eastAsia="Times New Roman" w:hAnsi="Times New Roman" w:cs="Times New Roman"/>
                <w:sz w:val="24"/>
                <w:szCs w:val="24"/>
              </w:rPr>
            </w:pPr>
          </w:p>
        </w:tc>
      </w:tr>
      <w:tr w:rsidR="00376B94" w:rsidRPr="00376B94" w14:paraId="72C5C9BA" w14:textId="77777777" w:rsidTr="00376B94">
        <w:trPr>
          <w:trHeight w:val="432"/>
        </w:trPr>
        <w:tc>
          <w:tcPr>
            <w:tcW w:w="4044"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14:paraId="7AB24180" w14:textId="77777777" w:rsidR="00376B94" w:rsidRPr="00376B94" w:rsidRDefault="00376B94" w:rsidP="00376B94">
            <w:pPr>
              <w:spacing w:after="240" w:line="240" w:lineRule="auto"/>
              <w:rPr>
                <w:rFonts w:ascii="Times New Roman" w:eastAsia="Times New Roman" w:hAnsi="Times New Roman" w:cs="Times New Roman"/>
                <w:sz w:val="24"/>
                <w:szCs w:val="24"/>
              </w:rPr>
            </w:pPr>
            <w:r w:rsidRPr="00376B94">
              <w:rPr>
                <w:rFonts w:ascii="Times New Roman" w:eastAsia="Times New Roman" w:hAnsi="Times New Roman" w:cs="Times New Roman"/>
                <w:sz w:val="24"/>
                <w:szCs w:val="24"/>
              </w:rPr>
              <w:t>4 Acres</w:t>
            </w:r>
          </w:p>
        </w:tc>
        <w:tc>
          <w:tcPr>
            <w:tcW w:w="4056"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14:paraId="2387B959" w14:textId="77777777" w:rsidR="00376B94" w:rsidRPr="00376B94" w:rsidRDefault="00376B94" w:rsidP="00376B94">
            <w:pPr>
              <w:spacing w:after="240" w:line="240" w:lineRule="auto"/>
              <w:rPr>
                <w:rFonts w:ascii="Times New Roman" w:eastAsia="Times New Roman" w:hAnsi="Times New Roman" w:cs="Times New Roman"/>
                <w:sz w:val="24"/>
                <w:szCs w:val="24"/>
              </w:rPr>
            </w:pPr>
            <w:r w:rsidRPr="00376B94">
              <w:rPr>
                <w:rFonts w:ascii="Times New Roman" w:eastAsia="Times New Roman" w:hAnsi="Times New Roman" w:cs="Times New Roman"/>
                <w:sz w:val="24"/>
                <w:szCs w:val="24"/>
              </w:rPr>
              <w:t>7 Acres</w:t>
            </w:r>
          </w:p>
        </w:tc>
        <w:tc>
          <w:tcPr>
            <w:tcW w:w="4056"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14:paraId="28DE49E6" w14:textId="77777777" w:rsidR="00376B94" w:rsidRPr="00376B94" w:rsidRDefault="00376B94" w:rsidP="00376B94">
            <w:pPr>
              <w:spacing w:after="240" w:line="240" w:lineRule="auto"/>
              <w:rPr>
                <w:rFonts w:ascii="Times New Roman" w:eastAsia="Times New Roman" w:hAnsi="Times New Roman" w:cs="Times New Roman"/>
                <w:sz w:val="24"/>
                <w:szCs w:val="24"/>
              </w:rPr>
            </w:pPr>
            <w:r w:rsidRPr="00376B94">
              <w:rPr>
                <w:rFonts w:ascii="Times New Roman" w:eastAsia="Times New Roman" w:hAnsi="Times New Roman" w:cs="Times New Roman"/>
                <w:sz w:val="24"/>
                <w:szCs w:val="24"/>
              </w:rPr>
              <w:t>All Zones</w:t>
            </w:r>
          </w:p>
        </w:tc>
      </w:tr>
    </w:tbl>
    <w:p w14:paraId="28D8E839" w14:textId="77777777" w:rsidR="00376B94" w:rsidRPr="00376B94" w:rsidRDefault="00376B94" w:rsidP="00376B94">
      <w:pPr>
        <w:numPr>
          <w:ilvl w:val="0"/>
          <w:numId w:val="2"/>
        </w:numPr>
        <w:shd w:val="clear" w:color="auto" w:fill="FFFFFF"/>
        <w:spacing w:before="100" w:beforeAutospacing="1" w:after="100" w:afterAutospacing="1" w:line="240" w:lineRule="auto"/>
        <w:ind w:firstLine="0"/>
        <w:jc w:val="both"/>
        <w:rPr>
          <w:rFonts w:ascii="Times New Roman" w:eastAsia="Times New Roman" w:hAnsi="Times New Roman" w:cs="Times New Roman"/>
          <w:color w:val="515967"/>
        </w:rPr>
      </w:pPr>
      <w:r w:rsidRPr="00376B94">
        <w:rPr>
          <w:rFonts w:ascii="Times New Roman" w:eastAsia="Times New Roman" w:hAnsi="Times New Roman" w:cs="Times New Roman"/>
          <w:color w:val="515967"/>
        </w:rPr>
        <w:t>Density. The maximum number of lots and/or units shall not exceed five (5) units per acre.</w:t>
      </w:r>
    </w:p>
    <w:p w14:paraId="24518BBB" w14:textId="77777777" w:rsidR="00376B94" w:rsidRPr="00376B94" w:rsidRDefault="00376B94" w:rsidP="00376B94">
      <w:pPr>
        <w:numPr>
          <w:ilvl w:val="0"/>
          <w:numId w:val="2"/>
        </w:numPr>
        <w:shd w:val="clear" w:color="auto" w:fill="FFFFFF"/>
        <w:spacing w:before="100" w:beforeAutospacing="1" w:after="100" w:afterAutospacing="1" w:line="240" w:lineRule="auto"/>
        <w:ind w:firstLine="0"/>
        <w:jc w:val="both"/>
        <w:rPr>
          <w:rFonts w:ascii="Times New Roman" w:eastAsia="Times New Roman" w:hAnsi="Times New Roman" w:cs="Times New Roman"/>
          <w:color w:val="515967"/>
        </w:rPr>
      </w:pPr>
      <w:r w:rsidRPr="00376B94">
        <w:rPr>
          <w:rFonts w:ascii="Times New Roman" w:eastAsia="Times New Roman" w:hAnsi="Times New Roman" w:cs="Times New Roman"/>
          <w:color w:val="515967"/>
        </w:rPr>
        <w:t>Occupancy. At least 80 percent of the units must have one resident be a senior citizen age fifty-five (55) or older. (Ref 42 USC 3607 (b) (2) (c) and HOPA of 1995) No more than two (2) persons may occupy each living unit unless all such persons are a family and are related by blood, marriage, or adoption, and then no more than four (4) such persons may occupy each living unit. Of those who are so related, no more than two (2) of those persons may be children of one or both of the other said persons. This restriction is to be understood to limit the occupancy of each home to four (4) persons. A person shall be deemed a resident for purposes of this section upon residing within the development for a period of fourteen (14) days in any thirty (30) day period. Renters are considered to be residents and are subject to these same restrictions.</w:t>
      </w:r>
    </w:p>
    <w:p w14:paraId="676A412D" w14:textId="77777777" w:rsidR="00376B94" w:rsidRPr="00376B94" w:rsidRDefault="00376B94" w:rsidP="00376B94">
      <w:pPr>
        <w:numPr>
          <w:ilvl w:val="0"/>
          <w:numId w:val="2"/>
        </w:numPr>
        <w:shd w:val="clear" w:color="auto" w:fill="FFFFFF"/>
        <w:spacing w:before="100" w:beforeAutospacing="1" w:after="100" w:afterAutospacing="1" w:line="240" w:lineRule="auto"/>
        <w:ind w:firstLine="0"/>
        <w:jc w:val="both"/>
        <w:rPr>
          <w:rFonts w:ascii="Times New Roman" w:eastAsia="Times New Roman" w:hAnsi="Times New Roman" w:cs="Times New Roman"/>
          <w:color w:val="515967"/>
        </w:rPr>
      </w:pPr>
      <w:r w:rsidRPr="00376B94">
        <w:rPr>
          <w:rFonts w:ascii="Times New Roman" w:eastAsia="Times New Roman" w:hAnsi="Times New Roman" w:cs="Times New Roman"/>
          <w:color w:val="515967"/>
        </w:rPr>
        <w:t>Lot Requirements. Lot area, width, setback, yard coverage and building height and location requirements shall be determined by the standards outlined in item J; (Arrangements) of this section along with approval of the site plan.</w:t>
      </w:r>
      <w:r w:rsidRPr="00376B94">
        <w:rPr>
          <w:rFonts w:ascii="Times New Roman" w:eastAsia="Times New Roman" w:hAnsi="Times New Roman" w:cs="Times New Roman"/>
          <w:color w:val="515967"/>
        </w:rPr>
        <w:br/>
      </w:r>
    </w:p>
    <w:tbl>
      <w:tblPr>
        <w:tblW w:w="12465" w:type="dxa"/>
        <w:tblInd w:w="720" w:type="dxa"/>
        <w:tblCellMar>
          <w:top w:w="15" w:type="dxa"/>
          <w:left w:w="15" w:type="dxa"/>
          <w:bottom w:w="15" w:type="dxa"/>
          <w:right w:w="15" w:type="dxa"/>
        </w:tblCellMar>
        <w:tblLook w:val="04A0" w:firstRow="1" w:lastRow="0" w:firstColumn="1" w:lastColumn="0" w:noHBand="0" w:noVBand="1"/>
      </w:tblPr>
      <w:tblGrid>
        <w:gridCol w:w="3976"/>
        <w:gridCol w:w="8489"/>
      </w:tblGrid>
      <w:tr w:rsidR="00376B94" w:rsidRPr="00376B94" w14:paraId="43BE0586" w14:textId="77777777" w:rsidTr="00376B94">
        <w:trPr>
          <w:trHeight w:val="432"/>
        </w:trPr>
        <w:tc>
          <w:tcPr>
            <w:tcW w:w="3780"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14:paraId="725336AF" w14:textId="77777777" w:rsidR="00376B94" w:rsidRPr="00376B94" w:rsidRDefault="00376B94" w:rsidP="00376B94">
            <w:pPr>
              <w:spacing w:after="240" w:line="240" w:lineRule="auto"/>
              <w:rPr>
                <w:rFonts w:ascii="Times New Roman" w:eastAsia="Times New Roman" w:hAnsi="Times New Roman" w:cs="Times New Roman"/>
                <w:sz w:val="24"/>
                <w:szCs w:val="24"/>
              </w:rPr>
            </w:pPr>
            <w:r w:rsidRPr="00376B94">
              <w:rPr>
                <w:rFonts w:ascii="Times New Roman" w:eastAsia="Times New Roman" w:hAnsi="Times New Roman" w:cs="Times New Roman"/>
                <w:b/>
                <w:bCs/>
                <w:sz w:val="24"/>
                <w:szCs w:val="24"/>
              </w:rPr>
              <w:lastRenderedPageBreak/>
              <w:t>Setback</w:t>
            </w:r>
          </w:p>
        </w:tc>
        <w:tc>
          <w:tcPr>
            <w:tcW w:w="8070"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14:paraId="7D65C185" w14:textId="77777777" w:rsidR="00376B94" w:rsidRPr="00376B94" w:rsidRDefault="00376B94" w:rsidP="00376B94">
            <w:pPr>
              <w:spacing w:after="240" w:line="240" w:lineRule="auto"/>
              <w:rPr>
                <w:rFonts w:ascii="Times New Roman" w:eastAsia="Times New Roman" w:hAnsi="Times New Roman" w:cs="Times New Roman"/>
                <w:sz w:val="24"/>
                <w:szCs w:val="24"/>
              </w:rPr>
            </w:pPr>
            <w:r w:rsidRPr="00376B94">
              <w:rPr>
                <w:rFonts w:ascii="Times New Roman" w:eastAsia="Times New Roman" w:hAnsi="Times New Roman" w:cs="Times New Roman"/>
                <w:b/>
                <w:bCs/>
                <w:sz w:val="24"/>
                <w:szCs w:val="24"/>
              </w:rPr>
              <w:t>Minimum</w:t>
            </w:r>
          </w:p>
        </w:tc>
      </w:tr>
      <w:tr w:rsidR="00376B94" w:rsidRPr="00376B94" w14:paraId="42EFB704" w14:textId="77777777" w:rsidTr="00376B94">
        <w:trPr>
          <w:trHeight w:val="432"/>
        </w:trPr>
        <w:tc>
          <w:tcPr>
            <w:tcW w:w="3780"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14:paraId="6BE6C968" w14:textId="77777777" w:rsidR="00376B94" w:rsidRPr="00376B94" w:rsidRDefault="00376B94" w:rsidP="00376B94">
            <w:pPr>
              <w:spacing w:after="240" w:line="240" w:lineRule="auto"/>
              <w:rPr>
                <w:rFonts w:ascii="Times New Roman" w:eastAsia="Times New Roman" w:hAnsi="Times New Roman" w:cs="Times New Roman"/>
                <w:sz w:val="24"/>
                <w:szCs w:val="24"/>
              </w:rPr>
            </w:pPr>
            <w:r w:rsidRPr="00376B94">
              <w:rPr>
                <w:rFonts w:ascii="Times New Roman" w:eastAsia="Times New Roman" w:hAnsi="Times New Roman" w:cs="Times New Roman"/>
                <w:sz w:val="24"/>
                <w:szCs w:val="24"/>
              </w:rPr>
              <w:t>Side yard</w:t>
            </w:r>
          </w:p>
        </w:tc>
        <w:tc>
          <w:tcPr>
            <w:tcW w:w="8070"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14:paraId="0FC991EC" w14:textId="77777777" w:rsidR="00376B94" w:rsidRPr="00376B94" w:rsidRDefault="00376B94" w:rsidP="00376B94">
            <w:pPr>
              <w:spacing w:after="240" w:line="240" w:lineRule="auto"/>
              <w:rPr>
                <w:rFonts w:ascii="Times New Roman" w:eastAsia="Times New Roman" w:hAnsi="Times New Roman" w:cs="Times New Roman"/>
                <w:sz w:val="24"/>
                <w:szCs w:val="24"/>
              </w:rPr>
            </w:pPr>
            <w:r w:rsidRPr="00376B94">
              <w:rPr>
                <w:rFonts w:ascii="Times New Roman" w:eastAsia="Times New Roman" w:hAnsi="Times New Roman" w:cs="Times New Roman"/>
                <w:sz w:val="24"/>
                <w:szCs w:val="24"/>
              </w:rPr>
              <w:t>8 feet, or</w:t>
            </w:r>
          </w:p>
        </w:tc>
      </w:tr>
      <w:tr w:rsidR="00376B94" w:rsidRPr="00376B94" w14:paraId="035A0F32" w14:textId="77777777" w:rsidTr="00376B94">
        <w:trPr>
          <w:trHeight w:val="432"/>
        </w:trPr>
        <w:tc>
          <w:tcPr>
            <w:tcW w:w="3780"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14:paraId="014CFBB5" w14:textId="77777777" w:rsidR="00376B94" w:rsidRPr="00376B94" w:rsidRDefault="00376B94" w:rsidP="00376B94">
            <w:pPr>
              <w:spacing w:after="240" w:line="240" w:lineRule="auto"/>
              <w:rPr>
                <w:rFonts w:ascii="Times New Roman" w:eastAsia="Times New Roman" w:hAnsi="Times New Roman" w:cs="Times New Roman"/>
                <w:sz w:val="24"/>
                <w:szCs w:val="24"/>
              </w:rPr>
            </w:pPr>
          </w:p>
        </w:tc>
        <w:tc>
          <w:tcPr>
            <w:tcW w:w="8070"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14:paraId="01610DC6" w14:textId="77777777" w:rsidR="00376B94" w:rsidRPr="00376B94" w:rsidRDefault="00376B94" w:rsidP="00376B94">
            <w:pPr>
              <w:spacing w:after="240" w:line="240" w:lineRule="auto"/>
              <w:rPr>
                <w:rFonts w:ascii="Times New Roman" w:eastAsia="Times New Roman" w:hAnsi="Times New Roman" w:cs="Times New Roman"/>
                <w:sz w:val="24"/>
                <w:szCs w:val="24"/>
              </w:rPr>
            </w:pPr>
            <w:r w:rsidRPr="00376B94">
              <w:rPr>
                <w:rFonts w:ascii="Times New Roman" w:eastAsia="Times New Roman" w:hAnsi="Times New Roman" w:cs="Times New Roman"/>
                <w:sz w:val="24"/>
                <w:szCs w:val="24"/>
              </w:rPr>
              <w:t>zero lot line on one side, with 16 feet between each single family dwelling</w:t>
            </w:r>
          </w:p>
        </w:tc>
      </w:tr>
      <w:tr w:rsidR="00376B94" w:rsidRPr="00376B94" w14:paraId="4DD4CE96" w14:textId="77777777" w:rsidTr="00376B94">
        <w:trPr>
          <w:trHeight w:val="432"/>
        </w:trPr>
        <w:tc>
          <w:tcPr>
            <w:tcW w:w="3780"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14:paraId="31059ADC" w14:textId="77777777" w:rsidR="00376B94" w:rsidRPr="00376B94" w:rsidRDefault="00376B94" w:rsidP="00376B94">
            <w:pPr>
              <w:spacing w:after="240" w:line="240" w:lineRule="auto"/>
              <w:rPr>
                <w:rFonts w:ascii="Times New Roman" w:eastAsia="Times New Roman" w:hAnsi="Times New Roman" w:cs="Times New Roman"/>
                <w:sz w:val="24"/>
                <w:szCs w:val="24"/>
              </w:rPr>
            </w:pPr>
            <w:r w:rsidRPr="00376B94">
              <w:rPr>
                <w:rFonts w:ascii="Times New Roman" w:eastAsia="Times New Roman" w:hAnsi="Times New Roman" w:cs="Times New Roman"/>
                <w:sz w:val="24"/>
                <w:szCs w:val="24"/>
              </w:rPr>
              <w:t>Rear</w:t>
            </w:r>
          </w:p>
        </w:tc>
        <w:tc>
          <w:tcPr>
            <w:tcW w:w="8070"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14:paraId="3F12C322" w14:textId="77777777" w:rsidR="00376B94" w:rsidRPr="00376B94" w:rsidRDefault="00376B94" w:rsidP="00376B94">
            <w:pPr>
              <w:spacing w:after="240" w:line="240" w:lineRule="auto"/>
              <w:rPr>
                <w:rFonts w:ascii="Times New Roman" w:eastAsia="Times New Roman" w:hAnsi="Times New Roman" w:cs="Times New Roman"/>
                <w:sz w:val="24"/>
                <w:szCs w:val="24"/>
              </w:rPr>
            </w:pPr>
            <w:r w:rsidRPr="00376B94">
              <w:rPr>
                <w:rFonts w:ascii="Times New Roman" w:eastAsia="Times New Roman" w:hAnsi="Times New Roman" w:cs="Times New Roman"/>
                <w:sz w:val="24"/>
                <w:szCs w:val="24"/>
              </w:rPr>
              <w:t>20 feet</w:t>
            </w:r>
          </w:p>
        </w:tc>
      </w:tr>
      <w:tr w:rsidR="00376B94" w:rsidRPr="00376B94" w14:paraId="5CA9D96E" w14:textId="77777777" w:rsidTr="00376B94">
        <w:trPr>
          <w:trHeight w:val="1062"/>
        </w:trPr>
        <w:tc>
          <w:tcPr>
            <w:tcW w:w="3780"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14:paraId="78062528" w14:textId="77777777" w:rsidR="00376B94" w:rsidRDefault="00376B94" w:rsidP="00376B94">
            <w:pPr>
              <w:pStyle w:val="NoSpacing"/>
            </w:pPr>
            <w:r w:rsidRPr="00376B94">
              <w:t>Front* (see note)</w:t>
            </w:r>
          </w:p>
          <w:p w14:paraId="1ECC797A" w14:textId="77777777" w:rsidR="00376B94" w:rsidRDefault="00376B94" w:rsidP="00376B94">
            <w:pPr>
              <w:pStyle w:val="NoSpacing"/>
              <w:rPr>
                <w:color w:val="FF0000"/>
              </w:rPr>
            </w:pPr>
            <w:r>
              <w:rPr>
                <w:color w:val="FF0000"/>
              </w:rPr>
              <w:t>Corner lots have 2 front yards</w:t>
            </w:r>
          </w:p>
          <w:p w14:paraId="255D003C" w14:textId="77777777" w:rsidR="00376B94" w:rsidRPr="00376B94" w:rsidRDefault="00376B94" w:rsidP="00376B94">
            <w:pPr>
              <w:pStyle w:val="NoSpacing"/>
              <w:rPr>
                <w:color w:val="FF0000"/>
              </w:rPr>
            </w:pPr>
            <w:r>
              <w:rPr>
                <w:color w:val="FF0000"/>
              </w:rPr>
              <w:t>2 side yards</w:t>
            </w:r>
          </w:p>
        </w:tc>
        <w:tc>
          <w:tcPr>
            <w:tcW w:w="8070"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14:paraId="7BDEB923" w14:textId="77777777" w:rsidR="00376B94" w:rsidRDefault="00376B94" w:rsidP="00376B94">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18 feet</w:t>
            </w:r>
          </w:p>
          <w:p w14:paraId="2A716E86" w14:textId="77777777" w:rsidR="00376B94" w:rsidRPr="00376B94" w:rsidRDefault="00381FAB" w:rsidP="00381FAB">
            <w:pPr>
              <w:spacing w:after="24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18 feet for house frontage and 12 feet</w:t>
            </w:r>
            <w:r w:rsidR="00376B94">
              <w:rPr>
                <w:rFonts w:ascii="Times New Roman" w:eastAsia="Times New Roman" w:hAnsi="Times New Roman" w:cs="Times New Roman"/>
                <w:color w:val="FF0000"/>
                <w:sz w:val="24"/>
                <w:szCs w:val="24"/>
              </w:rPr>
              <w:t xml:space="preserve"> for</w:t>
            </w:r>
            <w:r>
              <w:rPr>
                <w:rFonts w:ascii="Times New Roman" w:eastAsia="Times New Roman" w:hAnsi="Times New Roman" w:cs="Times New Roman"/>
                <w:color w:val="FF0000"/>
                <w:sz w:val="24"/>
                <w:szCs w:val="24"/>
              </w:rPr>
              <w:t xml:space="preserve"> the other street.</w:t>
            </w:r>
          </w:p>
        </w:tc>
      </w:tr>
    </w:tbl>
    <w:p w14:paraId="7B072720" w14:textId="77777777" w:rsidR="00376B94" w:rsidRPr="00376B94" w:rsidRDefault="00376B94" w:rsidP="001910F9">
      <w:pPr>
        <w:shd w:val="clear" w:color="auto" w:fill="FFFFFF"/>
        <w:spacing w:after="0" w:line="240" w:lineRule="auto"/>
        <w:ind w:left="360" w:firstLine="360"/>
        <w:jc w:val="both"/>
        <w:rPr>
          <w:rFonts w:ascii="Times New Roman" w:eastAsia="Times New Roman" w:hAnsi="Times New Roman" w:cs="Times New Roman"/>
          <w:color w:val="515967"/>
        </w:rPr>
      </w:pPr>
      <w:r w:rsidRPr="00376B94">
        <w:rPr>
          <w:rFonts w:ascii="Times New Roman" w:eastAsia="Times New Roman" w:hAnsi="Times New Roman" w:cs="Times New Roman"/>
          <w:color w:val="515967"/>
        </w:rPr>
        <w:t>*No driveway approach shall be less than 18 feet from the garage to the sidewalk, for parking purposes</w:t>
      </w:r>
      <w:r w:rsidRPr="00376B94">
        <w:rPr>
          <w:rFonts w:ascii="Times New Roman" w:eastAsia="Times New Roman" w:hAnsi="Times New Roman" w:cs="Times New Roman"/>
          <w:color w:val="515967"/>
        </w:rPr>
        <w:br/>
      </w:r>
    </w:p>
    <w:p w14:paraId="5C74F27B" w14:textId="77777777" w:rsidR="00376B94" w:rsidRPr="00376B94" w:rsidRDefault="00376B94" w:rsidP="00376B94">
      <w:pPr>
        <w:numPr>
          <w:ilvl w:val="0"/>
          <w:numId w:val="2"/>
        </w:numPr>
        <w:shd w:val="clear" w:color="auto" w:fill="FFFFFF"/>
        <w:spacing w:before="100" w:beforeAutospacing="1" w:after="100" w:afterAutospacing="1" w:line="240" w:lineRule="auto"/>
        <w:ind w:firstLine="0"/>
        <w:jc w:val="both"/>
        <w:rPr>
          <w:rFonts w:ascii="Times New Roman" w:eastAsia="Times New Roman" w:hAnsi="Times New Roman" w:cs="Times New Roman"/>
          <w:color w:val="515967"/>
        </w:rPr>
      </w:pPr>
      <w:r w:rsidRPr="00376B94">
        <w:rPr>
          <w:rFonts w:ascii="Times New Roman" w:eastAsia="Times New Roman" w:hAnsi="Times New Roman" w:cs="Times New Roman"/>
          <w:color w:val="515967"/>
        </w:rPr>
        <w:t xml:space="preserve">Landscaping. All areas not covered by building, by off-site parking or streets shall be landscaped to be compatible with adjacent properties and the </w:t>
      </w:r>
      <w:r w:rsidR="00006CDE" w:rsidRPr="00376B94">
        <w:rPr>
          <w:rFonts w:ascii="Times New Roman" w:eastAsia="Times New Roman" w:hAnsi="Times New Roman" w:cs="Times New Roman"/>
          <w:color w:val="515967"/>
        </w:rPr>
        <w:t>community (</w:t>
      </w:r>
      <w:r w:rsidRPr="00376B94">
        <w:rPr>
          <w:rFonts w:ascii="Times New Roman" w:eastAsia="Times New Roman" w:hAnsi="Times New Roman" w:cs="Times New Roman"/>
          <w:color w:val="515967"/>
        </w:rPr>
        <w:t xml:space="preserve">see Landscape Ord 12.160). </w:t>
      </w:r>
    </w:p>
    <w:p w14:paraId="0D873C44" w14:textId="77777777" w:rsidR="00376B94" w:rsidRPr="00376B94" w:rsidRDefault="00376B94" w:rsidP="00376B94">
      <w:pPr>
        <w:numPr>
          <w:ilvl w:val="0"/>
          <w:numId w:val="2"/>
        </w:numPr>
        <w:shd w:val="clear" w:color="auto" w:fill="FFFFFF"/>
        <w:spacing w:before="100" w:beforeAutospacing="1" w:after="100" w:afterAutospacing="1" w:line="240" w:lineRule="auto"/>
        <w:ind w:firstLine="0"/>
        <w:jc w:val="both"/>
        <w:rPr>
          <w:rFonts w:ascii="Times New Roman" w:eastAsia="Times New Roman" w:hAnsi="Times New Roman" w:cs="Times New Roman"/>
          <w:color w:val="515967"/>
        </w:rPr>
      </w:pPr>
      <w:r w:rsidRPr="00376B94">
        <w:rPr>
          <w:rFonts w:ascii="Times New Roman" w:eastAsia="Times New Roman" w:hAnsi="Times New Roman" w:cs="Times New Roman"/>
          <w:color w:val="515967"/>
        </w:rPr>
        <w:t>Access. Every unit, lot or other permitted use in the PUD shall have access to a public street by an approved road or area dedicated to public use guaranteeing access. It is the intent of the City, where possible, that all roads and streets within a PUD be</w:t>
      </w:r>
      <w:r w:rsidR="00123EC0">
        <w:rPr>
          <w:rFonts w:ascii="Times New Roman" w:eastAsia="Times New Roman" w:hAnsi="Times New Roman" w:cs="Times New Roman"/>
          <w:color w:val="515967"/>
        </w:rPr>
        <w:t xml:space="preserve"> </w:t>
      </w:r>
      <w:r w:rsidR="00123EC0">
        <w:rPr>
          <w:rFonts w:ascii="Times New Roman" w:eastAsia="Times New Roman" w:hAnsi="Times New Roman" w:cs="Times New Roman"/>
          <w:color w:val="FF0000"/>
        </w:rPr>
        <w:t>Public Streets and be</w:t>
      </w:r>
      <w:r w:rsidRPr="00376B94">
        <w:rPr>
          <w:rFonts w:ascii="Times New Roman" w:eastAsia="Times New Roman" w:hAnsi="Times New Roman" w:cs="Times New Roman"/>
          <w:color w:val="515967"/>
        </w:rPr>
        <w:t xml:space="preserve"> built to City construction specifications. Public streets within a PUD can be developed to a 50' ROW as long as the street only serves the PUD residents and not tie into and existing city street. Private streets may be used as a common alley for back loaded garages. See "Street Cross Sections" under City Regulations. If the road through a PUD is a continuation of a normal city street</w:t>
      </w:r>
      <w:r w:rsidR="00381FAB">
        <w:rPr>
          <w:rFonts w:ascii="Times New Roman" w:eastAsia="Times New Roman" w:hAnsi="Times New Roman" w:cs="Times New Roman"/>
          <w:color w:val="515967"/>
        </w:rPr>
        <w:t xml:space="preserve"> </w:t>
      </w:r>
      <w:r w:rsidR="00381FAB">
        <w:rPr>
          <w:rFonts w:ascii="Times New Roman" w:eastAsia="Times New Roman" w:hAnsi="Times New Roman" w:cs="Times New Roman"/>
          <w:color w:val="FF0000"/>
        </w:rPr>
        <w:t>via intersection with a parallel city street</w:t>
      </w:r>
      <w:r w:rsidRPr="00376B94">
        <w:rPr>
          <w:rFonts w:ascii="Times New Roman" w:eastAsia="Times New Roman" w:hAnsi="Times New Roman" w:cs="Times New Roman"/>
          <w:color w:val="515967"/>
        </w:rPr>
        <w:t xml:space="preserve">, then the 66'ROW will be required. </w:t>
      </w:r>
    </w:p>
    <w:p w14:paraId="181FBF8B" w14:textId="77777777" w:rsidR="00376B94" w:rsidRPr="00376B94" w:rsidRDefault="00376B94" w:rsidP="00376B94">
      <w:pPr>
        <w:numPr>
          <w:ilvl w:val="0"/>
          <w:numId w:val="2"/>
        </w:numPr>
        <w:shd w:val="clear" w:color="auto" w:fill="FFFFFF"/>
        <w:spacing w:before="100" w:beforeAutospacing="1" w:after="100" w:afterAutospacing="1" w:line="240" w:lineRule="auto"/>
        <w:ind w:firstLine="0"/>
        <w:jc w:val="both"/>
        <w:rPr>
          <w:rFonts w:ascii="Times New Roman" w:eastAsia="Times New Roman" w:hAnsi="Times New Roman" w:cs="Times New Roman"/>
          <w:color w:val="515967"/>
        </w:rPr>
      </w:pPr>
      <w:r w:rsidRPr="00376B94">
        <w:rPr>
          <w:rFonts w:ascii="Times New Roman" w:eastAsia="Times New Roman" w:hAnsi="Times New Roman" w:cs="Times New Roman"/>
          <w:color w:val="515967"/>
        </w:rPr>
        <w:t xml:space="preserve">Parking: Two parking spaces in the garage and two off-street parking spaces shall be provided for each unit. Additional visitor parking shall be provided at a ratio of 1 space per 2 units within the PUD. </w:t>
      </w:r>
    </w:p>
    <w:p w14:paraId="1503EBE0" w14:textId="77777777" w:rsidR="00376B94" w:rsidRPr="00376B94" w:rsidRDefault="00376B94" w:rsidP="00376B94">
      <w:pPr>
        <w:numPr>
          <w:ilvl w:val="0"/>
          <w:numId w:val="2"/>
        </w:numPr>
        <w:shd w:val="clear" w:color="auto" w:fill="FFFFFF"/>
        <w:spacing w:before="100" w:beforeAutospacing="1" w:after="100" w:afterAutospacing="1" w:line="240" w:lineRule="auto"/>
        <w:ind w:firstLine="0"/>
        <w:jc w:val="both"/>
        <w:rPr>
          <w:rFonts w:ascii="Times New Roman" w:eastAsia="Times New Roman" w:hAnsi="Times New Roman" w:cs="Times New Roman"/>
          <w:color w:val="515967"/>
        </w:rPr>
      </w:pPr>
      <w:r w:rsidRPr="00376B94">
        <w:rPr>
          <w:rFonts w:ascii="Times New Roman" w:eastAsia="Times New Roman" w:hAnsi="Times New Roman" w:cs="Times New Roman"/>
          <w:color w:val="515967"/>
        </w:rPr>
        <w:t>Open Space. Functional and aesthetic usable open spaces for use by the occupants are deemed essential to and must be included within a PUD in accordance with the following:</w:t>
      </w:r>
    </w:p>
    <w:p w14:paraId="527CA293" w14:textId="77777777" w:rsidR="00376B94" w:rsidRPr="00376B94" w:rsidRDefault="00376B94" w:rsidP="00376B94">
      <w:pPr>
        <w:numPr>
          <w:ilvl w:val="1"/>
          <w:numId w:val="2"/>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376B94">
        <w:rPr>
          <w:rFonts w:ascii="Times New Roman" w:eastAsia="Times New Roman" w:hAnsi="Times New Roman" w:cs="Times New Roman"/>
          <w:color w:val="515967"/>
        </w:rPr>
        <w:t>There shall be a minimum of usable open space of thirty (30) percent of the total gross area of the PUD, including all walkways, sidewalks and greenways.</w:t>
      </w:r>
    </w:p>
    <w:p w14:paraId="1275D612" w14:textId="77777777" w:rsidR="00541E3F" w:rsidRDefault="00376B94" w:rsidP="001910F9">
      <w:pPr>
        <w:numPr>
          <w:ilvl w:val="1"/>
          <w:numId w:val="2"/>
        </w:numPr>
        <w:shd w:val="clear" w:color="auto" w:fill="FFFFFF"/>
        <w:spacing w:before="100" w:beforeAutospacing="1" w:after="100" w:afterAutospacing="1" w:line="240" w:lineRule="auto"/>
        <w:ind w:left="1080"/>
        <w:jc w:val="both"/>
        <w:rPr>
          <w:rFonts w:ascii="Times New Roman" w:eastAsia="Times New Roman" w:hAnsi="Times New Roman" w:cs="Times New Roman"/>
          <w:color w:val="515967"/>
        </w:rPr>
      </w:pPr>
      <w:r w:rsidRPr="00541E3F">
        <w:rPr>
          <w:rFonts w:ascii="Times New Roman" w:eastAsia="Times New Roman" w:hAnsi="Times New Roman" w:cs="Times New Roman"/>
          <w:color w:val="515967"/>
        </w:rPr>
        <w:t>Open space needs to be identified as an area to facilitate snow retention during the winter months.</w:t>
      </w:r>
    </w:p>
    <w:p w14:paraId="4DA21CE5" w14:textId="77777777" w:rsidR="001910F9" w:rsidRPr="00541E3F" w:rsidRDefault="001910F9" w:rsidP="001910F9">
      <w:pPr>
        <w:numPr>
          <w:ilvl w:val="1"/>
          <w:numId w:val="2"/>
        </w:numPr>
        <w:shd w:val="clear" w:color="auto" w:fill="FFFFFF"/>
        <w:spacing w:before="100" w:beforeAutospacing="1" w:after="100" w:afterAutospacing="1" w:line="240" w:lineRule="auto"/>
        <w:ind w:left="1080"/>
        <w:jc w:val="both"/>
        <w:rPr>
          <w:rFonts w:ascii="Times New Roman" w:eastAsia="Times New Roman" w:hAnsi="Times New Roman" w:cs="Times New Roman"/>
          <w:color w:val="515967"/>
        </w:rPr>
      </w:pPr>
      <w:r w:rsidRPr="00541E3F">
        <w:rPr>
          <w:rFonts w:ascii="Times New Roman" w:eastAsia="Times New Roman" w:hAnsi="Times New Roman" w:cs="Times New Roman"/>
          <w:color w:val="515967"/>
        </w:rPr>
        <w:t>The preservation, maintenance and ownership of usable open space within the PUD must be held by an entity or association that includes all owners within the PUD in a manner evidenced by appropriate legal documentation approved by the City Council and City attorney.</w:t>
      </w:r>
    </w:p>
    <w:p w14:paraId="5F3B6B69" w14:textId="77777777" w:rsidR="001910F9" w:rsidRPr="001910F9" w:rsidRDefault="001910F9" w:rsidP="001910F9">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1910F9">
        <w:rPr>
          <w:rFonts w:ascii="Times New Roman" w:eastAsia="Times New Roman" w:hAnsi="Times New Roman" w:cs="Times New Roman"/>
          <w:color w:val="515967"/>
        </w:rPr>
        <w:t>Utilities. All utilities within the PUD shall be installed underground with all appurtenances above ground installed in a manner that will allow adequate screening with natural landscaping. All utilities will be installed in accordance with City standards and will be placed in dedicated Public Utility Easements for City and/or utility supplier maintenance. Water lines to the meter and sewer main lines within the PUD will be maintained by the City once the developer’s warranty period has been completed and inspection demonstrates they have been installed in accordance with City standards. Each unit will pay water and sewer impact fees and have an individual water meter.</w:t>
      </w:r>
    </w:p>
    <w:p w14:paraId="05947C68" w14:textId="46B9ED35" w:rsidR="00FC19B4" w:rsidRPr="00572C1E" w:rsidRDefault="00F170AA" w:rsidP="00572C1E">
      <w:pPr>
        <w:numPr>
          <w:ilvl w:val="0"/>
          <w:numId w:val="2"/>
        </w:numPr>
        <w:shd w:val="clear" w:color="auto" w:fill="FFFFFF"/>
        <w:spacing w:before="100" w:beforeAutospacing="1" w:after="100" w:afterAutospacing="1" w:line="240" w:lineRule="auto"/>
        <w:ind w:left="360" w:firstLine="0"/>
        <w:jc w:val="both"/>
        <w:rPr>
          <w:rFonts w:ascii="Times New Roman" w:eastAsia="Times New Roman" w:hAnsi="Times New Roman" w:cs="Times New Roman"/>
          <w:color w:val="515967"/>
        </w:rPr>
      </w:pPr>
      <w:r>
        <w:rPr>
          <w:rFonts w:ascii="Times New Roman" w:eastAsia="Times New Roman" w:hAnsi="Times New Roman" w:cs="Times New Roman"/>
          <w:color w:val="FF0000"/>
        </w:rPr>
        <w:t>PUD</w:t>
      </w:r>
      <w:r w:rsidRPr="00F170AA">
        <w:rPr>
          <w:rFonts w:ascii="Times New Roman" w:eastAsia="Times New Roman" w:hAnsi="Times New Roman" w:cs="Times New Roman"/>
          <w:color w:val="FF0000"/>
        </w:rPr>
        <w:t xml:space="preserve"> Design </w:t>
      </w:r>
      <w:r w:rsidR="001910F9" w:rsidRPr="00F170AA">
        <w:rPr>
          <w:rFonts w:ascii="Times New Roman" w:eastAsia="Times New Roman" w:hAnsi="Times New Roman" w:cs="Times New Roman"/>
          <w:strike/>
          <w:color w:val="515967"/>
          <w:highlight w:val="yellow"/>
        </w:rPr>
        <w:t>Arrangements. Arrangement of structures, lots or units, and usable open space within the PUD shall be such as to assure that adjacent properties and their uses will not be adversely affected</w:t>
      </w:r>
      <w:r w:rsidR="001910F9" w:rsidRPr="00F170AA">
        <w:rPr>
          <w:rFonts w:ascii="Times New Roman" w:eastAsia="Times New Roman" w:hAnsi="Times New Roman" w:cs="Times New Roman"/>
          <w:color w:val="515967"/>
          <w:highlight w:val="yellow"/>
        </w:rPr>
        <w:t>.</w:t>
      </w:r>
      <w:r w:rsidR="001910F9" w:rsidRPr="00572C1E">
        <w:rPr>
          <w:rFonts w:ascii="Times New Roman" w:eastAsia="Times New Roman" w:hAnsi="Times New Roman" w:cs="Times New Roman"/>
          <w:color w:val="515967"/>
        </w:rPr>
        <w:t xml:space="preserve"> Lots </w:t>
      </w:r>
      <w:r w:rsidR="001910F9" w:rsidRPr="00572C1E">
        <w:rPr>
          <w:rFonts w:ascii="Times New Roman" w:eastAsia="Times New Roman" w:hAnsi="Times New Roman" w:cs="Times New Roman"/>
          <w:color w:val="FF0000"/>
        </w:rPr>
        <w:t>that</w:t>
      </w:r>
      <w:r w:rsidR="00574259">
        <w:rPr>
          <w:rFonts w:ascii="Times New Roman" w:eastAsia="Times New Roman" w:hAnsi="Times New Roman" w:cs="Times New Roman"/>
          <w:color w:val="FF0000"/>
        </w:rPr>
        <w:t xml:space="preserve"> access the</w:t>
      </w:r>
      <w:r w:rsidR="001910F9" w:rsidRPr="00572C1E">
        <w:rPr>
          <w:rFonts w:ascii="Times New Roman" w:eastAsia="Times New Roman" w:hAnsi="Times New Roman" w:cs="Times New Roman"/>
          <w:color w:val="FF0000"/>
        </w:rPr>
        <w:t xml:space="preserve"> front</w:t>
      </w:r>
      <w:r w:rsidR="00574259">
        <w:rPr>
          <w:rFonts w:ascii="Times New Roman" w:eastAsia="Times New Roman" w:hAnsi="Times New Roman" w:cs="Times New Roman"/>
          <w:color w:val="FF0000"/>
        </w:rPr>
        <w:t>age</w:t>
      </w:r>
      <w:r w:rsidR="001910F9" w:rsidRPr="00572C1E">
        <w:rPr>
          <w:rFonts w:ascii="Times New Roman" w:eastAsia="Times New Roman" w:hAnsi="Times New Roman" w:cs="Times New Roman"/>
          <w:color w:val="FF0000"/>
        </w:rPr>
        <w:t xml:space="preserve"> on an existing </w:t>
      </w:r>
      <w:r w:rsidR="001910F9" w:rsidRPr="00572C1E">
        <w:rPr>
          <w:rFonts w:ascii="Times New Roman" w:eastAsia="Times New Roman" w:hAnsi="Times New Roman" w:cs="Times New Roman"/>
          <w:strike/>
          <w:color w:val="515967"/>
          <w:highlight w:val="yellow"/>
        </w:rPr>
        <w:t>with</w:t>
      </w:r>
      <w:r w:rsidR="001910F9" w:rsidRPr="00572C1E">
        <w:rPr>
          <w:rFonts w:ascii="Times New Roman" w:eastAsia="Times New Roman" w:hAnsi="Times New Roman" w:cs="Times New Roman"/>
          <w:color w:val="515967"/>
          <w:highlight w:val="yellow"/>
        </w:rPr>
        <w:t xml:space="preserve"> </w:t>
      </w:r>
      <w:r w:rsidR="001910F9" w:rsidRPr="00572C1E">
        <w:rPr>
          <w:rFonts w:ascii="Times New Roman" w:eastAsia="Times New Roman" w:hAnsi="Times New Roman" w:cs="Times New Roman"/>
          <w:strike/>
          <w:color w:val="515967"/>
          <w:highlight w:val="yellow"/>
        </w:rPr>
        <w:t>frontage on a</w:t>
      </w:r>
      <w:r w:rsidR="001910F9" w:rsidRPr="00572C1E">
        <w:rPr>
          <w:rFonts w:ascii="Times New Roman" w:eastAsia="Times New Roman" w:hAnsi="Times New Roman" w:cs="Times New Roman"/>
          <w:color w:val="515967"/>
        </w:rPr>
        <w:t xml:space="preserve"> City street must meet the</w:t>
      </w:r>
      <w:r w:rsidR="001910F9" w:rsidRPr="00BE3084">
        <w:rPr>
          <w:rFonts w:ascii="Times New Roman" w:eastAsia="Times New Roman" w:hAnsi="Times New Roman" w:cs="Times New Roman"/>
          <w:strike/>
          <w:color w:val="515967"/>
        </w:rPr>
        <w:t xml:space="preserve"> </w:t>
      </w:r>
      <w:r w:rsidR="001910F9" w:rsidRPr="00BE3084">
        <w:rPr>
          <w:rFonts w:ascii="Times New Roman" w:eastAsia="Times New Roman" w:hAnsi="Times New Roman" w:cs="Times New Roman"/>
          <w:strike/>
          <w:color w:val="515967"/>
          <w:highlight w:val="yellow"/>
        </w:rPr>
        <w:t>same</w:t>
      </w:r>
      <w:r w:rsidR="001910F9" w:rsidRPr="00572C1E">
        <w:rPr>
          <w:rFonts w:ascii="Times New Roman" w:eastAsia="Times New Roman" w:hAnsi="Times New Roman" w:cs="Times New Roman"/>
          <w:color w:val="515967"/>
        </w:rPr>
        <w:t xml:space="preserve"> requirements</w:t>
      </w:r>
      <w:r w:rsidR="001910F9" w:rsidRPr="00BE3084">
        <w:rPr>
          <w:rFonts w:ascii="Times New Roman" w:eastAsia="Times New Roman" w:hAnsi="Times New Roman" w:cs="Times New Roman"/>
          <w:strike/>
          <w:color w:val="515967"/>
        </w:rPr>
        <w:t xml:space="preserve"> </w:t>
      </w:r>
      <w:r w:rsidR="001910F9" w:rsidRPr="00BE3084">
        <w:rPr>
          <w:rFonts w:ascii="Times New Roman" w:eastAsia="Times New Roman" w:hAnsi="Times New Roman" w:cs="Times New Roman"/>
          <w:strike/>
          <w:color w:val="515967"/>
          <w:highlight w:val="yellow"/>
        </w:rPr>
        <w:t>as</w:t>
      </w:r>
      <w:r w:rsidR="00BE3084">
        <w:rPr>
          <w:rFonts w:ascii="Times New Roman" w:eastAsia="Times New Roman" w:hAnsi="Times New Roman" w:cs="Times New Roman"/>
          <w:color w:val="515967"/>
        </w:rPr>
        <w:t xml:space="preserve"> </w:t>
      </w:r>
      <w:r w:rsidR="00BE3084">
        <w:rPr>
          <w:rFonts w:ascii="Times New Roman" w:eastAsia="Times New Roman" w:hAnsi="Times New Roman" w:cs="Times New Roman"/>
          <w:color w:val="FF0000"/>
        </w:rPr>
        <w:t>of the underlying zone</w:t>
      </w:r>
      <w:r w:rsidR="001910F9" w:rsidRPr="00572C1E">
        <w:rPr>
          <w:rFonts w:ascii="Times New Roman" w:eastAsia="Times New Roman" w:hAnsi="Times New Roman" w:cs="Times New Roman"/>
          <w:color w:val="515967"/>
        </w:rPr>
        <w:t xml:space="preserve"> </w:t>
      </w:r>
      <w:r w:rsidR="001910F9" w:rsidRPr="00BE3084">
        <w:rPr>
          <w:rFonts w:ascii="Times New Roman" w:eastAsia="Times New Roman" w:hAnsi="Times New Roman" w:cs="Times New Roman"/>
          <w:strike/>
          <w:color w:val="515967"/>
          <w:highlight w:val="yellow"/>
        </w:rPr>
        <w:t>adjacent properties</w:t>
      </w:r>
      <w:r w:rsidR="001910F9" w:rsidRPr="00572C1E">
        <w:rPr>
          <w:rFonts w:ascii="Times New Roman" w:eastAsia="Times New Roman" w:hAnsi="Times New Roman" w:cs="Times New Roman"/>
          <w:color w:val="515967"/>
        </w:rPr>
        <w:t xml:space="preserve"> and in accordance with a Standard subdivision. </w:t>
      </w:r>
      <w:commentRangeStart w:id="3"/>
      <w:r w:rsidR="001910F9" w:rsidRPr="00572C1E">
        <w:rPr>
          <w:rFonts w:ascii="Times New Roman" w:eastAsia="Times New Roman" w:hAnsi="Times New Roman" w:cs="Times New Roman"/>
          <w:strike/>
          <w:color w:val="515967"/>
          <w:highlight w:val="yellow"/>
        </w:rPr>
        <w:t>Rear and side lots adjacent to existing properties will maintain the setback requirements of</w:t>
      </w:r>
      <w:r w:rsidR="001910F9" w:rsidRPr="00572C1E">
        <w:rPr>
          <w:rFonts w:ascii="Times New Roman" w:eastAsia="Times New Roman" w:hAnsi="Times New Roman" w:cs="Times New Roman"/>
          <w:color w:val="515967"/>
        </w:rPr>
        <w:t xml:space="preserve"> </w:t>
      </w:r>
      <w:r w:rsidR="001910F9" w:rsidRPr="00572C1E">
        <w:rPr>
          <w:rFonts w:ascii="Times New Roman" w:eastAsia="Times New Roman" w:hAnsi="Times New Roman" w:cs="Times New Roman"/>
          <w:strike/>
          <w:color w:val="515967"/>
          <w:highlight w:val="yellow"/>
        </w:rPr>
        <w:t>those zones.</w:t>
      </w:r>
      <w:r w:rsidR="001910F9" w:rsidRPr="00572C1E">
        <w:rPr>
          <w:rFonts w:ascii="Times New Roman" w:eastAsia="Times New Roman" w:hAnsi="Times New Roman" w:cs="Times New Roman"/>
          <w:color w:val="515967"/>
        </w:rPr>
        <w:t xml:space="preserve"> </w:t>
      </w:r>
      <w:commentRangeEnd w:id="3"/>
      <w:r w:rsidR="00574259">
        <w:rPr>
          <w:rStyle w:val="CommentReference"/>
        </w:rPr>
        <w:commentReference w:id="3"/>
      </w:r>
      <w:r w:rsidR="001910F9" w:rsidRPr="00572C1E">
        <w:rPr>
          <w:rFonts w:ascii="Times New Roman" w:eastAsia="Times New Roman" w:hAnsi="Times New Roman" w:cs="Times New Roman"/>
          <w:color w:val="515967"/>
        </w:rPr>
        <w:t>Homes must be a different design than the home to either side of it, with 4 or more different designs offered for all homes in the Senior PUD.</w:t>
      </w:r>
    </w:p>
    <w:p w14:paraId="2C754C6B" w14:textId="77777777" w:rsidR="00FC19B4" w:rsidRDefault="00FC19B4" w:rsidP="00FC19B4">
      <w:pPr>
        <w:shd w:val="clear" w:color="auto" w:fill="FFFFFF"/>
        <w:spacing w:before="100" w:beforeAutospacing="1" w:after="100" w:afterAutospacing="1" w:line="240" w:lineRule="auto"/>
        <w:ind w:left="360"/>
        <w:jc w:val="both"/>
        <w:rPr>
          <w:rFonts w:ascii="Times New Roman" w:eastAsia="Times New Roman" w:hAnsi="Times New Roman" w:cs="Times New Roman"/>
          <w:color w:val="515967"/>
        </w:rPr>
      </w:pPr>
    </w:p>
    <w:p w14:paraId="2B0165E9" w14:textId="77777777" w:rsidR="00FC19B4" w:rsidRPr="00FC19B4" w:rsidRDefault="00FC19B4" w:rsidP="00FC19B4">
      <w:pPr>
        <w:shd w:val="clear" w:color="auto" w:fill="FFFFFF"/>
        <w:spacing w:before="100" w:beforeAutospacing="1" w:after="100" w:afterAutospacing="1" w:line="240" w:lineRule="auto"/>
        <w:ind w:left="360"/>
        <w:jc w:val="both"/>
        <w:rPr>
          <w:rFonts w:ascii="Times New Roman" w:eastAsia="Times New Roman" w:hAnsi="Times New Roman" w:cs="Times New Roman"/>
          <w:color w:val="515967"/>
        </w:rPr>
      </w:pPr>
      <w:r>
        <w:rPr>
          <w:rFonts w:ascii="Times New Roman" w:eastAsia="Times New Roman" w:hAnsi="Times New Roman" w:cs="Times New Roman"/>
          <w:color w:val="515967"/>
        </w:rPr>
        <w:t>L.</w:t>
      </w:r>
      <w:r>
        <w:rPr>
          <w:rFonts w:ascii="Times New Roman" w:eastAsia="Times New Roman" w:hAnsi="Times New Roman" w:cs="Times New Roman"/>
          <w:color w:val="515967"/>
        </w:rPr>
        <w:tab/>
      </w:r>
      <w:r w:rsidR="00376B94" w:rsidRPr="00376B94">
        <w:rPr>
          <w:rFonts w:ascii="Times New Roman" w:eastAsia="Times New Roman" w:hAnsi="Times New Roman" w:cs="Times New Roman"/>
          <w:color w:val="515967"/>
        </w:rPr>
        <w:t xml:space="preserve">The preservation, maintenance and ownership of usable open space within the PUD must be held by an entity or association that includes all owners within the PUD in a manner evidenced by appropriate legal documentation </w:t>
      </w:r>
      <w:r w:rsidR="00376B94" w:rsidRPr="00376B94">
        <w:rPr>
          <w:rFonts w:ascii="Times New Roman" w:eastAsia="Times New Roman" w:hAnsi="Times New Roman" w:cs="Times New Roman"/>
          <w:color w:val="515967"/>
        </w:rPr>
        <w:lastRenderedPageBreak/>
        <w:t>approved by the City Council and City attorney.</w:t>
      </w:r>
      <w:r w:rsidRPr="00FC19B4">
        <w:rPr>
          <w:rFonts w:ascii="Times New Roman" w:eastAsia="Times New Roman" w:hAnsi="Times New Roman" w:cs="Times New Roman"/>
          <w:color w:val="515967"/>
        </w:rPr>
        <w:t xml:space="preserve"> Postal Delivery. All postal mail will be delivered to a common site as agreed with the United States Postal Service.</w:t>
      </w:r>
    </w:p>
    <w:p w14:paraId="6FAF6898" w14:textId="77777777" w:rsidR="00FC19B4" w:rsidRPr="00FC19B4" w:rsidRDefault="00FC19B4" w:rsidP="00FC19B4">
      <w:pPr>
        <w:shd w:val="clear" w:color="auto" w:fill="FFFFFF"/>
        <w:spacing w:before="100" w:beforeAutospacing="1" w:after="100" w:afterAutospacing="1" w:line="240" w:lineRule="auto"/>
        <w:ind w:left="360"/>
        <w:jc w:val="both"/>
        <w:rPr>
          <w:rFonts w:ascii="Times New Roman" w:eastAsia="Times New Roman" w:hAnsi="Times New Roman" w:cs="Times New Roman"/>
          <w:color w:val="515967"/>
        </w:rPr>
      </w:pPr>
      <w:r>
        <w:rPr>
          <w:rFonts w:ascii="Times New Roman" w:eastAsia="Times New Roman" w:hAnsi="Times New Roman" w:cs="Times New Roman"/>
          <w:color w:val="515967"/>
        </w:rPr>
        <w:t>M.</w:t>
      </w:r>
      <w:r>
        <w:rPr>
          <w:rFonts w:ascii="Times New Roman" w:eastAsia="Times New Roman" w:hAnsi="Times New Roman" w:cs="Times New Roman"/>
          <w:color w:val="515967"/>
        </w:rPr>
        <w:tab/>
      </w:r>
      <w:r w:rsidRPr="00FC19B4">
        <w:rPr>
          <w:rFonts w:ascii="Times New Roman" w:eastAsia="Times New Roman" w:hAnsi="Times New Roman" w:cs="Times New Roman"/>
          <w:color w:val="515967"/>
        </w:rPr>
        <w:t>Signage. A sign specifying that the PUD is a Senior Citizen PUD and that at least one resident of each unit must be 55 years of age or older must be posted in a visible area in all approved Planned Unit Developments and as approved by the DRC. This sign will be the responsibility of the developer or the Homeowners Association.</w:t>
      </w:r>
    </w:p>
    <w:p w14:paraId="374C7DF7" w14:textId="7B778D36" w:rsidR="00376B94" w:rsidRPr="00BE3084" w:rsidRDefault="00FC19B4" w:rsidP="00572C1E">
      <w:pPr>
        <w:shd w:val="clear" w:color="auto" w:fill="FFFFFF"/>
        <w:spacing w:before="100" w:beforeAutospacing="1" w:after="100" w:afterAutospacing="1" w:line="240" w:lineRule="auto"/>
        <w:ind w:left="360"/>
        <w:jc w:val="both"/>
        <w:rPr>
          <w:color w:val="FF0000"/>
        </w:rPr>
      </w:pPr>
      <w:r>
        <w:rPr>
          <w:rFonts w:ascii="Times New Roman" w:eastAsia="Times New Roman" w:hAnsi="Times New Roman" w:cs="Times New Roman"/>
          <w:color w:val="515967"/>
        </w:rPr>
        <w:t>N.</w:t>
      </w:r>
      <w:r>
        <w:rPr>
          <w:rFonts w:ascii="Times New Roman" w:eastAsia="Times New Roman" w:hAnsi="Times New Roman" w:cs="Times New Roman"/>
          <w:color w:val="515967"/>
        </w:rPr>
        <w:tab/>
      </w:r>
      <w:r w:rsidRPr="00FC19B4">
        <w:rPr>
          <w:rFonts w:ascii="Times New Roman" w:eastAsia="Times New Roman" w:hAnsi="Times New Roman" w:cs="Times New Roman"/>
          <w:color w:val="515967"/>
        </w:rPr>
        <w:t xml:space="preserve">Fencing. A perimeter minimum 6' </w:t>
      </w:r>
      <w:r>
        <w:rPr>
          <w:rFonts w:ascii="Times New Roman" w:eastAsia="Times New Roman" w:hAnsi="Times New Roman" w:cs="Times New Roman"/>
          <w:color w:val="515967"/>
        </w:rPr>
        <w:t xml:space="preserve">privacy fence will be installed, </w:t>
      </w:r>
      <w:r>
        <w:rPr>
          <w:rFonts w:ascii="Times New Roman" w:eastAsia="Times New Roman" w:hAnsi="Times New Roman" w:cs="Times New Roman"/>
          <w:color w:val="FF0000"/>
        </w:rPr>
        <w:t xml:space="preserve">at the property line even when it is the transition between a Public street through a PUD along exiting parcels. </w:t>
      </w:r>
      <w:r w:rsidR="00BE3084">
        <w:rPr>
          <w:rFonts w:ascii="Times New Roman" w:eastAsia="Times New Roman" w:hAnsi="Times New Roman" w:cs="Times New Roman"/>
          <w:color w:val="FF0000"/>
        </w:rPr>
        <w:t>Also Ordinance 12.30.080 Fence Height must be followed.</w:t>
      </w:r>
    </w:p>
    <w:sectPr w:rsidR="00376B94" w:rsidRPr="00BE3084" w:rsidSect="00376B94">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Mark" w:date="2020-05-12T17:20:00Z" w:initials="M">
    <w:p w14:paraId="065743E4" w14:textId="77777777" w:rsidR="001B1069" w:rsidRDefault="001B1069">
      <w:pPr>
        <w:pStyle w:val="CommentText"/>
      </w:pPr>
      <w:r>
        <w:rPr>
          <w:rStyle w:val="CommentReference"/>
        </w:rPr>
        <w:annotationRef/>
      </w:r>
      <w:r>
        <w:t>The conditions are put forward in the Ord. addressing size (4 -7 acres), spacing 1800’, and the density 5 units per acre. Thus meeting the Ord makes it permitted.</w:t>
      </w:r>
    </w:p>
  </w:comment>
  <w:comment w:id="2" w:author="Mark" w:date="2020-05-12T17:22:00Z" w:initials="M">
    <w:p w14:paraId="5CD43D3F" w14:textId="77777777" w:rsidR="00381FAB" w:rsidRDefault="00381FAB">
      <w:pPr>
        <w:pStyle w:val="CommentText"/>
      </w:pPr>
      <w:r>
        <w:rPr>
          <w:rStyle w:val="CommentReference"/>
        </w:rPr>
        <w:annotationRef/>
      </w:r>
      <w:r>
        <w:t>With making all the Streets Public in a PUD, I think we can delete this as all transportation can access a public street.</w:t>
      </w:r>
    </w:p>
  </w:comment>
  <w:comment w:id="3" w:author="Mark" w:date="2020-05-12T17:45:00Z" w:initials="M">
    <w:p w14:paraId="553E754C" w14:textId="77777777" w:rsidR="00574259" w:rsidRDefault="00574259">
      <w:pPr>
        <w:pStyle w:val="CommentText"/>
      </w:pPr>
      <w:r>
        <w:rPr>
          <w:rStyle w:val="CommentReference"/>
        </w:rPr>
        <w:annotationRef/>
      </w:r>
      <w:r>
        <w:t xml:space="preserve">In RE20 and R1 the adjacent setbacks would be 10’ at a </w:t>
      </w:r>
      <w:proofErr w:type="spellStart"/>
      <w:r>
        <w:t>sideyard</w:t>
      </w:r>
      <w:proofErr w:type="spellEnd"/>
      <w:r>
        <w:t xml:space="preserve"> and 20’ at backyard. In A1 the </w:t>
      </w:r>
      <w:proofErr w:type="spellStart"/>
      <w:r>
        <w:t>sideyard</w:t>
      </w:r>
      <w:proofErr w:type="spellEnd"/>
      <w:r>
        <w:t xml:space="preserve"> setback is 20’ and the backyard setback is 30’. So abutting R1 and RE20 would most likely match what is going on in a PUD.</w:t>
      </w:r>
    </w:p>
    <w:p w14:paraId="5826D586" w14:textId="77777777" w:rsidR="00574259" w:rsidRDefault="00574259">
      <w:pPr>
        <w:pStyle w:val="CommentText"/>
      </w:pPr>
      <w:r>
        <w:t xml:space="preserve">Whereas in the A1 setbacks would defeat the purpose of the increased density allowance for a PUD.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C893231" w15:done="0"/>
  <w15:commentEx w15:paraId="065743E4" w15:done="0"/>
  <w15:commentEx w15:paraId="5CD43D3F" w15:done="0"/>
  <w15:commentEx w15:paraId="5826D58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C893231" w16cid:durableId="22807F19"/>
  <w16cid:commentId w16cid:paraId="065743E4" w16cid:durableId="22807F1A"/>
  <w16cid:commentId w16cid:paraId="5CD43D3F" w16cid:durableId="22807F1B"/>
  <w16cid:commentId w16cid:paraId="5826D586" w16cid:durableId="22807F1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707676"/>
    <w:multiLevelType w:val="multilevel"/>
    <w:tmpl w:val="D2A23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DAC504F"/>
    <w:multiLevelType w:val="multilevel"/>
    <w:tmpl w:val="7362DE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A264A0E"/>
    <w:multiLevelType w:val="multilevel"/>
    <w:tmpl w:val="91A01E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73E3FAA"/>
    <w:multiLevelType w:val="multilevel"/>
    <w:tmpl w:val="3C8AD34C"/>
    <w:lvl w:ilvl="0">
      <w:start w:val="1"/>
      <w:numFmt w:val="decimal"/>
      <w:lvlText w:val="%1."/>
      <w:lvlJc w:val="left"/>
      <w:pPr>
        <w:tabs>
          <w:tab w:val="num" w:pos="900"/>
        </w:tabs>
        <w:ind w:left="90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9E2B99"/>
    <w:multiLevelType w:val="multilevel"/>
    <w:tmpl w:val="49ACD1E6"/>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DAE7706"/>
    <w:multiLevelType w:val="multilevel"/>
    <w:tmpl w:val="0B6C7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EA97715"/>
    <w:multiLevelType w:val="multilevel"/>
    <w:tmpl w:val="48F2F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4"/>
  </w:num>
  <w:num w:numId="3">
    <w:abstractNumId w:val="5"/>
  </w:num>
  <w:num w:numId="4">
    <w:abstractNumId w:val="1"/>
  </w:num>
  <w:num w:numId="5">
    <w:abstractNumId w:val="3"/>
  </w:num>
  <w:num w:numId="6">
    <w:abstractNumId w:val="0"/>
  </w:num>
  <w:num w:numId="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ark">
    <w15:presenceInfo w15:providerId="None" w15:userId="Mar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AEB"/>
    <w:rsid w:val="00006CDE"/>
    <w:rsid w:val="00123EC0"/>
    <w:rsid w:val="00173AEB"/>
    <w:rsid w:val="001910F9"/>
    <w:rsid w:val="001B1069"/>
    <w:rsid w:val="003042F9"/>
    <w:rsid w:val="00376B94"/>
    <w:rsid w:val="00381FAB"/>
    <w:rsid w:val="00437634"/>
    <w:rsid w:val="00541E3F"/>
    <w:rsid w:val="00572C1E"/>
    <w:rsid w:val="00574259"/>
    <w:rsid w:val="00713712"/>
    <w:rsid w:val="00767FA5"/>
    <w:rsid w:val="00885E08"/>
    <w:rsid w:val="00B6735F"/>
    <w:rsid w:val="00BE3084"/>
    <w:rsid w:val="00BE5051"/>
    <w:rsid w:val="00CB7611"/>
    <w:rsid w:val="00DA005F"/>
    <w:rsid w:val="00DB46AB"/>
    <w:rsid w:val="00E50389"/>
    <w:rsid w:val="00E926A7"/>
    <w:rsid w:val="00F170AA"/>
    <w:rsid w:val="00FC1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24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76B94"/>
    <w:pPr>
      <w:spacing w:after="0" w:line="240" w:lineRule="auto"/>
    </w:pPr>
  </w:style>
  <w:style w:type="character" w:styleId="CommentReference">
    <w:name w:val="annotation reference"/>
    <w:basedOn w:val="DefaultParagraphFont"/>
    <w:uiPriority w:val="99"/>
    <w:semiHidden/>
    <w:unhideWhenUsed/>
    <w:rsid w:val="001B1069"/>
    <w:rPr>
      <w:sz w:val="16"/>
      <w:szCs w:val="16"/>
    </w:rPr>
  </w:style>
  <w:style w:type="paragraph" w:styleId="CommentText">
    <w:name w:val="annotation text"/>
    <w:basedOn w:val="Normal"/>
    <w:link w:val="CommentTextChar"/>
    <w:uiPriority w:val="99"/>
    <w:semiHidden/>
    <w:unhideWhenUsed/>
    <w:rsid w:val="001B1069"/>
    <w:pPr>
      <w:spacing w:line="240" w:lineRule="auto"/>
    </w:pPr>
    <w:rPr>
      <w:sz w:val="20"/>
      <w:szCs w:val="20"/>
    </w:rPr>
  </w:style>
  <w:style w:type="character" w:customStyle="1" w:styleId="CommentTextChar">
    <w:name w:val="Comment Text Char"/>
    <w:basedOn w:val="DefaultParagraphFont"/>
    <w:link w:val="CommentText"/>
    <w:uiPriority w:val="99"/>
    <w:semiHidden/>
    <w:rsid w:val="001B1069"/>
    <w:rPr>
      <w:sz w:val="20"/>
      <w:szCs w:val="20"/>
    </w:rPr>
  </w:style>
  <w:style w:type="paragraph" w:styleId="CommentSubject">
    <w:name w:val="annotation subject"/>
    <w:basedOn w:val="CommentText"/>
    <w:next w:val="CommentText"/>
    <w:link w:val="CommentSubjectChar"/>
    <w:uiPriority w:val="99"/>
    <w:semiHidden/>
    <w:unhideWhenUsed/>
    <w:rsid w:val="001B1069"/>
    <w:rPr>
      <w:b/>
      <w:bCs/>
    </w:rPr>
  </w:style>
  <w:style w:type="character" w:customStyle="1" w:styleId="CommentSubjectChar">
    <w:name w:val="Comment Subject Char"/>
    <w:basedOn w:val="CommentTextChar"/>
    <w:link w:val="CommentSubject"/>
    <w:uiPriority w:val="99"/>
    <w:semiHidden/>
    <w:rsid w:val="001B1069"/>
    <w:rPr>
      <w:b/>
      <w:bCs/>
      <w:sz w:val="20"/>
      <w:szCs w:val="20"/>
    </w:rPr>
  </w:style>
  <w:style w:type="paragraph" w:styleId="BalloonText">
    <w:name w:val="Balloon Text"/>
    <w:basedOn w:val="Normal"/>
    <w:link w:val="BalloonTextChar"/>
    <w:uiPriority w:val="99"/>
    <w:semiHidden/>
    <w:unhideWhenUsed/>
    <w:rsid w:val="001B10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1069"/>
    <w:rPr>
      <w:rFonts w:ascii="Tahoma" w:hAnsi="Tahoma" w:cs="Tahoma"/>
      <w:sz w:val="16"/>
      <w:szCs w:val="16"/>
    </w:rPr>
  </w:style>
  <w:style w:type="character" w:styleId="Hyperlink">
    <w:name w:val="Hyperlink"/>
    <w:basedOn w:val="DefaultParagraphFont"/>
    <w:uiPriority w:val="99"/>
    <w:semiHidden/>
    <w:unhideWhenUsed/>
    <w:rsid w:val="00CB7611"/>
    <w:rPr>
      <w:color w:val="0000FF"/>
      <w:u w:val="single"/>
    </w:rPr>
  </w:style>
  <w:style w:type="paragraph" w:styleId="NormalWeb">
    <w:name w:val="Normal (Web)"/>
    <w:basedOn w:val="Normal"/>
    <w:uiPriority w:val="99"/>
    <w:semiHidden/>
    <w:unhideWhenUsed/>
    <w:rsid w:val="00CB761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B761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76B94"/>
    <w:pPr>
      <w:spacing w:after="0" w:line="240" w:lineRule="auto"/>
    </w:pPr>
  </w:style>
  <w:style w:type="character" w:styleId="CommentReference">
    <w:name w:val="annotation reference"/>
    <w:basedOn w:val="DefaultParagraphFont"/>
    <w:uiPriority w:val="99"/>
    <w:semiHidden/>
    <w:unhideWhenUsed/>
    <w:rsid w:val="001B1069"/>
    <w:rPr>
      <w:sz w:val="16"/>
      <w:szCs w:val="16"/>
    </w:rPr>
  </w:style>
  <w:style w:type="paragraph" w:styleId="CommentText">
    <w:name w:val="annotation text"/>
    <w:basedOn w:val="Normal"/>
    <w:link w:val="CommentTextChar"/>
    <w:uiPriority w:val="99"/>
    <w:semiHidden/>
    <w:unhideWhenUsed/>
    <w:rsid w:val="001B1069"/>
    <w:pPr>
      <w:spacing w:line="240" w:lineRule="auto"/>
    </w:pPr>
    <w:rPr>
      <w:sz w:val="20"/>
      <w:szCs w:val="20"/>
    </w:rPr>
  </w:style>
  <w:style w:type="character" w:customStyle="1" w:styleId="CommentTextChar">
    <w:name w:val="Comment Text Char"/>
    <w:basedOn w:val="DefaultParagraphFont"/>
    <w:link w:val="CommentText"/>
    <w:uiPriority w:val="99"/>
    <w:semiHidden/>
    <w:rsid w:val="001B1069"/>
    <w:rPr>
      <w:sz w:val="20"/>
      <w:szCs w:val="20"/>
    </w:rPr>
  </w:style>
  <w:style w:type="paragraph" w:styleId="CommentSubject">
    <w:name w:val="annotation subject"/>
    <w:basedOn w:val="CommentText"/>
    <w:next w:val="CommentText"/>
    <w:link w:val="CommentSubjectChar"/>
    <w:uiPriority w:val="99"/>
    <w:semiHidden/>
    <w:unhideWhenUsed/>
    <w:rsid w:val="001B1069"/>
    <w:rPr>
      <w:b/>
      <w:bCs/>
    </w:rPr>
  </w:style>
  <w:style w:type="character" w:customStyle="1" w:styleId="CommentSubjectChar">
    <w:name w:val="Comment Subject Char"/>
    <w:basedOn w:val="CommentTextChar"/>
    <w:link w:val="CommentSubject"/>
    <w:uiPriority w:val="99"/>
    <w:semiHidden/>
    <w:rsid w:val="001B1069"/>
    <w:rPr>
      <w:b/>
      <w:bCs/>
      <w:sz w:val="20"/>
      <w:szCs w:val="20"/>
    </w:rPr>
  </w:style>
  <w:style w:type="paragraph" w:styleId="BalloonText">
    <w:name w:val="Balloon Text"/>
    <w:basedOn w:val="Normal"/>
    <w:link w:val="BalloonTextChar"/>
    <w:uiPriority w:val="99"/>
    <w:semiHidden/>
    <w:unhideWhenUsed/>
    <w:rsid w:val="001B10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1069"/>
    <w:rPr>
      <w:rFonts w:ascii="Tahoma" w:hAnsi="Tahoma" w:cs="Tahoma"/>
      <w:sz w:val="16"/>
      <w:szCs w:val="16"/>
    </w:rPr>
  </w:style>
  <w:style w:type="character" w:styleId="Hyperlink">
    <w:name w:val="Hyperlink"/>
    <w:basedOn w:val="DefaultParagraphFont"/>
    <w:uiPriority w:val="99"/>
    <w:semiHidden/>
    <w:unhideWhenUsed/>
    <w:rsid w:val="00CB7611"/>
    <w:rPr>
      <w:color w:val="0000FF"/>
      <w:u w:val="single"/>
    </w:rPr>
  </w:style>
  <w:style w:type="paragraph" w:styleId="NormalWeb">
    <w:name w:val="Normal (Web)"/>
    <w:basedOn w:val="Normal"/>
    <w:uiPriority w:val="99"/>
    <w:semiHidden/>
    <w:unhideWhenUsed/>
    <w:rsid w:val="00CB761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B76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678584">
      <w:bodyDiv w:val="1"/>
      <w:marLeft w:val="0"/>
      <w:marRight w:val="0"/>
      <w:marTop w:val="0"/>
      <w:marBottom w:val="0"/>
      <w:divBdr>
        <w:top w:val="none" w:sz="0" w:space="0" w:color="auto"/>
        <w:left w:val="none" w:sz="0" w:space="0" w:color="auto"/>
        <w:bottom w:val="none" w:sz="0" w:space="0" w:color="auto"/>
        <w:right w:val="none" w:sz="0" w:space="0" w:color="auto"/>
      </w:divBdr>
      <w:divsChild>
        <w:div w:id="517275945">
          <w:marLeft w:val="0"/>
          <w:marRight w:val="0"/>
          <w:marTop w:val="0"/>
          <w:marBottom w:val="0"/>
          <w:divBdr>
            <w:top w:val="none" w:sz="0" w:space="0" w:color="auto"/>
            <w:left w:val="none" w:sz="0" w:space="0" w:color="auto"/>
            <w:bottom w:val="none" w:sz="0" w:space="0" w:color="auto"/>
            <w:right w:val="none" w:sz="0" w:space="0" w:color="auto"/>
          </w:divBdr>
        </w:div>
      </w:divsChild>
    </w:div>
    <w:div w:id="289096478">
      <w:bodyDiv w:val="1"/>
      <w:marLeft w:val="0"/>
      <w:marRight w:val="0"/>
      <w:marTop w:val="0"/>
      <w:marBottom w:val="0"/>
      <w:divBdr>
        <w:top w:val="none" w:sz="0" w:space="0" w:color="auto"/>
        <w:left w:val="none" w:sz="0" w:space="0" w:color="auto"/>
        <w:bottom w:val="none" w:sz="0" w:space="0" w:color="auto"/>
        <w:right w:val="none" w:sz="0" w:space="0" w:color="auto"/>
      </w:divBdr>
    </w:div>
    <w:div w:id="346371080">
      <w:bodyDiv w:val="1"/>
      <w:marLeft w:val="0"/>
      <w:marRight w:val="0"/>
      <w:marTop w:val="0"/>
      <w:marBottom w:val="0"/>
      <w:divBdr>
        <w:top w:val="none" w:sz="0" w:space="0" w:color="auto"/>
        <w:left w:val="none" w:sz="0" w:space="0" w:color="auto"/>
        <w:bottom w:val="none" w:sz="0" w:space="0" w:color="auto"/>
        <w:right w:val="none" w:sz="0" w:space="0" w:color="auto"/>
      </w:divBdr>
    </w:div>
    <w:div w:id="527448628">
      <w:bodyDiv w:val="1"/>
      <w:marLeft w:val="0"/>
      <w:marRight w:val="0"/>
      <w:marTop w:val="0"/>
      <w:marBottom w:val="0"/>
      <w:divBdr>
        <w:top w:val="none" w:sz="0" w:space="0" w:color="auto"/>
        <w:left w:val="none" w:sz="0" w:space="0" w:color="auto"/>
        <w:bottom w:val="none" w:sz="0" w:space="0" w:color="auto"/>
        <w:right w:val="none" w:sz="0" w:space="0" w:color="auto"/>
      </w:divBdr>
      <w:divsChild>
        <w:div w:id="1583366920">
          <w:marLeft w:val="0"/>
          <w:marRight w:val="0"/>
          <w:marTop w:val="0"/>
          <w:marBottom w:val="0"/>
          <w:divBdr>
            <w:top w:val="none" w:sz="0" w:space="0" w:color="auto"/>
            <w:left w:val="none" w:sz="0" w:space="0" w:color="auto"/>
            <w:bottom w:val="none" w:sz="0" w:space="0" w:color="auto"/>
            <w:right w:val="none" w:sz="0" w:space="0" w:color="auto"/>
          </w:divBdr>
        </w:div>
        <w:div w:id="1384065755">
          <w:marLeft w:val="0"/>
          <w:marRight w:val="0"/>
          <w:marTop w:val="225"/>
          <w:marBottom w:val="225"/>
          <w:divBdr>
            <w:top w:val="none" w:sz="0" w:space="0" w:color="auto"/>
            <w:left w:val="none" w:sz="0" w:space="0" w:color="auto"/>
            <w:bottom w:val="none" w:sz="0" w:space="0" w:color="auto"/>
            <w:right w:val="none" w:sz="0" w:space="0" w:color="auto"/>
          </w:divBdr>
        </w:div>
      </w:divsChild>
    </w:div>
    <w:div w:id="716129647">
      <w:bodyDiv w:val="1"/>
      <w:marLeft w:val="0"/>
      <w:marRight w:val="0"/>
      <w:marTop w:val="0"/>
      <w:marBottom w:val="0"/>
      <w:divBdr>
        <w:top w:val="none" w:sz="0" w:space="0" w:color="auto"/>
        <w:left w:val="none" w:sz="0" w:space="0" w:color="auto"/>
        <w:bottom w:val="none" w:sz="0" w:space="0" w:color="auto"/>
        <w:right w:val="none" w:sz="0" w:space="0" w:color="auto"/>
      </w:divBdr>
      <w:divsChild>
        <w:div w:id="1870531104">
          <w:marLeft w:val="0"/>
          <w:marRight w:val="0"/>
          <w:marTop w:val="0"/>
          <w:marBottom w:val="0"/>
          <w:divBdr>
            <w:top w:val="none" w:sz="0" w:space="0" w:color="auto"/>
            <w:left w:val="none" w:sz="0" w:space="0" w:color="auto"/>
            <w:bottom w:val="none" w:sz="0" w:space="0" w:color="auto"/>
            <w:right w:val="none" w:sz="0" w:space="0" w:color="auto"/>
          </w:divBdr>
          <w:divsChild>
            <w:div w:id="35935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600742">
      <w:bodyDiv w:val="1"/>
      <w:marLeft w:val="0"/>
      <w:marRight w:val="0"/>
      <w:marTop w:val="0"/>
      <w:marBottom w:val="0"/>
      <w:divBdr>
        <w:top w:val="none" w:sz="0" w:space="0" w:color="auto"/>
        <w:left w:val="none" w:sz="0" w:space="0" w:color="auto"/>
        <w:bottom w:val="none" w:sz="0" w:space="0" w:color="auto"/>
        <w:right w:val="none" w:sz="0" w:space="0" w:color="auto"/>
      </w:divBdr>
      <w:divsChild>
        <w:div w:id="1835221846">
          <w:marLeft w:val="0"/>
          <w:marRight w:val="0"/>
          <w:marTop w:val="0"/>
          <w:marBottom w:val="0"/>
          <w:divBdr>
            <w:top w:val="none" w:sz="0" w:space="0" w:color="auto"/>
            <w:left w:val="none" w:sz="0" w:space="0" w:color="auto"/>
            <w:bottom w:val="none" w:sz="0" w:space="0" w:color="auto"/>
            <w:right w:val="none" w:sz="0" w:space="0" w:color="auto"/>
          </w:divBdr>
        </w:div>
      </w:divsChild>
    </w:div>
    <w:div w:id="1313607871">
      <w:bodyDiv w:val="1"/>
      <w:marLeft w:val="0"/>
      <w:marRight w:val="0"/>
      <w:marTop w:val="0"/>
      <w:marBottom w:val="0"/>
      <w:divBdr>
        <w:top w:val="none" w:sz="0" w:space="0" w:color="auto"/>
        <w:left w:val="none" w:sz="0" w:space="0" w:color="auto"/>
        <w:bottom w:val="none" w:sz="0" w:space="0" w:color="auto"/>
        <w:right w:val="none" w:sz="0" w:space="0" w:color="auto"/>
      </w:divBdr>
      <w:divsChild>
        <w:div w:id="5260693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3-us-west-2.amazonaws.com/municipalcodeonline.com-new/hydepark/ordinances/documents/HPMC-adoptingord.pdf"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hyperlink" Target="https://hydepark.municipalcodeonline.com/book?type=ordinances" TargetMode="External"/><Relationship Id="rId11" Type="http://schemas.openxmlformats.org/officeDocument/2006/relationships/hyperlink" Target="https://hydepark.municipalcodeonline.com/book?type=ordinances" TargetMode="External"/><Relationship Id="rId5" Type="http://schemas.openxmlformats.org/officeDocument/2006/relationships/webSettings" Target="webSettings.xml"/><Relationship Id="rId15" Type="http://schemas.microsoft.com/office/2011/relationships/commentsExtended" Target="commentsExtended.xml"/><Relationship Id="rId10" Type="http://schemas.openxmlformats.org/officeDocument/2006/relationships/hyperlink" Target="https://hydepark.municipalcodeonline.com/book?type=ordinances" TargetMode="External"/><Relationship Id="rId4" Type="http://schemas.openxmlformats.org/officeDocument/2006/relationships/settings" Target="settings.xml"/><Relationship Id="rId9" Type="http://schemas.openxmlformats.org/officeDocument/2006/relationships/hyperlink" Target="https://hydepark.municipalcodeonline.com/book?type=ordinances" TargetMode="Externa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2136</Words>
  <Characters>12179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dc:creator>
  <cp:lastModifiedBy>CARLENE</cp:lastModifiedBy>
  <cp:revision>2</cp:revision>
  <dcterms:created xsi:type="dcterms:W3CDTF">2020-06-16T18:44:00Z</dcterms:created>
  <dcterms:modified xsi:type="dcterms:W3CDTF">2020-06-16T18:44:00Z</dcterms:modified>
</cp:coreProperties>
</file>