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b w:val="1"/>
          <w:u w:val="single"/>
        </w:rPr>
      </w:pPr>
      <w:r w:rsidDel="00000000" w:rsidR="00000000" w:rsidRPr="00000000">
        <w:rPr>
          <w:b w:val="1"/>
          <w:u w:val="single"/>
          <w:rtl w:val="0"/>
        </w:rPr>
        <w:t xml:space="preserve">MINUTES OF THE VISITOR MANAGEMENT COMMITTEE MEETING HELD WEDNESDAY, MAY 20, 2020, AT 4:00 P.M. THE MEETING WAS CONDUCTED ELECTRONICALLY WITHOUT A PHYSICAL LOCATION, AS AUTHORIZED BY THE GOVERNOR’S EXECUTIVE ORDER DATED MARCH 18, 2020. PLEASE NOTE DUE TO DIFFICULTY IN RECORDING MINUTES ARE PROVIDED FROM STAFF AND COMMITTEE MEMBER NOTES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list of Potential Contacts was discussed. In terms of funding Gofundme and tapping companies listed on the Utah Outdoors Association were mentioned.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Although an official vote was not taken, it was generally agreed that at the next CWC meeting (or was it stakeholders meeting) we would tell the Commission that we are going to contact potential partners and also explore how to raise the $35K needed for Phase one as proposed by Kelly Bricker. Since it is a budget meeting it was also proposed that we ask the CWC for Phase one to act as seed money.So do we have to go through the stakeholders committee first?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My notes also describe discussions around the Q&amp;A memo produced by the Forest Service which was pretty negative about the FS participation in visitor management studies. And yet the Forest Service participates with the Environment Dashboard program and the new version of the Canyons Master Plan. No clear path forwards (except you were to send the Q&amp;A to me).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There was also some discussion around making a master list of contacts and assigning them to members of the Visitor Management Committee.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