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CCC" w:rsidRPr="008E5A97" w:rsidRDefault="00D34CCC" w:rsidP="00D34CCC">
      <w:pPr>
        <w:spacing w:after="120" w:line="240" w:lineRule="auto"/>
        <w:jc w:val="center"/>
        <w:rPr>
          <w:b/>
          <w:sz w:val="24"/>
          <w:szCs w:val="24"/>
        </w:rPr>
      </w:pPr>
      <w:r w:rsidRPr="00000159">
        <w:rPr>
          <w:b/>
          <w:bCs/>
          <w:sz w:val="24"/>
          <w:szCs w:val="24"/>
        </w:rPr>
        <w:t>ARTICLE V</w:t>
      </w:r>
    </w:p>
    <w:p w:rsidR="00D34CCC" w:rsidRPr="008E5A97" w:rsidRDefault="00D34CCC" w:rsidP="00D34CCC">
      <w:pPr>
        <w:spacing w:after="120" w:line="240" w:lineRule="auto"/>
        <w:jc w:val="center"/>
        <w:rPr>
          <w:b/>
          <w:sz w:val="24"/>
          <w:szCs w:val="24"/>
        </w:rPr>
      </w:pPr>
      <w:r w:rsidRPr="00000159">
        <w:rPr>
          <w:b/>
          <w:bCs/>
          <w:sz w:val="24"/>
          <w:szCs w:val="24"/>
        </w:rPr>
        <w:t>ORGANIZATION</w:t>
      </w:r>
    </w:p>
    <w:p w:rsidR="001D7023" w:rsidRDefault="00D34CCC" w:rsidP="00D34CCC">
      <w:pPr>
        <w:spacing w:after="120" w:line="240" w:lineRule="auto"/>
        <w:jc w:val="both"/>
        <w:rPr>
          <w:sz w:val="24"/>
          <w:szCs w:val="24"/>
        </w:rPr>
      </w:pPr>
      <w:r w:rsidRPr="00000159">
        <w:rPr>
          <w:b/>
          <w:bCs/>
          <w:sz w:val="24"/>
          <w:szCs w:val="24"/>
        </w:rPr>
        <w:t>A.</w:t>
      </w:r>
      <w:r w:rsidRPr="005D6F7C">
        <w:rPr>
          <w:b/>
          <w:sz w:val="24"/>
          <w:szCs w:val="24"/>
        </w:rPr>
        <w:tab/>
      </w:r>
      <w:r w:rsidRPr="00000159">
        <w:rPr>
          <w:b/>
          <w:bCs/>
          <w:sz w:val="24"/>
          <w:szCs w:val="24"/>
          <w:u w:val="single"/>
        </w:rPr>
        <w:t>Members</w:t>
      </w:r>
      <w:r w:rsidRPr="00000159">
        <w:rPr>
          <w:b/>
          <w:bCs/>
          <w:sz w:val="24"/>
          <w:szCs w:val="24"/>
        </w:rPr>
        <w:t>.</w:t>
      </w:r>
      <w:r w:rsidRPr="005D6F7C">
        <w:rPr>
          <w:sz w:val="24"/>
          <w:szCs w:val="24"/>
        </w:rPr>
        <w:t xml:space="preserve"> The Commission is comprised of the Members </w:t>
      </w:r>
      <w:r>
        <w:rPr>
          <w:sz w:val="24"/>
          <w:szCs w:val="24"/>
        </w:rPr>
        <w:t>that are signatory to this Agreement</w:t>
      </w:r>
      <w:r w:rsidR="00C931AD">
        <w:rPr>
          <w:sz w:val="24"/>
          <w:szCs w:val="24"/>
        </w:rPr>
        <w:t xml:space="preserve"> which include, as of __ ______ 2020 (the effective date of the first amendment to this Agreement),</w:t>
      </w:r>
      <w:r w:rsidR="00984391">
        <w:rPr>
          <w:sz w:val="24"/>
          <w:szCs w:val="24"/>
        </w:rPr>
        <w:t xml:space="preserve"> Town of Alta, city of Cottonwood Heights, City of Millcreek, Park City, Salt Lake City, Salt Lake County, Sandy City, and Summit County</w:t>
      </w:r>
      <w:r>
        <w:rPr>
          <w:sz w:val="24"/>
          <w:szCs w:val="24"/>
        </w:rPr>
        <w:t xml:space="preserve">. </w:t>
      </w:r>
      <w:r w:rsidRPr="005D6F7C">
        <w:rPr>
          <w:sz w:val="24"/>
          <w:szCs w:val="24"/>
        </w:rPr>
        <w:t xml:space="preserve">Additional Members </w:t>
      </w:r>
      <w:r w:rsidR="00085FD5">
        <w:rPr>
          <w:sz w:val="24"/>
          <w:szCs w:val="24"/>
        </w:rPr>
        <w:t xml:space="preserve">(“Additional Members”) </w:t>
      </w:r>
      <w:r w:rsidRPr="005D6F7C">
        <w:rPr>
          <w:sz w:val="24"/>
          <w:szCs w:val="24"/>
        </w:rPr>
        <w:t xml:space="preserve">may be added to the Commission </w:t>
      </w:r>
      <w:r>
        <w:rPr>
          <w:sz w:val="24"/>
          <w:szCs w:val="24"/>
        </w:rPr>
        <w:t xml:space="preserve">pursuant to the </w:t>
      </w:r>
      <w:r w:rsidR="001D7023">
        <w:rPr>
          <w:sz w:val="24"/>
          <w:szCs w:val="24"/>
        </w:rPr>
        <w:t xml:space="preserve">following </w:t>
      </w:r>
      <w:r w:rsidR="00085FD5">
        <w:rPr>
          <w:sz w:val="24"/>
          <w:szCs w:val="24"/>
        </w:rPr>
        <w:t xml:space="preserve">minimum criteria and </w:t>
      </w:r>
      <w:r>
        <w:rPr>
          <w:sz w:val="24"/>
          <w:szCs w:val="24"/>
        </w:rPr>
        <w:t>process</w:t>
      </w:r>
      <w:r w:rsidR="001D7023">
        <w:rPr>
          <w:sz w:val="24"/>
          <w:szCs w:val="24"/>
        </w:rPr>
        <w:t>:</w:t>
      </w:r>
    </w:p>
    <w:p w:rsidR="00085FD5" w:rsidRDefault="001D7023" w:rsidP="00D34CCC">
      <w:pPr>
        <w:spacing w:after="120" w:line="240" w:lineRule="auto"/>
        <w:jc w:val="both"/>
        <w:rPr>
          <w:sz w:val="24"/>
          <w:szCs w:val="24"/>
        </w:rPr>
      </w:pPr>
      <w:r>
        <w:rPr>
          <w:sz w:val="24"/>
          <w:szCs w:val="24"/>
        </w:rPr>
        <w:tab/>
        <w:t>(1)</w:t>
      </w:r>
      <w:r>
        <w:rPr>
          <w:sz w:val="24"/>
          <w:szCs w:val="24"/>
        </w:rPr>
        <w:tab/>
      </w:r>
      <w:r>
        <w:rPr>
          <w:i/>
          <w:sz w:val="24"/>
          <w:szCs w:val="24"/>
          <w:u w:val="single"/>
        </w:rPr>
        <w:t>Minimum Criteria</w:t>
      </w:r>
      <w:r>
        <w:rPr>
          <w:sz w:val="24"/>
          <w:szCs w:val="24"/>
        </w:rPr>
        <w:t>.</w:t>
      </w:r>
      <w:r w:rsidR="004409EA">
        <w:rPr>
          <w:sz w:val="24"/>
          <w:szCs w:val="24"/>
        </w:rPr>
        <w:t xml:space="preserve"> The minimum criteria for membership in the CWC are as follows:</w:t>
      </w:r>
      <w:r>
        <w:rPr>
          <w:sz w:val="24"/>
          <w:szCs w:val="24"/>
        </w:rPr>
        <w:t xml:space="preserve"> </w:t>
      </w:r>
    </w:p>
    <w:p w:rsidR="001D7023" w:rsidRDefault="00085FD5" w:rsidP="00085FD5">
      <w:pPr>
        <w:spacing w:after="120" w:line="240" w:lineRule="auto"/>
        <w:ind w:firstLine="1440"/>
        <w:jc w:val="both"/>
        <w:rPr>
          <w:sz w:val="24"/>
          <w:szCs w:val="24"/>
        </w:rPr>
      </w:pPr>
      <w:r>
        <w:rPr>
          <w:sz w:val="24"/>
          <w:szCs w:val="24"/>
        </w:rPr>
        <w:t>(a)</w:t>
      </w:r>
      <w:r>
        <w:rPr>
          <w:sz w:val="24"/>
          <w:szCs w:val="24"/>
        </w:rPr>
        <w:tab/>
      </w:r>
      <w:r w:rsidR="001D7023">
        <w:rPr>
          <w:sz w:val="24"/>
          <w:szCs w:val="24"/>
        </w:rPr>
        <w:t xml:space="preserve">Each </w:t>
      </w:r>
      <w:r>
        <w:rPr>
          <w:sz w:val="24"/>
          <w:szCs w:val="24"/>
        </w:rPr>
        <w:t>A</w:t>
      </w:r>
      <w:r w:rsidR="001D7023">
        <w:rPr>
          <w:sz w:val="24"/>
          <w:szCs w:val="24"/>
        </w:rPr>
        <w:t>dditional Member shall be a governmental entity located in Salt Lake County or Summit County, Utah</w:t>
      </w:r>
      <w:r>
        <w:rPr>
          <w:sz w:val="24"/>
          <w:szCs w:val="24"/>
        </w:rPr>
        <w:t>; and</w:t>
      </w:r>
    </w:p>
    <w:p w:rsidR="00085FD5" w:rsidRDefault="00085FD5" w:rsidP="00D34CCC">
      <w:pPr>
        <w:spacing w:after="120" w:line="240" w:lineRule="auto"/>
        <w:jc w:val="both"/>
        <w:rPr>
          <w:sz w:val="24"/>
          <w:szCs w:val="24"/>
        </w:rPr>
      </w:pPr>
      <w:r>
        <w:rPr>
          <w:sz w:val="24"/>
          <w:szCs w:val="24"/>
        </w:rPr>
        <w:tab/>
      </w:r>
      <w:r>
        <w:rPr>
          <w:sz w:val="24"/>
          <w:szCs w:val="24"/>
        </w:rPr>
        <w:tab/>
        <w:t>(b)</w:t>
      </w:r>
      <w:r>
        <w:rPr>
          <w:sz w:val="24"/>
          <w:szCs w:val="24"/>
        </w:rPr>
        <w:tab/>
        <w:t xml:space="preserve">Each Additional Member </w:t>
      </w:r>
      <w:r w:rsidR="001A2C33">
        <w:rPr>
          <w:sz w:val="24"/>
          <w:szCs w:val="24"/>
        </w:rPr>
        <w:t xml:space="preserve">shall </w:t>
      </w:r>
      <w:r>
        <w:rPr>
          <w:sz w:val="24"/>
          <w:szCs w:val="24"/>
        </w:rPr>
        <w:t>have a common border with the boundary of the Commission specified in this Agreement or have legal jurisdiction within such boundary; and</w:t>
      </w:r>
    </w:p>
    <w:p w:rsidR="00085FD5" w:rsidRDefault="00085FD5" w:rsidP="00D34CCC">
      <w:pPr>
        <w:spacing w:after="120" w:line="240" w:lineRule="auto"/>
        <w:jc w:val="both"/>
        <w:rPr>
          <w:sz w:val="24"/>
          <w:szCs w:val="24"/>
        </w:rPr>
      </w:pPr>
      <w:r>
        <w:rPr>
          <w:sz w:val="24"/>
          <w:szCs w:val="24"/>
        </w:rPr>
        <w:tab/>
      </w:r>
      <w:r>
        <w:rPr>
          <w:sz w:val="24"/>
          <w:szCs w:val="24"/>
        </w:rPr>
        <w:tab/>
        <w:t>(c)</w:t>
      </w:r>
      <w:r>
        <w:rPr>
          <w:sz w:val="24"/>
          <w:szCs w:val="24"/>
        </w:rPr>
        <w:tab/>
        <w:t>Except for Salt Lake County, which may have two Commissioners as specified below, no Member shall have more than one Commissioner representing it on the Board.</w:t>
      </w:r>
    </w:p>
    <w:p w:rsidR="00085FD5" w:rsidRPr="006013C3" w:rsidRDefault="00085FD5" w:rsidP="00D34CCC">
      <w:pPr>
        <w:spacing w:after="120" w:line="240" w:lineRule="auto"/>
        <w:jc w:val="both"/>
        <w:rPr>
          <w:rFonts w:cstheme="minorHAnsi"/>
        </w:rPr>
      </w:pPr>
      <w:r>
        <w:rPr>
          <w:sz w:val="24"/>
          <w:szCs w:val="24"/>
        </w:rPr>
        <w:tab/>
        <w:t>(2)</w:t>
      </w:r>
      <w:r>
        <w:rPr>
          <w:sz w:val="24"/>
          <w:szCs w:val="24"/>
        </w:rPr>
        <w:tab/>
      </w:r>
      <w:r>
        <w:rPr>
          <w:i/>
          <w:sz w:val="24"/>
          <w:szCs w:val="24"/>
          <w:u w:val="single"/>
        </w:rPr>
        <w:t>Process</w:t>
      </w:r>
      <w:r>
        <w:rPr>
          <w:sz w:val="24"/>
          <w:szCs w:val="24"/>
        </w:rPr>
        <w:t xml:space="preserve">. </w:t>
      </w:r>
      <w:r w:rsidR="004409EA">
        <w:rPr>
          <w:sz w:val="24"/>
          <w:szCs w:val="24"/>
        </w:rPr>
        <w:t>The process for adding Additional Members to the Commission is as follows:</w:t>
      </w:r>
    </w:p>
    <w:p w:rsidR="004409EA" w:rsidRPr="006013C3" w:rsidRDefault="004409EA" w:rsidP="004409EA">
      <w:pPr>
        <w:pStyle w:val="ListParagraph"/>
        <w:numPr>
          <w:ilvl w:val="0"/>
          <w:numId w:val="2"/>
        </w:num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autoSpaceDE w:val="0"/>
        <w:autoSpaceDN w:val="0"/>
        <w:adjustRightInd w:val="0"/>
        <w:spacing w:after="0" w:line="240" w:lineRule="auto"/>
        <w:ind w:left="0" w:firstLine="1590"/>
        <w:jc w:val="both"/>
        <w:rPr>
          <w:rFonts w:cstheme="minorHAnsi"/>
          <w:noProof/>
          <w:sz w:val="24"/>
          <w:szCs w:val="24"/>
        </w:rPr>
      </w:pPr>
      <w:r w:rsidRPr="006013C3">
        <w:rPr>
          <w:rFonts w:cstheme="minorHAnsi"/>
          <w:noProof/>
          <w:sz w:val="24"/>
          <w:szCs w:val="24"/>
        </w:rPr>
        <w:t xml:space="preserve">Upon receipt of a written application from the governing body of a proposed new Additional Member which complies with the minimum criteria specified in </w:t>
      </w:r>
      <w:r>
        <w:rPr>
          <w:rFonts w:cstheme="minorHAnsi"/>
          <w:noProof/>
          <w:sz w:val="24"/>
          <w:szCs w:val="24"/>
        </w:rPr>
        <w:t>Article V.</w:t>
      </w:r>
      <w:r w:rsidR="004D4305">
        <w:rPr>
          <w:rFonts w:cstheme="minorHAnsi"/>
          <w:noProof/>
          <w:sz w:val="24"/>
          <w:szCs w:val="24"/>
        </w:rPr>
        <w:t>A.(</w:t>
      </w:r>
      <w:r w:rsidRPr="006013C3">
        <w:rPr>
          <w:rFonts w:cstheme="minorHAnsi"/>
          <w:noProof/>
          <w:sz w:val="24"/>
          <w:szCs w:val="24"/>
        </w:rPr>
        <w:t>1</w:t>
      </w:r>
      <w:r w:rsidR="004D4305">
        <w:rPr>
          <w:rFonts w:cstheme="minorHAnsi"/>
          <w:noProof/>
          <w:sz w:val="24"/>
          <w:szCs w:val="24"/>
        </w:rPr>
        <w:t>)</w:t>
      </w:r>
      <w:r w:rsidRPr="006013C3">
        <w:rPr>
          <w:rFonts w:cstheme="minorHAnsi"/>
          <w:noProof/>
          <w:sz w:val="24"/>
          <w:szCs w:val="24"/>
        </w:rPr>
        <w:t xml:space="preserve"> (the “</w:t>
      </w:r>
      <w:r w:rsidRPr="006013C3">
        <w:rPr>
          <w:rFonts w:cstheme="minorHAnsi"/>
          <w:i/>
          <w:noProof/>
          <w:sz w:val="24"/>
          <w:szCs w:val="24"/>
        </w:rPr>
        <w:t>Minimum Criteria</w:t>
      </w:r>
      <w:r w:rsidRPr="006013C3">
        <w:rPr>
          <w:rFonts w:cstheme="minorHAnsi"/>
          <w:noProof/>
          <w:sz w:val="24"/>
          <w:szCs w:val="24"/>
        </w:rPr>
        <w:t>”), the Board may consider such application in public meetings occurring over such timeframe as the Board, in its sole discretion, may deem reasonable and appropriate under the circumstances.</w:t>
      </w:r>
    </w:p>
    <w:p w:rsidR="004409EA" w:rsidRPr="006013C3" w:rsidRDefault="004409EA" w:rsidP="004409EA">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spacing w:after="0" w:line="240" w:lineRule="auto"/>
        <w:jc w:val="both"/>
        <w:rPr>
          <w:rFonts w:cstheme="minorHAnsi"/>
          <w:noProof/>
          <w:sz w:val="24"/>
          <w:szCs w:val="24"/>
        </w:rPr>
      </w:pPr>
    </w:p>
    <w:p w:rsidR="004409EA" w:rsidRPr="006013C3" w:rsidRDefault="004409EA" w:rsidP="004409EA">
      <w:pPr>
        <w:pStyle w:val="ListParagraph"/>
        <w:numPr>
          <w:ilvl w:val="0"/>
          <w:numId w:val="2"/>
        </w:num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autoSpaceDE w:val="0"/>
        <w:autoSpaceDN w:val="0"/>
        <w:adjustRightInd w:val="0"/>
        <w:spacing w:after="0" w:line="240" w:lineRule="auto"/>
        <w:ind w:left="0" w:firstLine="1590"/>
        <w:jc w:val="both"/>
        <w:rPr>
          <w:rFonts w:cstheme="minorHAnsi"/>
          <w:noProof/>
          <w:sz w:val="24"/>
          <w:szCs w:val="24"/>
        </w:rPr>
      </w:pPr>
      <w:r w:rsidRPr="006013C3">
        <w:rPr>
          <w:rFonts w:cstheme="minorHAnsi"/>
          <w:noProof/>
          <w:sz w:val="24"/>
          <w:szCs w:val="24"/>
        </w:rPr>
        <w:t>The Board’s consideration of the application of such proposed new Additional Member shall be based on the the Minimum Criteria and such additional criteria as the Board, in its sole discretion, may deem reasonable and appropriate under the circumstances.</w:t>
      </w:r>
    </w:p>
    <w:p w:rsidR="004409EA" w:rsidRPr="006013C3" w:rsidRDefault="004409EA" w:rsidP="004409EA">
      <w:pPr>
        <w:pStyle w:val="ListParagraph"/>
        <w:spacing w:line="240" w:lineRule="auto"/>
        <w:rPr>
          <w:rFonts w:cstheme="minorHAnsi"/>
          <w:noProof/>
          <w:sz w:val="24"/>
          <w:szCs w:val="24"/>
        </w:rPr>
      </w:pPr>
    </w:p>
    <w:p w:rsidR="004409EA" w:rsidRPr="006013C3" w:rsidRDefault="004409EA" w:rsidP="004409EA">
      <w:pPr>
        <w:pStyle w:val="ListParagraph"/>
        <w:numPr>
          <w:ilvl w:val="0"/>
          <w:numId w:val="2"/>
        </w:num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autoSpaceDE w:val="0"/>
        <w:autoSpaceDN w:val="0"/>
        <w:adjustRightInd w:val="0"/>
        <w:spacing w:after="0" w:line="240" w:lineRule="auto"/>
        <w:ind w:left="0" w:firstLine="1590"/>
        <w:jc w:val="both"/>
        <w:rPr>
          <w:rFonts w:cstheme="minorHAnsi"/>
          <w:noProof/>
          <w:sz w:val="24"/>
          <w:szCs w:val="24"/>
        </w:rPr>
      </w:pPr>
      <w:r w:rsidRPr="006013C3">
        <w:rPr>
          <w:rFonts w:cstheme="minorHAnsi"/>
          <w:noProof/>
          <w:sz w:val="24"/>
          <w:szCs w:val="24"/>
        </w:rPr>
        <w:t>Following such consideration, the Board shall vote whether to offer Commission membership to the proposed new Additional Member. If a majority of the Board does not affirmatively vote to offer Commission membership to the proposed new Additional Member, then the proposed new Additional Member’s application for membership shall be deemed denied and that proposed new Additional Member shall be barred from re-applying for membership for a period of three years after such denial.</w:t>
      </w:r>
    </w:p>
    <w:p w:rsidR="004409EA" w:rsidRPr="006013C3" w:rsidRDefault="004409EA" w:rsidP="004409EA">
      <w:pPr>
        <w:pStyle w:val="ListParagraph"/>
        <w:spacing w:line="240" w:lineRule="auto"/>
        <w:rPr>
          <w:rFonts w:cstheme="minorHAnsi"/>
          <w:noProof/>
          <w:sz w:val="24"/>
          <w:szCs w:val="24"/>
        </w:rPr>
      </w:pPr>
    </w:p>
    <w:p w:rsidR="004409EA" w:rsidRPr="006013C3" w:rsidRDefault="004409EA" w:rsidP="004409EA">
      <w:pPr>
        <w:pStyle w:val="ListParagraph"/>
        <w:numPr>
          <w:ilvl w:val="0"/>
          <w:numId w:val="2"/>
        </w:num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autoSpaceDE w:val="0"/>
        <w:autoSpaceDN w:val="0"/>
        <w:adjustRightInd w:val="0"/>
        <w:spacing w:after="0" w:line="240" w:lineRule="auto"/>
        <w:ind w:left="0" w:firstLine="1590"/>
        <w:jc w:val="both"/>
        <w:rPr>
          <w:rFonts w:cstheme="minorHAnsi"/>
          <w:noProof/>
          <w:sz w:val="24"/>
          <w:szCs w:val="24"/>
        </w:rPr>
      </w:pPr>
      <w:r w:rsidRPr="006013C3">
        <w:rPr>
          <w:rFonts w:cstheme="minorHAnsi"/>
          <w:noProof/>
          <w:sz w:val="24"/>
          <w:szCs w:val="24"/>
        </w:rPr>
        <w:t>If a majority of the Board affirmatively votes to offer Commission membership to the proposed new Additional Member, then the proposed new Additional Member’s application for membership shall be deemed provisionally approved, subject to:</w:t>
      </w:r>
    </w:p>
    <w:p w:rsidR="004409EA" w:rsidRPr="006013C3" w:rsidRDefault="004409EA" w:rsidP="004409EA">
      <w:pPr>
        <w:pStyle w:val="ListParagraph"/>
        <w:spacing w:line="240" w:lineRule="auto"/>
        <w:rPr>
          <w:rFonts w:cstheme="minorHAnsi"/>
          <w:noProof/>
          <w:sz w:val="24"/>
          <w:szCs w:val="24"/>
        </w:rPr>
      </w:pPr>
    </w:p>
    <w:p w:rsidR="004409EA" w:rsidRPr="006013C3" w:rsidRDefault="001A2C33" w:rsidP="004409EA">
      <w:pPr>
        <w:pStyle w:val="ListParagraph"/>
        <w:numPr>
          <w:ilvl w:val="0"/>
          <w:numId w:val="3"/>
        </w:numPr>
        <w:tabs>
          <w:tab w:val="left" w:pos="-1109"/>
          <w:tab w:val="left" w:pos="-576"/>
          <w:tab w:val="left" w:pos="0"/>
          <w:tab w:val="left" w:pos="864"/>
          <w:tab w:val="left" w:pos="1584"/>
          <w:tab w:val="left" w:pos="2304"/>
          <w:tab w:val="left" w:pos="2790"/>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autoSpaceDE w:val="0"/>
        <w:autoSpaceDN w:val="0"/>
        <w:adjustRightInd w:val="0"/>
        <w:spacing w:after="0" w:line="240" w:lineRule="auto"/>
        <w:ind w:left="0" w:firstLine="2310"/>
        <w:jc w:val="both"/>
        <w:rPr>
          <w:rFonts w:cstheme="minorHAnsi"/>
          <w:noProof/>
          <w:sz w:val="24"/>
          <w:szCs w:val="24"/>
        </w:rPr>
      </w:pPr>
      <w:r>
        <w:rPr>
          <w:rFonts w:cstheme="minorHAnsi"/>
          <w:noProof/>
          <w:sz w:val="24"/>
          <w:szCs w:val="24"/>
        </w:rPr>
        <w:t>A</w:t>
      </w:r>
      <w:r w:rsidR="004409EA" w:rsidRPr="006013C3">
        <w:rPr>
          <w:rFonts w:cstheme="minorHAnsi"/>
          <w:noProof/>
          <w:sz w:val="24"/>
          <w:szCs w:val="24"/>
        </w:rPr>
        <w:t>pproval of the proposed new Additional Member b</w:t>
      </w:r>
      <w:r w:rsidR="004409EA" w:rsidRPr="006013C3">
        <w:rPr>
          <w:rFonts w:cstheme="minorHAnsi"/>
          <w:sz w:val="24"/>
          <w:szCs w:val="24"/>
        </w:rPr>
        <w:t xml:space="preserve">y the legislative body of </w:t>
      </w:r>
      <w:r>
        <w:rPr>
          <w:rFonts w:cstheme="minorHAnsi"/>
          <w:sz w:val="24"/>
          <w:szCs w:val="24"/>
        </w:rPr>
        <w:t xml:space="preserve">each of </w:t>
      </w:r>
      <w:r w:rsidR="004409EA" w:rsidRPr="006013C3">
        <w:rPr>
          <w:rFonts w:cstheme="minorHAnsi"/>
          <w:sz w:val="24"/>
          <w:szCs w:val="24"/>
        </w:rPr>
        <w:t xml:space="preserve">the Members; and </w:t>
      </w:r>
    </w:p>
    <w:p w:rsidR="004409EA" w:rsidRPr="006013C3" w:rsidRDefault="004409EA" w:rsidP="004409EA">
      <w:pPr>
        <w:pStyle w:val="ListParagraph"/>
        <w:tabs>
          <w:tab w:val="left" w:pos="-1109"/>
          <w:tab w:val="left" w:pos="-576"/>
          <w:tab w:val="left" w:pos="0"/>
          <w:tab w:val="left" w:pos="864"/>
          <w:tab w:val="left" w:pos="1584"/>
          <w:tab w:val="left" w:pos="2304"/>
          <w:tab w:val="left" w:pos="2790"/>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spacing w:line="240" w:lineRule="auto"/>
        <w:ind w:left="2310"/>
        <w:jc w:val="both"/>
        <w:rPr>
          <w:rFonts w:cstheme="minorHAnsi"/>
          <w:noProof/>
          <w:sz w:val="24"/>
          <w:szCs w:val="24"/>
        </w:rPr>
      </w:pPr>
    </w:p>
    <w:p w:rsidR="004409EA" w:rsidRPr="006013C3" w:rsidRDefault="004409EA" w:rsidP="004409EA">
      <w:pPr>
        <w:pStyle w:val="ListParagraph"/>
        <w:numPr>
          <w:ilvl w:val="0"/>
          <w:numId w:val="3"/>
        </w:numPr>
        <w:tabs>
          <w:tab w:val="left" w:pos="-1109"/>
          <w:tab w:val="left" w:pos="-576"/>
          <w:tab w:val="left" w:pos="0"/>
          <w:tab w:val="left" w:pos="864"/>
          <w:tab w:val="left" w:pos="1584"/>
          <w:tab w:val="left" w:pos="2304"/>
          <w:tab w:val="left" w:pos="2790"/>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autoSpaceDE w:val="0"/>
        <w:autoSpaceDN w:val="0"/>
        <w:adjustRightInd w:val="0"/>
        <w:spacing w:after="0" w:line="240" w:lineRule="auto"/>
        <w:ind w:left="0" w:firstLine="2310"/>
        <w:jc w:val="both"/>
        <w:rPr>
          <w:rFonts w:cstheme="minorHAnsi"/>
          <w:noProof/>
          <w:sz w:val="24"/>
          <w:szCs w:val="24"/>
        </w:rPr>
      </w:pPr>
      <w:r w:rsidRPr="006013C3">
        <w:rPr>
          <w:rFonts w:cstheme="minorHAnsi"/>
          <w:sz w:val="24"/>
          <w:szCs w:val="24"/>
        </w:rPr>
        <w:t>Approval of th</w:t>
      </w:r>
      <w:r w:rsidR="004D4305">
        <w:rPr>
          <w:rFonts w:cstheme="minorHAnsi"/>
          <w:sz w:val="24"/>
          <w:szCs w:val="24"/>
        </w:rPr>
        <w:t xml:space="preserve">is Agreement, as previously amended and/or restated, </w:t>
      </w:r>
      <w:r w:rsidRPr="006013C3">
        <w:rPr>
          <w:rFonts w:cstheme="minorHAnsi"/>
          <w:sz w:val="24"/>
          <w:szCs w:val="24"/>
        </w:rPr>
        <w:t xml:space="preserve">by resolution of the governing body of the proposed new Additional Member; and </w:t>
      </w:r>
    </w:p>
    <w:p w:rsidR="004409EA" w:rsidRPr="006013C3" w:rsidRDefault="004409EA" w:rsidP="004409EA">
      <w:pPr>
        <w:pStyle w:val="ListParagraph"/>
        <w:spacing w:line="240" w:lineRule="auto"/>
        <w:rPr>
          <w:rFonts w:cstheme="minorHAnsi"/>
          <w:sz w:val="24"/>
          <w:szCs w:val="24"/>
        </w:rPr>
      </w:pPr>
    </w:p>
    <w:p w:rsidR="004409EA" w:rsidRPr="006013C3" w:rsidRDefault="004409EA" w:rsidP="004409EA">
      <w:pPr>
        <w:pStyle w:val="ListParagraph"/>
        <w:numPr>
          <w:ilvl w:val="0"/>
          <w:numId w:val="3"/>
        </w:numPr>
        <w:tabs>
          <w:tab w:val="left" w:pos="-1109"/>
          <w:tab w:val="left" w:pos="-576"/>
          <w:tab w:val="left" w:pos="0"/>
          <w:tab w:val="left" w:pos="864"/>
          <w:tab w:val="left" w:pos="1584"/>
          <w:tab w:val="left" w:pos="2304"/>
          <w:tab w:val="left" w:pos="2790"/>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autoSpaceDE w:val="0"/>
        <w:autoSpaceDN w:val="0"/>
        <w:adjustRightInd w:val="0"/>
        <w:spacing w:after="0" w:line="240" w:lineRule="auto"/>
        <w:ind w:left="0" w:firstLine="2310"/>
        <w:jc w:val="both"/>
        <w:rPr>
          <w:rFonts w:cstheme="minorHAnsi"/>
          <w:noProof/>
          <w:sz w:val="24"/>
          <w:szCs w:val="24"/>
        </w:rPr>
      </w:pPr>
      <w:r w:rsidRPr="006013C3">
        <w:rPr>
          <w:rFonts w:cstheme="minorHAnsi"/>
          <w:sz w:val="24"/>
          <w:szCs w:val="24"/>
        </w:rPr>
        <w:t xml:space="preserve">The proposed new Additional Member’s </w:t>
      </w:r>
      <w:r w:rsidR="004D4305">
        <w:rPr>
          <w:rFonts w:cstheme="minorHAnsi"/>
          <w:sz w:val="24"/>
          <w:szCs w:val="24"/>
        </w:rPr>
        <w:t xml:space="preserve">execution and delivery to the Board of a counterpart of the then-current version of </w:t>
      </w:r>
      <w:r w:rsidRPr="006013C3">
        <w:rPr>
          <w:rFonts w:cstheme="minorHAnsi"/>
          <w:sz w:val="24"/>
          <w:szCs w:val="24"/>
        </w:rPr>
        <w:t>th</w:t>
      </w:r>
      <w:r w:rsidR="004D4305">
        <w:rPr>
          <w:rFonts w:cstheme="minorHAnsi"/>
          <w:sz w:val="24"/>
          <w:szCs w:val="24"/>
        </w:rPr>
        <w:t>is Agreement</w:t>
      </w:r>
      <w:r w:rsidRPr="006013C3">
        <w:rPr>
          <w:rFonts w:cstheme="minorHAnsi"/>
          <w:sz w:val="24"/>
          <w:szCs w:val="24"/>
        </w:rPr>
        <w:t>.</w:t>
      </w:r>
    </w:p>
    <w:p w:rsidR="004D4305" w:rsidRDefault="004D4305" w:rsidP="00D34CCC">
      <w:pPr>
        <w:spacing w:after="120" w:line="240" w:lineRule="auto"/>
        <w:jc w:val="both"/>
        <w:rPr>
          <w:b/>
          <w:bCs/>
          <w:sz w:val="24"/>
          <w:szCs w:val="24"/>
        </w:rPr>
      </w:pPr>
    </w:p>
    <w:p w:rsidR="00D34CCC" w:rsidRPr="008E5A97" w:rsidRDefault="00D34CCC" w:rsidP="00D34CCC">
      <w:pPr>
        <w:spacing w:after="120" w:line="240" w:lineRule="auto"/>
        <w:jc w:val="both"/>
        <w:rPr>
          <w:b/>
          <w:sz w:val="24"/>
          <w:szCs w:val="24"/>
        </w:rPr>
      </w:pPr>
      <w:r w:rsidRPr="00000159">
        <w:rPr>
          <w:b/>
          <w:bCs/>
          <w:sz w:val="24"/>
          <w:szCs w:val="24"/>
        </w:rPr>
        <w:t>B.</w:t>
      </w:r>
      <w:r w:rsidRPr="008E5A97">
        <w:rPr>
          <w:b/>
          <w:sz w:val="24"/>
          <w:szCs w:val="24"/>
        </w:rPr>
        <w:tab/>
      </w:r>
      <w:r w:rsidRPr="00000159">
        <w:rPr>
          <w:b/>
          <w:bCs/>
          <w:sz w:val="24"/>
          <w:szCs w:val="24"/>
          <w:u w:val="single"/>
        </w:rPr>
        <w:t>Board</w:t>
      </w:r>
      <w:r w:rsidRPr="00000159">
        <w:rPr>
          <w:b/>
          <w:bCs/>
          <w:sz w:val="24"/>
          <w:szCs w:val="24"/>
        </w:rPr>
        <w:t xml:space="preserve">.  </w:t>
      </w:r>
    </w:p>
    <w:p w:rsidR="00D34CCC" w:rsidRPr="008E5A97" w:rsidRDefault="00D34CCC" w:rsidP="00D34CCC">
      <w:pPr>
        <w:spacing w:after="120" w:line="240" w:lineRule="auto"/>
        <w:jc w:val="both"/>
        <w:rPr>
          <w:sz w:val="24"/>
          <w:szCs w:val="24"/>
        </w:rPr>
      </w:pPr>
      <w:r w:rsidRPr="008E5A97">
        <w:rPr>
          <w:b/>
          <w:sz w:val="24"/>
          <w:szCs w:val="24"/>
        </w:rPr>
        <w:tab/>
      </w:r>
      <w:r w:rsidRPr="008E5A97">
        <w:rPr>
          <w:sz w:val="24"/>
          <w:szCs w:val="24"/>
        </w:rPr>
        <w:t>(1)</w:t>
      </w:r>
      <w:r w:rsidRPr="008E5A97">
        <w:rPr>
          <w:sz w:val="24"/>
          <w:szCs w:val="24"/>
        </w:rPr>
        <w:tab/>
      </w:r>
      <w:r w:rsidRPr="00000159">
        <w:rPr>
          <w:i/>
          <w:iCs/>
          <w:sz w:val="24"/>
          <w:szCs w:val="24"/>
          <w:u w:val="single"/>
        </w:rPr>
        <w:t>Member Commissioners</w:t>
      </w:r>
      <w:r w:rsidRPr="008E5A97">
        <w:rPr>
          <w:sz w:val="24"/>
          <w:szCs w:val="24"/>
        </w:rPr>
        <w:t>.</w:t>
      </w:r>
    </w:p>
    <w:p w:rsidR="00D34CCC" w:rsidRPr="005D6F7C" w:rsidRDefault="00D34CCC" w:rsidP="00D34CCC">
      <w:pPr>
        <w:pStyle w:val="NormalWeb"/>
        <w:jc w:val="both"/>
        <w:rPr>
          <w:rFonts w:asciiTheme="minorHAnsi" w:hAnsiTheme="minorHAnsi"/>
          <w:sz w:val="24"/>
          <w:szCs w:val="24"/>
        </w:rPr>
      </w:pPr>
      <w:r w:rsidRPr="008E5A97">
        <w:rPr>
          <w:rFonts w:asciiTheme="minorHAnsi" w:hAnsiTheme="minorHAnsi"/>
          <w:sz w:val="24"/>
          <w:szCs w:val="24"/>
        </w:rPr>
        <w:tab/>
      </w:r>
      <w:r w:rsidRPr="008E5A97">
        <w:rPr>
          <w:rFonts w:asciiTheme="minorHAnsi" w:hAnsiTheme="minorHAnsi"/>
          <w:sz w:val="24"/>
          <w:szCs w:val="24"/>
        </w:rPr>
        <w:tab/>
      </w:r>
      <w:r w:rsidRPr="006722DF">
        <w:rPr>
          <w:rFonts w:asciiTheme="minorHAnsi" w:eastAsiaTheme="minorEastAsia" w:hAnsiTheme="minorHAnsi" w:cstheme="minorBidi"/>
          <w:sz w:val="24"/>
          <w:szCs w:val="24"/>
        </w:rPr>
        <w:t>(a)</w:t>
      </w:r>
      <w:r w:rsidRPr="008E5A97">
        <w:rPr>
          <w:rFonts w:asciiTheme="minorHAnsi" w:hAnsiTheme="minorHAnsi"/>
          <w:sz w:val="24"/>
          <w:szCs w:val="24"/>
        </w:rPr>
        <w:tab/>
      </w:r>
      <w:r w:rsidRPr="006722DF">
        <w:rPr>
          <w:rFonts w:asciiTheme="minorHAnsi" w:eastAsiaTheme="minorEastAsia" w:hAnsiTheme="minorHAnsi" w:cstheme="minorBidi"/>
          <w:sz w:val="24"/>
          <w:szCs w:val="24"/>
        </w:rPr>
        <w:t>The Mayor or the governing body, as appropriate to the Member’s form of government as created by the Laws of Utah 1977, Chapter 48, of each Member shall appoint an elected public official from their respective entity to serve as a Commissioner.</w:t>
      </w:r>
      <w:r w:rsidRPr="005D6F7C">
        <w:rPr>
          <w:rFonts w:asciiTheme="minorHAnsi" w:hAnsiTheme="minorHAnsi"/>
          <w:sz w:val="24"/>
          <w:szCs w:val="24"/>
        </w:rPr>
        <w:tab/>
      </w:r>
    </w:p>
    <w:p w:rsidR="00D34CCC" w:rsidRDefault="00D34CCC" w:rsidP="00D34CCC">
      <w:pPr>
        <w:spacing w:after="120" w:line="240" w:lineRule="auto"/>
        <w:jc w:val="both"/>
        <w:rPr>
          <w:sz w:val="24"/>
          <w:szCs w:val="24"/>
        </w:rPr>
      </w:pPr>
      <w:r w:rsidRPr="008E5A97">
        <w:rPr>
          <w:sz w:val="24"/>
          <w:szCs w:val="24"/>
        </w:rPr>
        <w:tab/>
      </w:r>
      <w:r w:rsidRPr="008E5A97">
        <w:rPr>
          <w:sz w:val="24"/>
          <w:szCs w:val="24"/>
        </w:rPr>
        <w:tab/>
        <w:t>(b)</w:t>
      </w:r>
      <w:r w:rsidRPr="008E5A97">
        <w:rPr>
          <w:sz w:val="24"/>
          <w:szCs w:val="24"/>
        </w:rPr>
        <w:tab/>
      </w:r>
      <w:r>
        <w:rPr>
          <w:sz w:val="24"/>
          <w:szCs w:val="24"/>
        </w:rPr>
        <w:t>The Salt Lake County Council shall appoint an At-Large Count</w:t>
      </w:r>
      <w:r w:rsidR="004904D0">
        <w:rPr>
          <w:sz w:val="24"/>
          <w:szCs w:val="24"/>
        </w:rPr>
        <w:t>y</w:t>
      </w:r>
      <w:r>
        <w:rPr>
          <w:sz w:val="24"/>
          <w:szCs w:val="24"/>
        </w:rPr>
        <w:t xml:space="preserve"> Council Member to represent the interests of the greater Salt Lake County</w:t>
      </w:r>
      <w:r w:rsidRPr="008E5A97">
        <w:rPr>
          <w:sz w:val="24"/>
          <w:szCs w:val="24"/>
        </w:rPr>
        <w:t>.</w:t>
      </w:r>
    </w:p>
    <w:p w:rsidR="002E1829" w:rsidRPr="008E5A97" w:rsidRDefault="002E1829" w:rsidP="00D34CCC">
      <w:pPr>
        <w:spacing w:after="120" w:line="240" w:lineRule="auto"/>
        <w:jc w:val="both"/>
        <w:rPr>
          <w:sz w:val="24"/>
          <w:szCs w:val="24"/>
        </w:rPr>
      </w:pPr>
      <w:r>
        <w:rPr>
          <w:sz w:val="24"/>
          <w:szCs w:val="24"/>
        </w:rPr>
        <w:tab/>
      </w:r>
      <w:r>
        <w:rPr>
          <w:sz w:val="24"/>
          <w:szCs w:val="24"/>
        </w:rPr>
        <w:tab/>
        <w:t>(c)</w:t>
      </w:r>
      <w:r>
        <w:rPr>
          <w:sz w:val="24"/>
          <w:szCs w:val="24"/>
        </w:rPr>
        <w:tab/>
      </w:r>
      <w:r w:rsidRPr="008E5A97">
        <w:rPr>
          <w:sz w:val="24"/>
          <w:szCs w:val="24"/>
        </w:rPr>
        <w:t xml:space="preserve">Each </w:t>
      </w:r>
      <w:r>
        <w:rPr>
          <w:sz w:val="24"/>
          <w:szCs w:val="24"/>
        </w:rPr>
        <w:t xml:space="preserve">Member </w:t>
      </w:r>
      <w:r w:rsidRPr="008E5A97">
        <w:rPr>
          <w:sz w:val="24"/>
          <w:szCs w:val="24"/>
        </w:rPr>
        <w:t xml:space="preserve">Commissioner shall serve until his or her tenure as an elected public official </w:t>
      </w:r>
      <w:r>
        <w:rPr>
          <w:sz w:val="24"/>
          <w:szCs w:val="24"/>
        </w:rPr>
        <w:t xml:space="preserve">of the sponsoring Member </w:t>
      </w:r>
      <w:r w:rsidRPr="008E5A97">
        <w:rPr>
          <w:sz w:val="24"/>
          <w:szCs w:val="24"/>
        </w:rPr>
        <w:t xml:space="preserve">terminates, until his or her successor is duly appointed by the sponsoring Member, or until his or her sponsoring Member withdraws from the Commission, whichever occurs first. A vacancy on the Board shall be filled in the same manner as the appointment of the </w:t>
      </w:r>
      <w:r>
        <w:rPr>
          <w:sz w:val="24"/>
          <w:szCs w:val="24"/>
        </w:rPr>
        <w:t xml:space="preserve">Member </w:t>
      </w:r>
      <w:r w:rsidRPr="008E5A97">
        <w:rPr>
          <w:sz w:val="24"/>
          <w:szCs w:val="24"/>
        </w:rPr>
        <w:t>Commissioner whose vacancy is being filled.</w:t>
      </w:r>
    </w:p>
    <w:p w:rsidR="00C23498" w:rsidRDefault="00D34CCC" w:rsidP="00D632E8">
      <w:pPr>
        <w:jc w:val="both"/>
        <w:rPr>
          <w:sz w:val="24"/>
          <w:szCs w:val="24"/>
        </w:rPr>
      </w:pPr>
      <w:r w:rsidRPr="008E5A97">
        <w:rPr>
          <w:sz w:val="24"/>
          <w:szCs w:val="24"/>
        </w:rPr>
        <w:tab/>
        <w:t>(2)</w:t>
      </w:r>
      <w:r w:rsidRPr="008E5A97">
        <w:rPr>
          <w:sz w:val="24"/>
          <w:szCs w:val="24"/>
        </w:rPr>
        <w:tab/>
      </w:r>
      <w:r w:rsidR="00984391">
        <w:rPr>
          <w:i/>
          <w:iCs/>
          <w:sz w:val="24"/>
          <w:szCs w:val="24"/>
          <w:u w:val="single"/>
        </w:rPr>
        <w:t xml:space="preserve">Ex Officio </w:t>
      </w:r>
      <w:r w:rsidRPr="00000159">
        <w:rPr>
          <w:i/>
          <w:iCs/>
          <w:sz w:val="24"/>
          <w:szCs w:val="24"/>
          <w:u w:val="single"/>
        </w:rPr>
        <w:t>Commissioners</w:t>
      </w:r>
      <w:r w:rsidRPr="008E5A97">
        <w:rPr>
          <w:sz w:val="24"/>
          <w:szCs w:val="24"/>
        </w:rPr>
        <w:t>.</w:t>
      </w:r>
      <w:r>
        <w:rPr>
          <w:sz w:val="24"/>
          <w:szCs w:val="24"/>
        </w:rPr>
        <w:t xml:space="preserve"> </w:t>
      </w:r>
      <w:r w:rsidR="006013C3">
        <w:rPr>
          <w:i/>
          <w:sz w:val="24"/>
          <w:szCs w:val="24"/>
        </w:rPr>
        <w:t>E</w:t>
      </w:r>
      <w:r w:rsidR="00984391" w:rsidRPr="00984391">
        <w:rPr>
          <w:i/>
          <w:sz w:val="24"/>
          <w:szCs w:val="24"/>
        </w:rPr>
        <w:t>x officio</w:t>
      </w:r>
      <w:r w:rsidR="00984391">
        <w:rPr>
          <w:i/>
          <w:sz w:val="24"/>
          <w:szCs w:val="24"/>
        </w:rPr>
        <w:t xml:space="preserve"> </w:t>
      </w:r>
      <w:r w:rsidRPr="008E5A97">
        <w:rPr>
          <w:sz w:val="24"/>
          <w:szCs w:val="24"/>
        </w:rPr>
        <w:t xml:space="preserve">Commissioners </w:t>
      </w:r>
      <w:r w:rsidR="006013C3">
        <w:rPr>
          <w:sz w:val="24"/>
          <w:szCs w:val="24"/>
        </w:rPr>
        <w:t>(“</w:t>
      </w:r>
      <w:r w:rsidR="006013C3">
        <w:rPr>
          <w:i/>
          <w:sz w:val="24"/>
          <w:szCs w:val="24"/>
        </w:rPr>
        <w:t>Ex Officio Commissioners</w:t>
      </w:r>
      <w:r w:rsidR="006013C3">
        <w:rPr>
          <w:sz w:val="24"/>
          <w:szCs w:val="24"/>
        </w:rPr>
        <w:t xml:space="preserve">”) </w:t>
      </w:r>
      <w:r w:rsidR="00AF34AF">
        <w:rPr>
          <w:sz w:val="24"/>
          <w:szCs w:val="24"/>
        </w:rPr>
        <w:t xml:space="preserve">representing non-Member governmental entities with specialized expertise </w:t>
      </w:r>
      <w:r w:rsidR="006013C3">
        <w:rPr>
          <w:sz w:val="24"/>
          <w:szCs w:val="24"/>
        </w:rPr>
        <w:t xml:space="preserve">may </w:t>
      </w:r>
      <w:r w:rsidRPr="008E5A97">
        <w:rPr>
          <w:sz w:val="24"/>
          <w:szCs w:val="24"/>
        </w:rPr>
        <w:t xml:space="preserve">be appointed </w:t>
      </w:r>
      <w:r w:rsidR="00C23498">
        <w:rPr>
          <w:sz w:val="24"/>
          <w:szCs w:val="24"/>
        </w:rPr>
        <w:t xml:space="preserve">by </w:t>
      </w:r>
      <w:r w:rsidRPr="008E5A97">
        <w:rPr>
          <w:sz w:val="24"/>
          <w:szCs w:val="24"/>
        </w:rPr>
        <w:t>Board</w:t>
      </w:r>
      <w:r w:rsidR="007003D9">
        <w:rPr>
          <w:sz w:val="24"/>
          <w:szCs w:val="24"/>
        </w:rPr>
        <w:t xml:space="preserve"> </w:t>
      </w:r>
      <w:r w:rsidR="00FC2143">
        <w:rPr>
          <w:sz w:val="24"/>
          <w:szCs w:val="24"/>
        </w:rPr>
        <w:t xml:space="preserve">resolution </w:t>
      </w:r>
      <w:r w:rsidR="007003D9">
        <w:rPr>
          <w:sz w:val="24"/>
          <w:szCs w:val="24"/>
        </w:rPr>
        <w:t xml:space="preserve">to </w:t>
      </w:r>
      <w:r w:rsidR="007003D9">
        <w:rPr>
          <w:sz w:val="24"/>
          <w:szCs w:val="24"/>
        </w:rPr>
        <w:t xml:space="preserve">provide </w:t>
      </w:r>
      <w:r w:rsidR="00AF34AF">
        <w:rPr>
          <w:sz w:val="24"/>
          <w:szCs w:val="24"/>
        </w:rPr>
        <w:t xml:space="preserve">input </w:t>
      </w:r>
      <w:r w:rsidR="007003D9">
        <w:rPr>
          <w:sz w:val="24"/>
          <w:szCs w:val="24"/>
        </w:rPr>
        <w:t xml:space="preserve">pertinent </w:t>
      </w:r>
      <w:r w:rsidR="00AF34AF">
        <w:rPr>
          <w:sz w:val="24"/>
          <w:szCs w:val="24"/>
        </w:rPr>
        <w:t>to the CWC’s goals or objectives</w:t>
      </w:r>
      <w:r w:rsidR="007003D9">
        <w:rPr>
          <w:sz w:val="24"/>
          <w:szCs w:val="24"/>
        </w:rPr>
        <w:t>. To that end, an Ex Officio Commissioner may participate in Board discussions but</w:t>
      </w:r>
      <w:r w:rsidR="00FD2218">
        <w:rPr>
          <w:sz w:val="24"/>
          <w:szCs w:val="24"/>
        </w:rPr>
        <w:t>, as provided below,</w:t>
      </w:r>
      <w:r w:rsidR="007003D9">
        <w:rPr>
          <w:sz w:val="24"/>
          <w:szCs w:val="24"/>
        </w:rPr>
        <w:t xml:space="preserve"> may not vote on any </w:t>
      </w:r>
      <w:r w:rsidR="00FD2218">
        <w:rPr>
          <w:sz w:val="24"/>
          <w:szCs w:val="24"/>
        </w:rPr>
        <w:t xml:space="preserve">Commission </w:t>
      </w:r>
      <w:r w:rsidR="007003D9">
        <w:rPr>
          <w:sz w:val="24"/>
          <w:szCs w:val="24"/>
        </w:rPr>
        <w:t>matters.</w:t>
      </w:r>
      <w:r>
        <w:rPr>
          <w:sz w:val="24"/>
          <w:szCs w:val="24"/>
        </w:rPr>
        <w:t xml:space="preserve"> </w:t>
      </w:r>
      <w:r w:rsidR="00AF34AF">
        <w:rPr>
          <w:sz w:val="24"/>
          <w:szCs w:val="24"/>
        </w:rPr>
        <w:t xml:space="preserve"> </w:t>
      </w:r>
    </w:p>
    <w:p w:rsidR="00C23498" w:rsidRDefault="00C23498" w:rsidP="00494F22">
      <w:pPr>
        <w:jc w:val="both"/>
        <w:rPr>
          <w:sz w:val="24"/>
          <w:szCs w:val="24"/>
        </w:rPr>
      </w:pPr>
      <w:r>
        <w:rPr>
          <w:sz w:val="24"/>
          <w:szCs w:val="24"/>
        </w:rPr>
        <w:tab/>
      </w:r>
      <w:r>
        <w:rPr>
          <w:sz w:val="24"/>
          <w:szCs w:val="24"/>
        </w:rPr>
        <w:tab/>
        <w:t>(a)</w:t>
      </w:r>
      <w:r>
        <w:rPr>
          <w:sz w:val="24"/>
          <w:szCs w:val="24"/>
        </w:rPr>
        <w:tab/>
      </w:r>
      <w:r w:rsidR="002E5ABB">
        <w:rPr>
          <w:sz w:val="24"/>
          <w:szCs w:val="24"/>
        </w:rPr>
        <w:t>No more than _______ Ex Officio Commissioners may serve at any time</w:t>
      </w:r>
      <w:r w:rsidR="00FC2143">
        <w:rPr>
          <w:sz w:val="24"/>
          <w:szCs w:val="24"/>
        </w:rPr>
        <w:t xml:space="preserve">. </w:t>
      </w:r>
    </w:p>
    <w:p w:rsidR="00FD2218" w:rsidRDefault="00C23498" w:rsidP="00424F3A">
      <w:pPr>
        <w:ind w:firstLine="1440"/>
        <w:jc w:val="both"/>
        <w:rPr>
          <w:sz w:val="24"/>
          <w:szCs w:val="24"/>
        </w:rPr>
      </w:pPr>
      <w:r>
        <w:rPr>
          <w:sz w:val="24"/>
          <w:szCs w:val="24"/>
        </w:rPr>
        <w:t>(</w:t>
      </w:r>
      <w:r w:rsidR="002E1829">
        <w:rPr>
          <w:sz w:val="24"/>
          <w:szCs w:val="24"/>
        </w:rPr>
        <w:t>b</w:t>
      </w:r>
      <w:r>
        <w:rPr>
          <w:sz w:val="24"/>
          <w:szCs w:val="24"/>
        </w:rPr>
        <w:t>)</w:t>
      </w:r>
      <w:r>
        <w:rPr>
          <w:sz w:val="24"/>
          <w:szCs w:val="24"/>
        </w:rPr>
        <w:tab/>
      </w:r>
      <w:r w:rsidR="00FC2143">
        <w:rPr>
          <w:sz w:val="24"/>
          <w:szCs w:val="24"/>
        </w:rPr>
        <w:t xml:space="preserve">The term of service of an Ex Officio Commissioner shall be the lesser of _____ years or as specified in the appointing resolution; provided that </w:t>
      </w:r>
      <w:r w:rsidR="001A2C33">
        <w:rPr>
          <w:sz w:val="24"/>
          <w:szCs w:val="24"/>
        </w:rPr>
        <w:t xml:space="preserve">an </w:t>
      </w:r>
      <w:r w:rsidR="00FC2143">
        <w:rPr>
          <w:sz w:val="24"/>
          <w:szCs w:val="24"/>
        </w:rPr>
        <w:t>Ex Officio Commissioner may be freely re-appointed by Board resolution from time to time.</w:t>
      </w:r>
    </w:p>
    <w:p w:rsidR="00A81EAA" w:rsidRDefault="00FD2218" w:rsidP="00424F3A">
      <w:pPr>
        <w:ind w:firstLine="1440"/>
        <w:jc w:val="both"/>
        <w:rPr>
          <w:sz w:val="24"/>
          <w:szCs w:val="24"/>
        </w:rPr>
      </w:pPr>
      <w:r>
        <w:rPr>
          <w:sz w:val="24"/>
          <w:szCs w:val="24"/>
        </w:rPr>
        <w:t>(c)</w:t>
      </w:r>
      <w:r>
        <w:rPr>
          <w:sz w:val="24"/>
          <w:szCs w:val="24"/>
        </w:rPr>
        <w:tab/>
        <w:t xml:space="preserve">An Ex Officio Commissioner may be removed at any time upon majority vote of </w:t>
      </w:r>
      <w:r w:rsidR="00C12077">
        <w:rPr>
          <w:sz w:val="24"/>
          <w:szCs w:val="24"/>
        </w:rPr>
        <w:t xml:space="preserve">all of the Member Commissioners then serving on </w:t>
      </w:r>
      <w:r>
        <w:rPr>
          <w:sz w:val="24"/>
          <w:szCs w:val="24"/>
        </w:rPr>
        <w:t>the Board.</w:t>
      </w:r>
      <w:r w:rsidR="00FC2143">
        <w:rPr>
          <w:sz w:val="24"/>
          <w:szCs w:val="24"/>
        </w:rPr>
        <w:t xml:space="preserve"> </w:t>
      </w:r>
      <w:r w:rsidR="00A81EAA">
        <w:rPr>
          <w:sz w:val="24"/>
          <w:szCs w:val="24"/>
        </w:rPr>
        <w:t xml:space="preserve"> </w:t>
      </w:r>
    </w:p>
    <w:p w:rsidR="00D34CCC" w:rsidRPr="008E5A97" w:rsidRDefault="00D34CCC" w:rsidP="00424F3A">
      <w:pPr>
        <w:spacing w:after="120" w:line="240" w:lineRule="auto"/>
        <w:jc w:val="both"/>
        <w:rPr>
          <w:sz w:val="24"/>
          <w:szCs w:val="24"/>
        </w:rPr>
      </w:pPr>
      <w:r>
        <w:rPr>
          <w:sz w:val="24"/>
          <w:szCs w:val="24"/>
        </w:rPr>
        <w:tab/>
        <w:t>(3)</w:t>
      </w:r>
      <w:r>
        <w:rPr>
          <w:sz w:val="24"/>
          <w:szCs w:val="24"/>
        </w:rPr>
        <w:tab/>
      </w:r>
      <w:r w:rsidRPr="00000159">
        <w:rPr>
          <w:i/>
          <w:iCs/>
          <w:sz w:val="24"/>
          <w:szCs w:val="24"/>
          <w:u w:val="single"/>
        </w:rPr>
        <w:t>Compensation and Expenses of Commissioners</w:t>
      </w:r>
      <w:r w:rsidRPr="008E5A97">
        <w:rPr>
          <w:sz w:val="24"/>
          <w:szCs w:val="24"/>
        </w:rPr>
        <w:t>. Commissioners may not receive compensation or benefits for their service on the Board, but may receive per diem and reimbursement for travel expenses incurred as a Board member at the rates established by the State of Utah, Division of Finance.</w:t>
      </w:r>
    </w:p>
    <w:p w:rsidR="00D34CCC" w:rsidRPr="008E5A97" w:rsidRDefault="00D34CCC" w:rsidP="00424F3A">
      <w:pPr>
        <w:jc w:val="both"/>
        <w:rPr>
          <w:sz w:val="24"/>
          <w:szCs w:val="24"/>
        </w:rPr>
      </w:pPr>
      <w:r>
        <w:rPr>
          <w:sz w:val="24"/>
          <w:szCs w:val="24"/>
        </w:rPr>
        <w:lastRenderedPageBreak/>
        <w:tab/>
        <w:t>(</w:t>
      </w:r>
      <w:r w:rsidR="002E1829">
        <w:rPr>
          <w:sz w:val="24"/>
          <w:szCs w:val="24"/>
        </w:rPr>
        <w:t>4</w:t>
      </w:r>
      <w:r w:rsidRPr="008E5A97">
        <w:rPr>
          <w:sz w:val="24"/>
          <w:szCs w:val="24"/>
        </w:rPr>
        <w:t>)</w:t>
      </w:r>
      <w:r w:rsidRPr="008E5A97">
        <w:rPr>
          <w:sz w:val="24"/>
          <w:szCs w:val="24"/>
        </w:rPr>
        <w:tab/>
      </w:r>
      <w:r w:rsidRPr="00000159">
        <w:rPr>
          <w:i/>
          <w:iCs/>
          <w:sz w:val="24"/>
          <w:szCs w:val="24"/>
          <w:u w:val="single"/>
        </w:rPr>
        <w:t>Open Meetings Act</w:t>
      </w:r>
      <w:r w:rsidRPr="008E5A97">
        <w:rPr>
          <w:sz w:val="24"/>
          <w:szCs w:val="24"/>
        </w:rPr>
        <w:t>. Board meetings are subject to the Utah Open and Public Meetings Act</w:t>
      </w:r>
      <w:r w:rsidR="002E1829">
        <w:rPr>
          <w:sz w:val="24"/>
          <w:szCs w:val="24"/>
        </w:rPr>
        <w:t xml:space="preserve">, </w:t>
      </w:r>
      <w:r w:rsidR="002E1829" w:rsidRPr="00424F3A">
        <w:rPr>
          <w:smallCaps/>
          <w:sz w:val="24"/>
          <w:szCs w:val="24"/>
        </w:rPr>
        <w:t>Utah Code Ann.</w:t>
      </w:r>
      <w:r w:rsidR="002E1829">
        <w:rPr>
          <w:sz w:val="24"/>
          <w:szCs w:val="24"/>
        </w:rPr>
        <w:t xml:space="preserve"> 52-</w:t>
      </w:r>
      <w:r w:rsidR="00FD2218">
        <w:rPr>
          <w:sz w:val="24"/>
          <w:szCs w:val="24"/>
        </w:rPr>
        <w:t>4</w:t>
      </w:r>
      <w:r w:rsidR="002E1829">
        <w:rPr>
          <w:sz w:val="24"/>
          <w:szCs w:val="24"/>
        </w:rPr>
        <w:t>-101 et seq</w:t>
      </w:r>
      <w:r w:rsidRPr="008E5A97">
        <w:rPr>
          <w:sz w:val="24"/>
          <w:szCs w:val="24"/>
        </w:rPr>
        <w:t xml:space="preserve">. </w:t>
      </w:r>
      <w:r w:rsidR="00C12077">
        <w:rPr>
          <w:sz w:val="24"/>
          <w:szCs w:val="24"/>
        </w:rPr>
        <w:t xml:space="preserve">(the “Open Meetings Act”). </w:t>
      </w:r>
      <w:r w:rsidR="002E1829">
        <w:rPr>
          <w:sz w:val="24"/>
          <w:szCs w:val="24"/>
        </w:rPr>
        <w:t xml:space="preserve">An Ex Officio Commissioner’s presence in or absence from a meeting of the Board or any other CWC public body shall not contribute—for or against—to the existence of a quorum of the Board or such body under </w:t>
      </w:r>
      <w:r w:rsidR="00FD2218">
        <w:rPr>
          <w:sz w:val="24"/>
          <w:szCs w:val="24"/>
        </w:rPr>
        <w:t>any</w:t>
      </w:r>
      <w:r w:rsidR="002E1829">
        <w:rPr>
          <w:sz w:val="24"/>
          <w:szCs w:val="24"/>
        </w:rPr>
        <w:t xml:space="preserve"> applicable law.</w:t>
      </w:r>
      <w:r w:rsidR="002E1829">
        <w:rPr>
          <w:sz w:val="24"/>
          <w:szCs w:val="24"/>
        </w:rPr>
        <w:tab/>
      </w:r>
    </w:p>
    <w:p w:rsidR="00D34CCC" w:rsidRPr="008E5A97" w:rsidRDefault="00D34CCC" w:rsidP="00D34CCC">
      <w:pPr>
        <w:spacing w:after="120" w:line="240" w:lineRule="auto"/>
        <w:jc w:val="both"/>
        <w:rPr>
          <w:b/>
          <w:sz w:val="24"/>
          <w:szCs w:val="24"/>
        </w:rPr>
      </w:pPr>
      <w:r w:rsidRPr="00000159">
        <w:rPr>
          <w:b/>
          <w:bCs/>
          <w:sz w:val="24"/>
          <w:szCs w:val="24"/>
        </w:rPr>
        <w:t>C.</w:t>
      </w:r>
      <w:r w:rsidRPr="008E5A97">
        <w:rPr>
          <w:sz w:val="24"/>
          <w:szCs w:val="24"/>
        </w:rPr>
        <w:t xml:space="preserve">    </w:t>
      </w:r>
      <w:r w:rsidRPr="008E5A97">
        <w:rPr>
          <w:sz w:val="24"/>
          <w:szCs w:val="24"/>
        </w:rPr>
        <w:tab/>
      </w:r>
      <w:r w:rsidRPr="00000159">
        <w:rPr>
          <w:b/>
          <w:bCs/>
          <w:sz w:val="24"/>
          <w:szCs w:val="24"/>
          <w:u w:val="single"/>
        </w:rPr>
        <w:t>Officers</w:t>
      </w:r>
      <w:r w:rsidRPr="00000159">
        <w:rPr>
          <w:b/>
          <w:bCs/>
          <w:sz w:val="24"/>
          <w:szCs w:val="24"/>
        </w:rPr>
        <w:t xml:space="preserve">. </w:t>
      </w:r>
      <w:r w:rsidRPr="008E5A97">
        <w:rPr>
          <w:sz w:val="24"/>
          <w:szCs w:val="24"/>
        </w:rPr>
        <w:t xml:space="preserve">Bi-annually, the Commissioners shall elect from </w:t>
      </w:r>
      <w:r w:rsidR="00FD2218">
        <w:rPr>
          <w:sz w:val="24"/>
          <w:szCs w:val="24"/>
        </w:rPr>
        <w:t xml:space="preserve">among the Member Commissioners </w:t>
      </w:r>
      <w:r w:rsidRPr="008E5A97">
        <w:rPr>
          <w:sz w:val="24"/>
          <w:szCs w:val="24"/>
        </w:rPr>
        <w:t xml:space="preserve">a Chair, a Co-Chair, a Secretary and a Treasurer.    </w:t>
      </w:r>
    </w:p>
    <w:p w:rsidR="00D34CCC" w:rsidRPr="008E5A97" w:rsidRDefault="00D34CCC" w:rsidP="00D34CCC">
      <w:pPr>
        <w:spacing w:after="120" w:line="240" w:lineRule="auto"/>
        <w:jc w:val="both"/>
        <w:rPr>
          <w:sz w:val="24"/>
          <w:szCs w:val="24"/>
        </w:rPr>
      </w:pPr>
      <w:r w:rsidRPr="00000159">
        <w:rPr>
          <w:b/>
          <w:bCs/>
          <w:sz w:val="24"/>
          <w:szCs w:val="24"/>
        </w:rPr>
        <w:t>D.</w:t>
      </w:r>
      <w:r w:rsidRPr="008E5A97">
        <w:rPr>
          <w:sz w:val="24"/>
          <w:szCs w:val="24"/>
        </w:rPr>
        <w:tab/>
      </w:r>
      <w:r w:rsidRPr="00000159">
        <w:rPr>
          <w:b/>
          <w:bCs/>
          <w:sz w:val="24"/>
          <w:szCs w:val="24"/>
          <w:u w:val="single"/>
        </w:rPr>
        <w:t>Voting</w:t>
      </w:r>
      <w:r w:rsidRPr="00000159">
        <w:rPr>
          <w:b/>
          <w:bCs/>
          <w:sz w:val="24"/>
          <w:szCs w:val="24"/>
        </w:rPr>
        <w:t>.</w:t>
      </w:r>
      <w:r w:rsidRPr="008E5A97">
        <w:rPr>
          <w:sz w:val="24"/>
          <w:szCs w:val="24"/>
        </w:rPr>
        <w:t xml:space="preserve">  </w:t>
      </w:r>
    </w:p>
    <w:p w:rsidR="00D34CCC" w:rsidRPr="008E5A97" w:rsidRDefault="00D34CCC" w:rsidP="00D34CCC">
      <w:pPr>
        <w:spacing w:after="120" w:line="240" w:lineRule="auto"/>
        <w:ind w:firstLine="720"/>
        <w:jc w:val="both"/>
        <w:rPr>
          <w:sz w:val="24"/>
          <w:szCs w:val="24"/>
        </w:rPr>
      </w:pPr>
      <w:r w:rsidRPr="008E5A97">
        <w:rPr>
          <w:sz w:val="24"/>
          <w:szCs w:val="24"/>
        </w:rPr>
        <w:t>(1)</w:t>
      </w:r>
      <w:r w:rsidRPr="008E5A97">
        <w:rPr>
          <w:sz w:val="24"/>
          <w:szCs w:val="24"/>
        </w:rPr>
        <w:tab/>
        <w:t xml:space="preserve">A </w:t>
      </w:r>
      <w:r w:rsidR="00C12077">
        <w:rPr>
          <w:sz w:val="24"/>
          <w:szCs w:val="24"/>
        </w:rPr>
        <w:t xml:space="preserve">Member </w:t>
      </w:r>
      <w:r w:rsidRPr="008E5A97">
        <w:rPr>
          <w:sz w:val="24"/>
          <w:szCs w:val="24"/>
        </w:rPr>
        <w:t xml:space="preserve">Commissioner may not delegate the right to vote on Commission matters to any designee; provided, however, that a </w:t>
      </w:r>
      <w:r w:rsidR="00C12077">
        <w:rPr>
          <w:sz w:val="24"/>
          <w:szCs w:val="24"/>
        </w:rPr>
        <w:t xml:space="preserve">Member </w:t>
      </w:r>
      <w:r w:rsidRPr="008E5A97">
        <w:rPr>
          <w:sz w:val="24"/>
          <w:szCs w:val="24"/>
        </w:rPr>
        <w:t>Commissioner may send a non-voting designee to Commission meetings for the purpose of gathering information for and expressing the viewpoint of the design</w:t>
      </w:r>
      <w:bookmarkStart w:id="0" w:name="_GoBack"/>
      <w:bookmarkEnd w:id="0"/>
      <w:r w:rsidRPr="008E5A97">
        <w:rPr>
          <w:sz w:val="24"/>
          <w:szCs w:val="24"/>
        </w:rPr>
        <w:t xml:space="preserve">ee’s </w:t>
      </w:r>
      <w:r w:rsidR="00C12077">
        <w:rPr>
          <w:sz w:val="24"/>
          <w:szCs w:val="24"/>
        </w:rPr>
        <w:t xml:space="preserve">Member </w:t>
      </w:r>
      <w:r w:rsidRPr="008E5A97">
        <w:rPr>
          <w:sz w:val="24"/>
          <w:szCs w:val="24"/>
        </w:rPr>
        <w:t xml:space="preserve">Commissioner. </w:t>
      </w:r>
      <w:r>
        <w:rPr>
          <w:sz w:val="24"/>
          <w:szCs w:val="24"/>
        </w:rPr>
        <w:t>The Board shall, however, adopt a written protocol for electronic meetings as authorized in the Open Meetings Act.</w:t>
      </w:r>
    </w:p>
    <w:p w:rsidR="00516A31" w:rsidRDefault="00D34CCC" w:rsidP="00FD432A">
      <w:pPr>
        <w:ind w:firstLine="720"/>
        <w:jc w:val="both"/>
        <w:rPr>
          <w:sz w:val="24"/>
          <w:szCs w:val="24"/>
        </w:rPr>
      </w:pPr>
      <w:r w:rsidRPr="008E5A97">
        <w:rPr>
          <w:sz w:val="24"/>
          <w:szCs w:val="24"/>
        </w:rPr>
        <w:t>(2)</w:t>
      </w:r>
      <w:r w:rsidRPr="008E5A97">
        <w:rPr>
          <w:sz w:val="24"/>
          <w:szCs w:val="24"/>
        </w:rPr>
        <w:tab/>
      </w:r>
      <w:r w:rsidR="00FD432A">
        <w:rPr>
          <w:sz w:val="24"/>
          <w:szCs w:val="24"/>
        </w:rPr>
        <w:t>A</w:t>
      </w:r>
      <w:r w:rsidRPr="008E5A97">
        <w:rPr>
          <w:sz w:val="24"/>
          <w:szCs w:val="24"/>
        </w:rPr>
        <w:t xml:space="preserve">ll actions of the Commission require approval of at least </w:t>
      </w:r>
      <w:r w:rsidR="00FD432A">
        <w:rPr>
          <w:sz w:val="24"/>
          <w:szCs w:val="24"/>
        </w:rPr>
        <w:t xml:space="preserve">a </w:t>
      </w:r>
      <w:r w:rsidRPr="008E5A97">
        <w:rPr>
          <w:sz w:val="24"/>
          <w:szCs w:val="24"/>
        </w:rPr>
        <w:t xml:space="preserve">majority vote of all </w:t>
      </w:r>
      <w:r w:rsidR="00C12077">
        <w:rPr>
          <w:sz w:val="24"/>
          <w:szCs w:val="24"/>
        </w:rPr>
        <w:t xml:space="preserve">Member </w:t>
      </w:r>
      <w:r w:rsidRPr="008E5A97">
        <w:rPr>
          <w:sz w:val="24"/>
          <w:szCs w:val="24"/>
        </w:rPr>
        <w:t>Commissioners then serving on the Board.</w:t>
      </w:r>
    </w:p>
    <w:p w:rsidR="00FD2218" w:rsidRDefault="00FD2218" w:rsidP="00FD432A">
      <w:pPr>
        <w:ind w:firstLine="720"/>
        <w:jc w:val="both"/>
      </w:pPr>
      <w:r>
        <w:rPr>
          <w:sz w:val="24"/>
          <w:szCs w:val="24"/>
        </w:rPr>
        <w:t>(3)</w:t>
      </w:r>
      <w:r>
        <w:rPr>
          <w:sz w:val="24"/>
          <w:szCs w:val="24"/>
        </w:rPr>
        <w:tab/>
        <w:t>Ex Officio Commissioners may not vote on any Commission matters.</w:t>
      </w:r>
    </w:p>
    <w:sectPr w:rsidR="00FD22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3506F"/>
    <w:multiLevelType w:val="hybridMultilevel"/>
    <w:tmpl w:val="8A90489E"/>
    <w:lvl w:ilvl="0" w:tplc="F4BC80CC">
      <w:start w:val="1"/>
      <w:numFmt w:val="lowerRoman"/>
      <w:lvlText w:val="(%1)"/>
      <w:lvlJc w:val="left"/>
      <w:pPr>
        <w:ind w:left="3030" w:hanging="720"/>
      </w:pPr>
      <w:rPr>
        <w:rFonts w:hint="default"/>
      </w:rPr>
    </w:lvl>
    <w:lvl w:ilvl="1" w:tplc="04090019" w:tentative="1">
      <w:start w:val="1"/>
      <w:numFmt w:val="lowerLetter"/>
      <w:lvlText w:val="%2."/>
      <w:lvlJc w:val="left"/>
      <w:pPr>
        <w:ind w:left="3390" w:hanging="360"/>
      </w:pPr>
    </w:lvl>
    <w:lvl w:ilvl="2" w:tplc="0409001B" w:tentative="1">
      <w:start w:val="1"/>
      <w:numFmt w:val="lowerRoman"/>
      <w:lvlText w:val="%3."/>
      <w:lvlJc w:val="right"/>
      <w:pPr>
        <w:ind w:left="4110" w:hanging="180"/>
      </w:pPr>
    </w:lvl>
    <w:lvl w:ilvl="3" w:tplc="0409000F" w:tentative="1">
      <w:start w:val="1"/>
      <w:numFmt w:val="decimal"/>
      <w:lvlText w:val="%4."/>
      <w:lvlJc w:val="left"/>
      <w:pPr>
        <w:ind w:left="4830" w:hanging="360"/>
      </w:pPr>
    </w:lvl>
    <w:lvl w:ilvl="4" w:tplc="04090019" w:tentative="1">
      <w:start w:val="1"/>
      <w:numFmt w:val="lowerLetter"/>
      <w:lvlText w:val="%5."/>
      <w:lvlJc w:val="left"/>
      <w:pPr>
        <w:ind w:left="5550" w:hanging="360"/>
      </w:pPr>
    </w:lvl>
    <w:lvl w:ilvl="5" w:tplc="0409001B" w:tentative="1">
      <w:start w:val="1"/>
      <w:numFmt w:val="lowerRoman"/>
      <w:lvlText w:val="%6."/>
      <w:lvlJc w:val="right"/>
      <w:pPr>
        <w:ind w:left="6270" w:hanging="180"/>
      </w:pPr>
    </w:lvl>
    <w:lvl w:ilvl="6" w:tplc="0409000F" w:tentative="1">
      <w:start w:val="1"/>
      <w:numFmt w:val="decimal"/>
      <w:lvlText w:val="%7."/>
      <w:lvlJc w:val="left"/>
      <w:pPr>
        <w:ind w:left="6990" w:hanging="360"/>
      </w:pPr>
    </w:lvl>
    <w:lvl w:ilvl="7" w:tplc="04090019" w:tentative="1">
      <w:start w:val="1"/>
      <w:numFmt w:val="lowerLetter"/>
      <w:lvlText w:val="%8."/>
      <w:lvlJc w:val="left"/>
      <w:pPr>
        <w:ind w:left="7710" w:hanging="360"/>
      </w:pPr>
    </w:lvl>
    <w:lvl w:ilvl="8" w:tplc="0409001B" w:tentative="1">
      <w:start w:val="1"/>
      <w:numFmt w:val="lowerRoman"/>
      <w:lvlText w:val="%9."/>
      <w:lvlJc w:val="right"/>
      <w:pPr>
        <w:ind w:left="8430" w:hanging="180"/>
      </w:pPr>
    </w:lvl>
  </w:abstractNum>
  <w:abstractNum w:abstractNumId="1" w15:restartNumberingAfterBreak="0">
    <w:nsid w:val="43816E8C"/>
    <w:multiLevelType w:val="hybridMultilevel"/>
    <w:tmpl w:val="C44E5A5A"/>
    <w:lvl w:ilvl="0" w:tplc="3DB4B6F0">
      <w:start w:val="1"/>
      <w:numFmt w:val="lowerLetter"/>
      <w:lvlText w:val="(%1)"/>
      <w:lvlJc w:val="left"/>
      <w:pPr>
        <w:ind w:left="1950" w:hanging="360"/>
      </w:pPr>
      <w:rPr>
        <w:rFonts w:hint="default"/>
      </w:rPr>
    </w:lvl>
    <w:lvl w:ilvl="1" w:tplc="04090019" w:tentative="1">
      <w:start w:val="1"/>
      <w:numFmt w:val="lowerLetter"/>
      <w:lvlText w:val="%2."/>
      <w:lvlJc w:val="left"/>
      <w:pPr>
        <w:ind w:left="2670" w:hanging="360"/>
      </w:pPr>
    </w:lvl>
    <w:lvl w:ilvl="2" w:tplc="0409001B" w:tentative="1">
      <w:start w:val="1"/>
      <w:numFmt w:val="lowerRoman"/>
      <w:lvlText w:val="%3."/>
      <w:lvlJc w:val="right"/>
      <w:pPr>
        <w:ind w:left="3390" w:hanging="180"/>
      </w:pPr>
    </w:lvl>
    <w:lvl w:ilvl="3" w:tplc="0409000F" w:tentative="1">
      <w:start w:val="1"/>
      <w:numFmt w:val="decimal"/>
      <w:lvlText w:val="%4."/>
      <w:lvlJc w:val="left"/>
      <w:pPr>
        <w:ind w:left="4110" w:hanging="360"/>
      </w:pPr>
    </w:lvl>
    <w:lvl w:ilvl="4" w:tplc="04090019" w:tentative="1">
      <w:start w:val="1"/>
      <w:numFmt w:val="lowerLetter"/>
      <w:lvlText w:val="%5."/>
      <w:lvlJc w:val="left"/>
      <w:pPr>
        <w:ind w:left="4830" w:hanging="360"/>
      </w:pPr>
    </w:lvl>
    <w:lvl w:ilvl="5" w:tplc="0409001B" w:tentative="1">
      <w:start w:val="1"/>
      <w:numFmt w:val="lowerRoman"/>
      <w:lvlText w:val="%6."/>
      <w:lvlJc w:val="right"/>
      <w:pPr>
        <w:ind w:left="5550" w:hanging="180"/>
      </w:pPr>
    </w:lvl>
    <w:lvl w:ilvl="6" w:tplc="0409000F" w:tentative="1">
      <w:start w:val="1"/>
      <w:numFmt w:val="decimal"/>
      <w:lvlText w:val="%7."/>
      <w:lvlJc w:val="left"/>
      <w:pPr>
        <w:ind w:left="6270" w:hanging="360"/>
      </w:pPr>
    </w:lvl>
    <w:lvl w:ilvl="7" w:tplc="04090019" w:tentative="1">
      <w:start w:val="1"/>
      <w:numFmt w:val="lowerLetter"/>
      <w:lvlText w:val="%8."/>
      <w:lvlJc w:val="left"/>
      <w:pPr>
        <w:ind w:left="6990" w:hanging="360"/>
      </w:pPr>
    </w:lvl>
    <w:lvl w:ilvl="8" w:tplc="0409001B" w:tentative="1">
      <w:start w:val="1"/>
      <w:numFmt w:val="lowerRoman"/>
      <w:lvlText w:val="%9."/>
      <w:lvlJc w:val="right"/>
      <w:pPr>
        <w:ind w:left="7710" w:hanging="180"/>
      </w:pPr>
    </w:lvl>
  </w:abstractNum>
  <w:abstractNum w:abstractNumId="2" w15:restartNumberingAfterBreak="0">
    <w:nsid w:val="66440FFF"/>
    <w:multiLevelType w:val="hybridMultilevel"/>
    <w:tmpl w:val="9D5A19B4"/>
    <w:lvl w:ilvl="0" w:tplc="C494F0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7A462144"/>
    <w:multiLevelType w:val="hybridMultilevel"/>
    <w:tmpl w:val="EC8ECA7A"/>
    <w:lvl w:ilvl="0" w:tplc="4580BD84">
      <w:start w:val="3"/>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CCC"/>
    <w:rsid w:val="00085FD5"/>
    <w:rsid w:val="00086B39"/>
    <w:rsid w:val="001A2C33"/>
    <w:rsid w:val="001D7023"/>
    <w:rsid w:val="002E1829"/>
    <w:rsid w:val="002E5ABB"/>
    <w:rsid w:val="00381A5A"/>
    <w:rsid w:val="00424F3A"/>
    <w:rsid w:val="00433507"/>
    <w:rsid w:val="004409EA"/>
    <w:rsid w:val="004904D0"/>
    <w:rsid w:val="00494F22"/>
    <w:rsid w:val="004D4305"/>
    <w:rsid w:val="00516A31"/>
    <w:rsid w:val="006013C3"/>
    <w:rsid w:val="0062022C"/>
    <w:rsid w:val="007003D9"/>
    <w:rsid w:val="007A6490"/>
    <w:rsid w:val="007D0125"/>
    <w:rsid w:val="008B7363"/>
    <w:rsid w:val="008D7FDD"/>
    <w:rsid w:val="00984391"/>
    <w:rsid w:val="00A81EAA"/>
    <w:rsid w:val="00AF34AF"/>
    <w:rsid w:val="00B37D0C"/>
    <w:rsid w:val="00B814C1"/>
    <w:rsid w:val="00C12077"/>
    <w:rsid w:val="00C23498"/>
    <w:rsid w:val="00C931AD"/>
    <w:rsid w:val="00CA6EE0"/>
    <w:rsid w:val="00D34CCC"/>
    <w:rsid w:val="00D632E8"/>
    <w:rsid w:val="00FC2143"/>
    <w:rsid w:val="00FD2218"/>
    <w:rsid w:val="00FD4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B99BC"/>
  <w15:chartTrackingRefBased/>
  <w15:docId w15:val="{6F54D506-7E0E-4B9B-BDE5-E559165CB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CCC"/>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CCC"/>
    <w:pPr>
      <w:ind w:left="720"/>
      <w:contextualSpacing/>
    </w:pPr>
  </w:style>
  <w:style w:type="paragraph" w:styleId="CommentText">
    <w:name w:val="annotation text"/>
    <w:basedOn w:val="Normal"/>
    <w:link w:val="CommentTextChar"/>
    <w:uiPriority w:val="99"/>
    <w:unhideWhenUsed/>
    <w:rsid w:val="00D34CCC"/>
    <w:pPr>
      <w:spacing w:line="240" w:lineRule="auto"/>
    </w:pPr>
    <w:rPr>
      <w:sz w:val="20"/>
      <w:szCs w:val="20"/>
    </w:rPr>
  </w:style>
  <w:style w:type="character" w:customStyle="1" w:styleId="CommentTextChar">
    <w:name w:val="Comment Text Char"/>
    <w:basedOn w:val="DefaultParagraphFont"/>
    <w:link w:val="CommentText"/>
    <w:uiPriority w:val="99"/>
    <w:rsid w:val="00D34CCC"/>
    <w:rPr>
      <w:rFonts w:asciiTheme="minorHAnsi" w:hAnsiTheme="minorHAnsi"/>
      <w:sz w:val="20"/>
      <w:szCs w:val="20"/>
    </w:rPr>
  </w:style>
  <w:style w:type="paragraph" w:styleId="NormalWeb">
    <w:name w:val="Normal (Web)"/>
    <w:basedOn w:val="Normal"/>
    <w:uiPriority w:val="99"/>
    <w:unhideWhenUsed/>
    <w:rsid w:val="00D34CCC"/>
    <w:pPr>
      <w:spacing w:before="100" w:beforeAutospacing="1" w:after="100" w:afterAutospacing="1" w:line="240" w:lineRule="auto"/>
    </w:pPr>
    <w:rPr>
      <w:rFonts w:ascii="Times" w:hAnsi="Times" w:cs="Times New Roman"/>
      <w:sz w:val="20"/>
      <w:szCs w:val="20"/>
    </w:rPr>
  </w:style>
  <w:style w:type="paragraph" w:styleId="BalloonText">
    <w:name w:val="Balloon Text"/>
    <w:basedOn w:val="Normal"/>
    <w:link w:val="BalloonTextChar"/>
    <w:uiPriority w:val="99"/>
    <w:semiHidden/>
    <w:unhideWhenUsed/>
    <w:rsid w:val="00984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3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902</Words>
  <Characters>5146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JW</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Topham</dc:creator>
  <cp:keywords/>
  <dc:description/>
  <cp:lastModifiedBy>Shane Topham</cp:lastModifiedBy>
  <cp:revision>2</cp:revision>
  <cp:lastPrinted>2020-01-28T00:49:00Z</cp:lastPrinted>
  <dcterms:created xsi:type="dcterms:W3CDTF">2020-01-28T00:50:00Z</dcterms:created>
  <dcterms:modified xsi:type="dcterms:W3CDTF">2020-01-28T00:50:00Z</dcterms:modified>
</cp:coreProperties>
</file>