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5A1D7" w14:textId="77777777" w:rsidR="00CA3973" w:rsidRPr="00442822" w:rsidRDefault="00CA3973" w:rsidP="00CA3973">
      <w:pPr>
        <w:jc w:val="center"/>
        <w:rPr>
          <w:rFonts w:eastAsia="MS Mincho"/>
          <w:b/>
        </w:rPr>
      </w:pPr>
      <w:r w:rsidRPr="00442822">
        <w:rPr>
          <w:rFonts w:eastAsia="MS Mincho"/>
          <w:b/>
        </w:rPr>
        <w:t>VIRGIN TOWN</w:t>
      </w:r>
    </w:p>
    <w:p w14:paraId="190EAC2B" w14:textId="77777777" w:rsidR="00CA3973" w:rsidRPr="00442822" w:rsidRDefault="00CA3973" w:rsidP="00CA3973">
      <w:pPr>
        <w:jc w:val="center"/>
        <w:rPr>
          <w:rFonts w:eastAsia="MS Mincho"/>
          <w:b/>
          <w:u w:val="single"/>
        </w:rPr>
      </w:pPr>
    </w:p>
    <w:p w14:paraId="62EFB939" w14:textId="4BF640C4" w:rsidR="00CA3973" w:rsidRPr="00442822" w:rsidRDefault="00CA3973" w:rsidP="00CA3973">
      <w:pPr>
        <w:jc w:val="center"/>
        <w:rPr>
          <w:rFonts w:eastAsia="MS Mincho"/>
          <w:b/>
        </w:rPr>
      </w:pPr>
      <w:r w:rsidRPr="00442822">
        <w:rPr>
          <w:rFonts w:eastAsia="MS Mincho"/>
          <w:b/>
        </w:rPr>
        <w:t xml:space="preserve">ORDINANCE # </w:t>
      </w:r>
      <w:r w:rsidR="001A6BFE" w:rsidRPr="00442822">
        <w:rPr>
          <w:rFonts w:eastAsia="MS Mincho"/>
          <w:b/>
        </w:rPr>
        <w:t>201</w:t>
      </w:r>
      <w:r w:rsidR="003C780D" w:rsidRPr="00442822">
        <w:rPr>
          <w:rFonts w:eastAsia="MS Mincho"/>
          <w:b/>
        </w:rPr>
        <w:t>9</w:t>
      </w:r>
      <w:r w:rsidR="001A6BFE" w:rsidRPr="00442822">
        <w:rPr>
          <w:rFonts w:eastAsia="MS Mincho"/>
          <w:b/>
        </w:rPr>
        <w:t>-</w:t>
      </w:r>
      <w:r w:rsidR="00740DA8" w:rsidRPr="00442822">
        <w:rPr>
          <w:rFonts w:eastAsia="MS Mincho"/>
          <w:b/>
        </w:rPr>
        <w:t>27</w:t>
      </w:r>
    </w:p>
    <w:p w14:paraId="21A1A41D" w14:textId="77777777" w:rsidR="00CA3973" w:rsidRPr="00442822" w:rsidRDefault="00CA3973" w:rsidP="00CA3973">
      <w:pPr>
        <w:widowControl w:val="0"/>
        <w:autoSpaceDE w:val="0"/>
        <w:autoSpaceDN w:val="0"/>
        <w:adjustRightInd w:val="0"/>
        <w:spacing w:line="100" w:lineRule="atLeast"/>
        <w:jc w:val="both"/>
        <w:rPr>
          <w:b/>
          <w:bCs/>
        </w:rPr>
      </w:pPr>
    </w:p>
    <w:p w14:paraId="5121AF4C" w14:textId="7819CD3E" w:rsidR="00CA3973" w:rsidRPr="00B817E8" w:rsidRDefault="005E3F2F" w:rsidP="00740DA8">
      <w:pPr>
        <w:ind w:left="-5" w:firstLine="5"/>
        <w:rPr>
          <w:bCs/>
          <w:sz w:val="23"/>
          <w:szCs w:val="23"/>
        </w:rPr>
      </w:pPr>
      <w:r w:rsidRPr="00B817E8">
        <w:rPr>
          <w:bCs/>
          <w:sz w:val="23"/>
          <w:szCs w:val="23"/>
        </w:rPr>
        <w:t>AN ORDINANCE A</w:t>
      </w:r>
      <w:r w:rsidR="00C2091B" w:rsidRPr="00B817E8">
        <w:rPr>
          <w:bCs/>
          <w:sz w:val="23"/>
          <w:szCs w:val="23"/>
        </w:rPr>
        <w:t>MENDING</w:t>
      </w:r>
      <w:r w:rsidRPr="00B817E8">
        <w:rPr>
          <w:bCs/>
          <w:sz w:val="23"/>
          <w:szCs w:val="23"/>
        </w:rPr>
        <w:t xml:space="preserve"> </w:t>
      </w:r>
      <w:r w:rsidR="00740DA8" w:rsidRPr="00B817E8">
        <w:rPr>
          <w:bCs/>
          <w:sz w:val="23"/>
          <w:szCs w:val="23"/>
        </w:rPr>
        <w:t>AND RESTATING CHAPTER 5: NONCONFORMING USES AND NONCOMPLYING STRUCTURES</w:t>
      </w:r>
      <w:r w:rsidRPr="00B817E8">
        <w:rPr>
          <w:bCs/>
          <w:sz w:val="23"/>
          <w:szCs w:val="23"/>
        </w:rPr>
        <w:t xml:space="preserve"> OF THE VIRGIN UNIFORM LAND USE ORDINANCES (“VULU”) TO </w:t>
      </w:r>
      <w:r w:rsidR="00740DA8" w:rsidRPr="00B817E8">
        <w:rPr>
          <w:bCs/>
          <w:sz w:val="23"/>
          <w:szCs w:val="23"/>
        </w:rPr>
        <w:t>CLARIFY AND PROVIDE CONTINUITY THROUGHOUT</w:t>
      </w:r>
      <w:r w:rsidR="00C2091B" w:rsidRPr="00B817E8">
        <w:rPr>
          <w:bCs/>
          <w:sz w:val="23"/>
          <w:szCs w:val="23"/>
        </w:rPr>
        <w:t>.</w:t>
      </w:r>
    </w:p>
    <w:p w14:paraId="144ECA62" w14:textId="77777777" w:rsidR="00CA3973" w:rsidRPr="00B817E8" w:rsidRDefault="00CA3973" w:rsidP="00CA3973">
      <w:pPr>
        <w:widowControl w:val="0"/>
        <w:autoSpaceDE w:val="0"/>
        <w:autoSpaceDN w:val="0"/>
        <w:adjustRightInd w:val="0"/>
        <w:spacing w:line="100" w:lineRule="atLeast"/>
        <w:jc w:val="both"/>
        <w:rPr>
          <w:sz w:val="23"/>
          <w:szCs w:val="23"/>
        </w:rPr>
      </w:pPr>
    </w:p>
    <w:p w14:paraId="2DB6C7ED" w14:textId="77777777" w:rsidR="00CA3973" w:rsidRPr="00B817E8" w:rsidRDefault="00CA3973" w:rsidP="00CA3973">
      <w:pPr>
        <w:widowControl w:val="0"/>
        <w:autoSpaceDE w:val="0"/>
        <w:autoSpaceDN w:val="0"/>
        <w:adjustRightInd w:val="0"/>
        <w:spacing w:line="100" w:lineRule="atLeast"/>
        <w:jc w:val="center"/>
        <w:rPr>
          <w:b/>
          <w:bCs/>
          <w:sz w:val="23"/>
          <w:szCs w:val="23"/>
          <w:u w:val="single"/>
        </w:rPr>
      </w:pPr>
      <w:r w:rsidRPr="00B817E8">
        <w:rPr>
          <w:b/>
          <w:bCs/>
          <w:sz w:val="23"/>
          <w:szCs w:val="23"/>
          <w:u w:val="single"/>
        </w:rPr>
        <w:t>RECITALS</w:t>
      </w:r>
    </w:p>
    <w:p w14:paraId="58209D06" w14:textId="77777777" w:rsidR="00CA3973" w:rsidRPr="00B817E8" w:rsidRDefault="00CA3973" w:rsidP="00CA3973">
      <w:pPr>
        <w:widowControl w:val="0"/>
        <w:autoSpaceDE w:val="0"/>
        <w:autoSpaceDN w:val="0"/>
        <w:adjustRightInd w:val="0"/>
        <w:spacing w:line="100" w:lineRule="atLeast"/>
        <w:jc w:val="both"/>
        <w:rPr>
          <w:b/>
          <w:bCs/>
          <w:sz w:val="23"/>
          <w:szCs w:val="23"/>
          <w:u w:val="single"/>
        </w:rPr>
      </w:pPr>
    </w:p>
    <w:p w14:paraId="521D6FCA" w14:textId="24A69956" w:rsidR="005E3F2F" w:rsidRPr="00B817E8" w:rsidRDefault="00570925" w:rsidP="005E3F2F">
      <w:pPr>
        <w:rPr>
          <w:sz w:val="23"/>
          <w:szCs w:val="23"/>
        </w:rPr>
      </w:pPr>
      <w:r w:rsidRPr="00B817E8">
        <w:rPr>
          <w:b/>
          <w:sz w:val="23"/>
          <w:szCs w:val="23"/>
        </w:rPr>
        <w:tab/>
      </w:r>
      <w:r w:rsidR="005E3F2F" w:rsidRPr="00B817E8">
        <w:rPr>
          <w:b/>
          <w:sz w:val="23"/>
          <w:szCs w:val="23"/>
        </w:rPr>
        <w:t>WHEREAS,</w:t>
      </w:r>
      <w:r w:rsidR="005E3F2F" w:rsidRPr="00B817E8">
        <w:rPr>
          <w:sz w:val="23"/>
          <w:szCs w:val="23"/>
        </w:rPr>
        <w:t xml:space="preserve"> Utah Code provides for the adoption and amendment of Town land use ordinances by the Land Use Authority, which in Virgin is the “Town Council with </w:t>
      </w:r>
      <w:r w:rsidR="00C2091B" w:rsidRPr="00B817E8">
        <w:rPr>
          <w:sz w:val="23"/>
          <w:szCs w:val="23"/>
        </w:rPr>
        <w:t>r</w:t>
      </w:r>
      <w:r w:rsidR="005E3F2F" w:rsidRPr="00B817E8">
        <w:rPr>
          <w:sz w:val="23"/>
          <w:szCs w:val="23"/>
        </w:rPr>
        <w:t>ecommendation by the Planning and Zoning Commission” ; and</w:t>
      </w:r>
    </w:p>
    <w:p w14:paraId="4E566F13" w14:textId="77777777" w:rsidR="005E3F2F" w:rsidRPr="00B817E8" w:rsidRDefault="005E3F2F" w:rsidP="005E3F2F">
      <w:pPr>
        <w:rPr>
          <w:sz w:val="23"/>
          <w:szCs w:val="23"/>
        </w:rPr>
      </w:pPr>
      <w:r w:rsidRPr="00B817E8">
        <w:rPr>
          <w:sz w:val="23"/>
          <w:szCs w:val="23"/>
        </w:rPr>
        <w:t xml:space="preserve"> </w:t>
      </w:r>
    </w:p>
    <w:p w14:paraId="64F00BCF" w14:textId="09B33F5C" w:rsidR="005E3F2F" w:rsidRPr="00B817E8" w:rsidRDefault="00570925" w:rsidP="005E3F2F">
      <w:pPr>
        <w:rPr>
          <w:sz w:val="23"/>
          <w:szCs w:val="23"/>
        </w:rPr>
      </w:pPr>
      <w:r w:rsidRPr="00B817E8">
        <w:rPr>
          <w:b/>
          <w:sz w:val="23"/>
          <w:szCs w:val="23"/>
        </w:rPr>
        <w:tab/>
      </w:r>
      <w:r w:rsidR="005E3F2F" w:rsidRPr="00B817E8">
        <w:rPr>
          <w:b/>
          <w:sz w:val="23"/>
          <w:szCs w:val="23"/>
        </w:rPr>
        <w:t>WHEREAS</w:t>
      </w:r>
      <w:r w:rsidR="005E3F2F" w:rsidRPr="00B817E8">
        <w:rPr>
          <w:sz w:val="23"/>
          <w:szCs w:val="23"/>
        </w:rPr>
        <w:t xml:space="preserve">, the Virgin Land Use Authority finds that the existing Virgin Town Code (VULU) </w:t>
      </w:r>
      <w:r w:rsidR="00740DA8" w:rsidRPr="00B817E8">
        <w:rPr>
          <w:bCs/>
          <w:sz w:val="23"/>
          <w:szCs w:val="23"/>
        </w:rPr>
        <w:t>Chapter 5: Nonconforming Uses and Noncomplying Structures</w:t>
      </w:r>
      <w:r w:rsidR="00740DA8" w:rsidRPr="00B817E8">
        <w:rPr>
          <w:sz w:val="23"/>
          <w:szCs w:val="23"/>
        </w:rPr>
        <w:t xml:space="preserve">, </w:t>
      </w:r>
      <w:r w:rsidR="005E3F2F" w:rsidRPr="00B817E8">
        <w:rPr>
          <w:sz w:val="23"/>
          <w:szCs w:val="23"/>
        </w:rPr>
        <w:t>and the various sub sections found within, require updating to meet the changing needs of the town; and</w:t>
      </w:r>
    </w:p>
    <w:p w14:paraId="6801F138" w14:textId="77777777" w:rsidR="005E3F2F" w:rsidRPr="00B817E8" w:rsidRDefault="005E3F2F" w:rsidP="005E3F2F">
      <w:pPr>
        <w:rPr>
          <w:sz w:val="23"/>
          <w:szCs w:val="23"/>
        </w:rPr>
      </w:pPr>
      <w:r w:rsidRPr="00B817E8">
        <w:rPr>
          <w:sz w:val="23"/>
          <w:szCs w:val="23"/>
        </w:rPr>
        <w:t xml:space="preserve"> </w:t>
      </w:r>
    </w:p>
    <w:p w14:paraId="2D8FD633" w14:textId="66846583" w:rsidR="005E3F2F" w:rsidRPr="00B817E8" w:rsidRDefault="00570925" w:rsidP="005E3F2F">
      <w:pPr>
        <w:rPr>
          <w:sz w:val="23"/>
          <w:szCs w:val="23"/>
        </w:rPr>
      </w:pPr>
      <w:r w:rsidRPr="00B817E8">
        <w:rPr>
          <w:b/>
          <w:sz w:val="23"/>
          <w:szCs w:val="23"/>
        </w:rPr>
        <w:tab/>
      </w:r>
      <w:r w:rsidR="005E3F2F" w:rsidRPr="00B817E8">
        <w:rPr>
          <w:b/>
          <w:sz w:val="23"/>
          <w:szCs w:val="23"/>
        </w:rPr>
        <w:t>WHEREAS</w:t>
      </w:r>
      <w:r w:rsidR="005E3F2F" w:rsidRPr="00B817E8">
        <w:rPr>
          <w:sz w:val="23"/>
          <w:szCs w:val="23"/>
        </w:rPr>
        <w:t xml:space="preserve">, the Virgin Land Use Authority finds that, to accommodate the towns desire to </w:t>
      </w:r>
      <w:r w:rsidR="00740DA8" w:rsidRPr="00B817E8">
        <w:rPr>
          <w:bCs/>
          <w:sz w:val="23"/>
          <w:szCs w:val="23"/>
        </w:rPr>
        <w:t xml:space="preserve">clarify and provide continuity </w:t>
      </w:r>
      <w:r w:rsidR="005E3F2F" w:rsidRPr="00B817E8">
        <w:rPr>
          <w:sz w:val="23"/>
          <w:szCs w:val="23"/>
        </w:rPr>
        <w:t xml:space="preserve">within </w:t>
      </w:r>
      <w:r w:rsidR="00740DA8" w:rsidRPr="00B817E8">
        <w:rPr>
          <w:sz w:val="23"/>
          <w:szCs w:val="23"/>
        </w:rPr>
        <w:t>VULU</w:t>
      </w:r>
      <w:r w:rsidR="005E3F2F" w:rsidRPr="00B817E8">
        <w:rPr>
          <w:sz w:val="23"/>
          <w:szCs w:val="23"/>
        </w:rPr>
        <w:t>; and</w:t>
      </w:r>
    </w:p>
    <w:p w14:paraId="021928BD" w14:textId="77777777" w:rsidR="005E3F2F" w:rsidRPr="00B817E8" w:rsidRDefault="005E3F2F" w:rsidP="005E3F2F">
      <w:pPr>
        <w:rPr>
          <w:sz w:val="23"/>
          <w:szCs w:val="23"/>
        </w:rPr>
      </w:pPr>
      <w:r w:rsidRPr="00B817E8">
        <w:rPr>
          <w:sz w:val="23"/>
          <w:szCs w:val="23"/>
        </w:rPr>
        <w:t xml:space="preserve"> </w:t>
      </w:r>
    </w:p>
    <w:p w14:paraId="1A3C95B5" w14:textId="0D590D30" w:rsidR="005E3F2F" w:rsidRPr="00B817E8" w:rsidRDefault="00570925" w:rsidP="005E3F2F">
      <w:pPr>
        <w:rPr>
          <w:sz w:val="23"/>
          <w:szCs w:val="23"/>
        </w:rPr>
      </w:pPr>
      <w:r w:rsidRPr="00B817E8">
        <w:rPr>
          <w:b/>
          <w:sz w:val="23"/>
          <w:szCs w:val="23"/>
        </w:rPr>
        <w:tab/>
      </w:r>
      <w:r w:rsidR="005E3F2F" w:rsidRPr="00B817E8">
        <w:rPr>
          <w:b/>
          <w:sz w:val="23"/>
          <w:szCs w:val="23"/>
        </w:rPr>
        <w:t>WHEREAS</w:t>
      </w:r>
      <w:r w:rsidR="005E3F2F" w:rsidRPr="00B817E8">
        <w:rPr>
          <w:sz w:val="23"/>
          <w:szCs w:val="23"/>
        </w:rPr>
        <w:t xml:space="preserve">, the Virgin Town Planning and Zoning Commission held properly noticed Public Hearings on these amendments on </w:t>
      </w:r>
      <w:r w:rsidR="00740DA8" w:rsidRPr="00B817E8">
        <w:rPr>
          <w:sz w:val="23"/>
          <w:szCs w:val="23"/>
          <w:u w:val="single"/>
        </w:rPr>
        <w:t>November 13, 2019</w:t>
      </w:r>
      <w:r w:rsidR="005E3F2F" w:rsidRPr="00B817E8">
        <w:rPr>
          <w:sz w:val="23"/>
          <w:szCs w:val="23"/>
        </w:rPr>
        <w:t>, and voted to recommend its draft amendment ordinance to the Virgin Town Council at a regular meeting on _______________;</w:t>
      </w:r>
    </w:p>
    <w:p w14:paraId="2147F954" w14:textId="77777777" w:rsidR="005E3F2F" w:rsidRPr="00B817E8" w:rsidRDefault="005E3F2F" w:rsidP="005E3F2F">
      <w:pPr>
        <w:rPr>
          <w:sz w:val="23"/>
          <w:szCs w:val="23"/>
        </w:rPr>
      </w:pPr>
      <w:r w:rsidRPr="00B817E8">
        <w:rPr>
          <w:sz w:val="23"/>
          <w:szCs w:val="23"/>
        </w:rPr>
        <w:t xml:space="preserve"> </w:t>
      </w:r>
    </w:p>
    <w:p w14:paraId="6134DB50" w14:textId="35516211" w:rsidR="005E3F2F" w:rsidRPr="00B817E8" w:rsidRDefault="00570925" w:rsidP="005E3F2F">
      <w:pPr>
        <w:rPr>
          <w:sz w:val="23"/>
          <w:szCs w:val="23"/>
        </w:rPr>
      </w:pPr>
      <w:r w:rsidRPr="00B817E8">
        <w:rPr>
          <w:b/>
          <w:sz w:val="23"/>
          <w:szCs w:val="23"/>
        </w:rPr>
        <w:tab/>
      </w:r>
      <w:r w:rsidR="005E3F2F" w:rsidRPr="00B817E8">
        <w:rPr>
          <w:b/>
          <w:sz w:val="23"/>
          <w:szCs w:val="23"/>
        </w:rPr>
        <w:t>NOW, THEREFORE BE IT ORDAINED</w:t>
      </w:r>
      <w:r w:rsidR="005E3F2F" w:rsidRPr="00B817E8">
        <w:rPr>
          <w:sz w:val="23"/>
          <w:szCs w:val="23"/>
        </w:rPr>
        <w:t xml:space="preserve"> by the Land Use Authority of Virgin, Utah that, in order to provide for the health, safety and general welfare of the citizens of Virgin, Utah, the VULU Ordinance is hereby amended to incorporate the following changes:</w:t>
      </w:r>
    </w:p>
    <w:p w14:paraId="43CE770F" w14:textId="77777777" w:rsidR="005E3F2F" w:rsidRPr="00B817E8" w:rsidRDefault="005E3F2F" w:rsidP="005E3F2F">
      <w:pPr>
        <w:rPr>
          <w:sz w:val="23"/>
          <w:szCs w:val="23"/>
        </w:rPr>
      </w:pPr>
    </w:p>
    <w:p w14:paraId="5BB5EA33" w14:textId="77777777" w:rsidR="00CA3973" w:rsidRPr="00B817E8" w:rsidRDefault="00CA3973" w:rsidP="00BA38B9">
      <w:pPr>
        <w:widowControl w:val="0"/>
        <w:autoSpaceDE w:val="0"/>
        <w:autoSpaceDN w:val="0"/>
        <w:adjustRightInd w:val="0"/>
        <w:spacing w:line="100" w:lineRule="atLeast"/>
        <w:jc w:val="both"/>
        <w:rPr>
          <w:sz w:val="23"/>
          <w:szCs w:val="23"/>
        </w:rPr>
      </w:pPr>
    </w:p>
    <w:p w14:paraId="6CE68FF3" w14:textId="77777777" w:rsidR="00CA3973" w:rsidRPr="00B817E8" w:rsidRDefault="00CA3973" w:rsidP="00CA3973">
      <w:pPr>
        <w:widowControl w:val="0"/>
        <w:autoSpaceDE w:val="0"/>
        <w:autoSpaceDN w:val="0"/>
        <w:adjustRightInd w:val="0"/>
        <w:spacing w:line="100" w:lineRule="atLeast"/>
        <w:jc w:val="center"/>
        <w:rPr>
          <w:b/>
          <w:sz w:val="23"/>
          <w:szCs w:val="23"/>
        </w:rPr>
      </w:pPr>
      <w:r w:rsidRPr="00B817E8">
        <w:rPr>
          <w:b/>
          <w:sz w:val="23"/>
          <w:szCs w:val="23"/>
          <w:u w:val="single"/>
        </w:rPr>
        <w:t>ORDINANCE</w:t>
      </w:r>
    </w:p>
    <w:p w14:paraId="642D4CEB" w14:textId="77777777" w:rsidR="00CA3973" w:rsidRPr="00B817E8" w:rsidRDefault="00CA3973" w:rsidP="00CA3973">
      <w:pPr>
        <w:widowControl w:val="0"/>
        <w:autoSpaceDE w:val="0"/>
        <w:autoSpaceDN w:val="0"/>
        <w:adjustRightInd w:val="0"/>
        <w:spacing w:line="100" w:lineRule="atLeast"/>
        <w:jc w:val="center"/>
        <w:rPr>
          <w:sz w:val="23"/>
          <w:szCs w:val="23"/>
        </w:rPr>
      </w:pPr>
    </w:p>
    <w:p w14:paraId="38ECC616" w14:textId="5641DFE8" w:rsidR="005D2215" w:rsidRPr="00B817E8" w:rsidRDefault="00CA3973" w:rsidP="00CA3973">
      <w:pPr>
        <w:widowControl w:val="0"/>
        <w:autoSpaceDE w:val="0"/>
        <w:autoSpaceDN w:val="0"/>
        <w:adjustRightInd w:val="0"/>
        <w:spacing w:line="100" w:lineRule="atLeast"/>
        <w:rPr>
          <w:sz w:val="23"/>
          <w:szCs w:val="23"/>
        </w:rPr>
      </w:pPr>
      <w:r w:rsidRPr="00B817E8">
        <w:rPr>
          <w:sz w:val="23"/>
          <w:szCs w:val="23"/>
        </w:rPr>
        <w:tab/>
        <w:t>NOW THEREFORE be it ordained by Virgin Town, Washington County, State of Utah, acting by and through the Town Council</w:t>
      </w:r>
      <w:r w:rsidR="005D2215" w:rsidRPr="00B817E8">
        <w:rPr>
          <w:sz w:val="23"/>
          <w:szCs w:val="23"/>
        </w:rPr>
        <w:t>:</w:t>
      </w:r>
    </w:p>
    <w:p w14:paraId="3837BD4B" w14:textId="4D65C34E" w:rsidR="003C780D" w:rsidRPr="00B817E8" w:rsidRDefault="003C780D" w:rsidP="00CA3973">
      <w:pPr>
        <w:widowControl w:val="0"/>
        <w:autoSpaceDE w:val="0"/>
        <w:autoSpaceDN w:val="0"/>
        <w:adjustRightInd w:val="0"/>
        <w:spacing w:line="100" w:lineRule="atLeast"/>
        <w:rPr>
          <w:sz w:val="23"/>
          <w:szCs w:val="23"/>
        </w:rPr>
      </w:pPr>
    </w:p>
    <w:p w14:paraId="5402781A" w14:textId="7DC66571" w:rsidR="003C780D" w:rsidRPr="00B817E8" w:rsidRDefault="003C780D" w:rsidP="00CA3973">
      <w:pPr>
        <w:widowControl w:val="0"/>
        <w:autoSpaceDE w:val="0"/>
        <w:autoSpaceDN w:val="0"/>
        <w:adjustRightInd w:val="0"/>
        <w:spacing w:line="100" w:lineRule="atLeast"/>
        <w:rPr>
          <w:sz w:val="23"/>
          <w:szCs w:val="23"/>
        </w:rPr>
      </w:pPr>
    </w:p>
    <w:p w14:paraId="35A11FA1" w14:textId="77777777" w:rsidR="002751A2" w:rsidRPr="002751A2" w:rsidRDefault="002751A2" w:rsidP="002751A2">
      <w:pPr>
        <w:ind w:left="-5" w:firstLine="5"/>
      </w:pPr>
      <w:r w:rsidRPr="002751A2">
        <w:rPr>
          <w:b/>
          <w:bCs/>
          <w:color w:val="000000"/>
          <w:sz w:val="28"/>
          <w:szCs w:val="28"/>
        </w:rPr>
        <w:t>CHAPTER 5: </w:t>
      </w:r>
    </w:p>
    <w:p w14:paraId="014738C3" w14:textId="77777777" w:rsidR="002751A2" w:rsidRPr="002751A2" w:rsidRDefault="002751A2" w:rsidP="002751A2">
      <w:pPr>
        <w:ind w:left="-5" w:firstLine="5"/>
      </w:pPr>
      <w:r w:rsidRPr="002751A2">
        <w:rPr>
          <w:b/>
          <w:bCs/>
          <w:color w:val="FF0000"/>
          <w:sz w:val="28"/>
          <w:szCs w:val="28"/>
        </w:rPr>
        <w:t>NONCONFORMING USES AND NONCOMPLYING STRUCTURES</w:t>
      </w:r>
    </w:p>
    <w:p w14:paraId="0DEF7C80" w14:textId="5BF25F5A" w:rsidR="002751A2" w:rsidRPr="002751A2" w:rsidRDefault="002751A2" w:rsidP="00D75ED8">
      <w:pPr>
        <w:spacing w:after="5"/>
        <w:ind w:left="-29" w:right="-31"/>
      </w:pPr>
      <w:r w:rsidRPr="002751A2">
        <w:rPr>
          <w:rFonts w:asciiTheme="minorHAnsi" w:eastAsiaTheme="minorHAnsi" w:hAnsiTheme="minorHAnsi" w:cstheme="minorBidi"/>
          <w:noProof/>
          <w:sz w:val="22"/>
          <w:szCs w:val="22"/>
        </w:rPr>
        <mc:AlternateContent>
          <mc:Choice Requires="wps">
            <w:drawing>
              <wp:inline distT="0" distB="0" distL="0" distR="0" wp14:anchorId="1F7C2C6C" wp14:editId="53CB5C12">
                <wp:extent cx="5943600" cy="7620"/>
                <wp:effectExtent l="0" t="0" r="0" b="1905"/>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249F2" id="Rectangle 1" o:spid="_x0000_s1026" style="width:46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" filled="f" stroked="f">
                <o:lock v:ext="edit" aspectratio="t"/>
                <w10:anchorlock/>
              </v:rect>
            </w:pict>
          </mc:Fallback>
        </mc:AlternateContent>
      </w:r>
    </w:p>
    <w:p w14:paraId="3787FD60" w14:textId="77777777" w:rsidR="002751A2" w:rsidRPr="002751A2" w:rsidRDefault="002751A2" w:rsidP="002751A2">
      <w:pPr>
        <w:rPr>
          <w:color w:val="FF0000"/>
          <w:sz w:val="22"/>
          <w:szCs w:val="22"/>
        </w:rPr>
      </w:pPr>
      <w:r w:rsidRPr="002751A2">
        <w:rPr>
          <w:b/>
          <w:bCs/>
          <w:color w:val="FF0000"/>
        </w:rPr>
        <w:t>5.0 PURPOSE AND DEFINITIONS</w:t>
      </w:r>
      <w:r w:rsidRPr="002751A2">
        <w:rPr>
          <w:color w:val="FF0000"/>
        </w:rPr>
        <w:t> </w:t>
      </w:r>
    </w:p>
    <w:p w14:paraId="771016EA" w14:textId="77777777" w:rsidR="002751A2" w:rsidRPr="002751A2" w:rsidRDefault="002751A2" w:rsidP="002751A2"/>
    <w:p w14:paraId="3F4BF8A8" w14:textId="77777777" w:rsidR="002751A2" w:rsidRPr="002751A2" w:rsidRDefault="002751A2" w:rsidP="002751A2">
      <w:pPr>
        <w:ind w:left="720"/>
      </w:pPr>
      <w:r w:rsidRPr="002751A2">
        <w:rPr>
          <w:color w:val="FF0000"/>
        </w:rPr>
        <w:t>5.0.1. Purpose: The purpose of this chapter is to regulate the continued existence of nonconforming uses, noncomplying structures, and noncomplying lots. (Utah State code 10-9a-511)</w:t>
      </w:r>
    </w:p>
    <w:p w14:paraId="608F235D" w14:textId="77777777" w:rsidR="002751A2" w:rsidRPr="002751A2" w:rsidRDefault="002751A2" w:rsidP="002751A2">
      <w:r w:rsidRPr="002751A2">
        <w:tab/>
      </w:r>
    </w:p>
    <w:p w14:paraId="0BE03E68" w14:textId="630ADEB8" w:rsidR="002751A2" w:rsidRDefault="002751A2" w:rsidP="00D75ED8">
      <w:pPr>
        <w:ind w:left="720"/>
      </w:pPr>
      <w:r w:rsidRPr="002751A2">
        <w:rPr>
          <w:color w:val="FF0000"/>
        </w:rPr>
        <w:lastRenderedPageBreak/>
        <w:t>5.0.2. Intent: The intent of this chapter is to allow continued use of legal nonconforming uses and/or noncomplying structures while at the same time protecting existing conforming development within the community. </w:t>
      </w:r>
    </w:p>
    <w:p w14:paraId="330F202C" w14:textId="77777777" w:rsidR="00D75ED8" w:rsidRPr="002751A2" w:rsidRDefault="00D75ED8" w:rsidP="00D75ED8">
      <w:pPr>
        <w:ind w:left="720"/>
      </w:pPr>
    </w:p>
    <w:p w14:paraId="34C6DA33" w14:textId="77777777" w:rsidR="002751A2" w:rsidRPr="002751A2" w:rsidRDefault="002751A2" w:rsidP="002751A2">
      <w:pPr>
        <w:spacing w:after="3"/>
        <w:ind w:left="-15"/>
      </w:pPr>
      <w:r w:rsidRPr="002751A2">
        <w:rPr>
          <w:b/>
          <w:bCs/>
          <w:color w:val="000000"/>
        </w:rPr>
        <w:t>5.1.  MAINTENANCE, REPAIR, AND RESTORATION.</w:t>
      </w:r>
      <w:r w:rsidRPr="002751A2">
        <w:rPr>
          <w:i/>
          <w:iCs/>
          <w:color w:val="000000"/>
          <w:sz w:val="11"/>
          <w:szCs w:val="11"/>
          <w:vertAlign w:val="superscript"/>
        </w:rPr>
        <w:t>1</w:t>
      </w:r>
      <w:r w:rsidRPr="002751A2">
        <w:rPr>
          <w:b/>
          <w:bCs/>
          <w:color w:val="000000"/>
        </w:rPr>
        <w:t> </w:t>
      </w:r>
    </w:p>
    <w:p w14:paraId="4BAD95C4" w14:textId="77777777" w:rsidR="002751A2" w:rsidRPr="002751A2" w:rsidRDefault="002751A2" w:rsidP="002751A2">
      <w:r w:rsidRPr="002751A2">
        <w:rPr>
          <w:color w:val="000000"/>
        </w:rPr>
        <w:t> </w:t>
      </w:r>
    </w:p>
    <w:p w14:paraId="5D5765BB" w14:textId="77777777" w:rsidR="002751A2" w:rsidRPr="002751A2" w:rsidRDefault="002751A2" w:rsidP="002751A2">
      <w:pPr>
        <w:spacing w:after="3"/>
        <w:ind w:hanging="10"/>
        <w:jc w:val="both"/>
      </w:pPr>
      <w:r w:rsidRPr="002751A2">
        <w:rPr>
          <w:color w:val="000000"/>
        </w:rPr>
        <w:t>A noncomplying structure or a structure housing or containing a nonconforming use may be maintained and repaired. </w:t>
      </w:r>
    </w:p>
    <w:p w14:paraId="7CE6957D" w14:textId="77777777" w:rsidR="002751A2" w:rsidRPr="002751A2" w:rsidRDefault="002751A2" w:rsidP="002751A2">
      <w:pPr>
        <w:ind w:left="720"/>
      </w:pPr>
      <w:r w:rsidRPr="002751A2">
        <w:rPr>
          <w:b/>
          <w:bCs/>
          <w:color w:val="000000"/>
        </w:rPr>
        <w:t> </w:t>
      </w:r>
    </w:p>
    <w:p w14:paraId="3501E574" w14:textId="77777777" w:rsidR="002751A2" w:rsidRPr="002751A2" w:rsidRDefault="002751A2" w:rsidP="002751A2">
      <w:pPr>
        <w:spacing w:after="3"/>
        <w:ind w:left="720" w:hanging="355"/>
        <w:jc w:val="both"/>
      </w:pPr>
      <w:r w:rsidRPr="002751A2">
        <w:rPr>
          <w:b/>
          <w:bCs/>
          <w:color w:val="000000"/>
        </w:rPr>
        <w:t>5.1.1.</w:t>
      </w:r>
      <w:r w:rsidRPr="002751A2">
        <w:rPr>
          <w:color w:val="000000"/>
        </w:rPr>
        <w:t xml:space="preserve">   A noncomplying structure or a building or structure occupied by a nonconforming use which is damaged or is destroyed by fire, flood, wind, earthquake, or other calamity, may be restored and the occupancy or use of such building, structure, or portion thereof, which existed at the time of such damage or destruction, may be continued or resumed. </w:t>
      </w:r>
    </w:p>
    <w:p w14:paraId="24CC7586" w14:textId="77777777" w:rsidR="002751A2" w:rsidRPr="002751A2" w:rsidRDefault="002751A2" w:rsidP="002751A2">
      <w:r w:rsidRPr="002751A2">
        <w:rPr>
          <w:color w:val="000000"/>
        </w:rPr>
        <w:t> </w:t>
      </w:r>
    </w:p>
    <w:p w14:paraId="52C55C1D" w14:textId="77777777" w:rsidR="002751A2" w:rsidRPr="002751A2" w:rsidRDefault="002751A2" w:rsidP="002751A2">
      <w:pPr>
        <w:spacing w:after="3"/>
        <w:ind w:left="-15"/>
      </w:pPr>
      <w:r w:rsidRPr="002751A2">
        <w:rPr>
          <w:b/>
          <w:bCs/>
          <w:color w:val="000000"/>
        </w:rPr>
        <w:t>5.2. EXPANSION OF NONCOMPLYING STRUCTURE. </w:t>
      </w:r>
    </w:p>
    <w:p w14:paraId="786B947B" w14:textId="77777777" w:rsidR="002751A2" w:rsidRPr="002751A2" w:rsidRDefault="002751A2" w:rsidP="002751A2">
      <w:r w:rsidRPr="002751A2">
        <w:rPr>
          <w:color w:val="000000"/>
        </w:rPr>
        <w:t> </w:t>
      </w:r>
    </w:p>
    <w:p w14:paraId="522C2B9E" w14:textId="77777777" w:rsidR="002751A2" w:rsidRPr="002751A2" w:rsidRDefault="002751A2" w:rsidP="002751A2">
      <w:pPr>
        <w:spacing w:after="3"/>
        <w:ind w:hanging="10"/>
        <w:jc w:val="both"/>
      </w:pPr>
      <w:r w:rsidRPr="002751A2">
        <w:rPr>
          <w:color w:val="000000"/>
        </w:rPr>
        <w:t>A noncomplying structure may not be enlarged unless: </w:t>
      </w:r>
    </w:p>
    <w:p w14:paraId="03922CD6" w14:textId="77777777" w:rsidR="002751A2" w:rsidRPr="002751A2" w:rsidRDefault="002751A2" w:rsidP="002751A2">
      <w:pPr>
        <w:ind w:left="360"/>
      </w:pPr>
      <w:r w:rsidRPr="002751A2">
        <w:rPr>
          <w:b/>
          <w:bCs/>
          <w:color w:val="000000"/>
        </w:rPr>
        <w:t> </w:t>
      </w:r>
    </w:p>
    <w:p w14:paraId="19CEB874" w14:textId="77777777" w:rsidR="002751A2" w:rsidRPr="002751A2" w:rsidRDefault="002751A2" w:rsidP="002751A2">
      <w:pPr>
        <w:spacing w:after="3"/>
        <w:ind w:firstLine="720"/>
        <w:jc w:val="both"/>
      </w:pPr>
      <w:r w:rsidRPr="002751A2">
        <w:rPr>
          <w:b/>
          <w:bCs/>
          <w:color w:val="000000"/>
        </w:rPr>
        <w:t>5.2.1.</w:t>
      </w:r>
      <w:r w:rsidRPr="002751A2">
        <w:rPr>
          <w:color w:val="000000"/>
        </w:rPr>
        <w:t xml:space="preserve"> A variance is obtained under VULU Chapter 3 regulations; or </w:t>
      </w:r>
    </w:p>
    <w:p w14:paraId="2A870226" w14:textId="77777777" w:rsidR="002751A2" w:rsidRPr="002751A2" w:rsidRDefault="002751A2" w:rsidP="002751A2">
      <w:pPr>
        <w:ind w:left="360"/>
      </w:pPr>
      <w:r w:rsidRPr="002751A2">
        <w:rPr>
          <w:b/>
          <w:bCs/>
          <w:color w:val="000000"/>
        </w:rPr>
        <w:t> </w:t>
      </w:r>
    </w:p>
    <w:p w14:paraId="186A34A3" w14:textId="77777777" w:rsidR="002751A2" w:rsidRPr="002751A2" w:rsidRDefault="002751A2" w:rsidP="002751A2">
      <w:pPr>
        <w:spacing w:after="3"/>
        <w:ind w:left="720"/>
        <w:jc w:val="both"/>
      </w:pPr>
      <w:r w:rsidRPr="002751A2">
        <w:rPr>
          <w:b/>
          <w:bCs/>
          <w:color w:val="000000"/>
        </w:rPr>
        <w:t>5.2.2.</w:t>
      </w:r>
      <w:r w:rsidRPr="002751A2">
        <w:rPr>
          <w:color w:val="000000"/>
        </w:rPr>
        <w:t xml:space="preserve"> The enlargements are made in conformance with all regulations of the zone in which the noncomplying structure is located; or </w:t>
      </w:r>
    </w:p>
    <w:p w14:paraId="3D7219F8" w14:textId="77777777" w:rsidR="002751A2" w:rsidRPr="002751A2" w:rsidRDefault="002751A2" w:rsidP="002751A2">
      <w:pPr>
        <w:ind w:left="360"/>
      </w:pPr>
      <w:r w:rsidRPr="002751A2">
        <w:rPr>
          <w:b/>
          <w:bCs/>
          <w:color w:val="000000"/>
        </w:rPr>
        <w:t> </w:t>
      </w:r>
    </w:p>
    <w:p w14:paraId="5D5B273E" w14:textId="77777777" w:rsidR="002751A2" w:rsidRPr="002751A2" w:rsidRDefault="002751A2" w:rsidP="002751A2">
      <w:pPr>
        <w:spacing w:after="3"/>
        <w:ind w:firstLine="720"/>
        <w:jc w:val="both"/>
      </w:pPr>
      <w:r w:rsidRPr="002751A2">
        <w:rPr>
          <w:b/>
          <w:bCs/>
          <w:color w:val="000000"/>
        </w:rPr>
        <w:t>5.2.3.</w:t>
      </w:r>
      <w:r w:rsidRPr="002751A2">
        <w:rPr>
          <w:color w:val="000000"/>
        </w:rPr>
        <w:t xml:space="preserve"> The following criteria are met: </w:t>
      </w:r>
    </w:p>
    <w:p w14:paraId="0CFD61CC" w14:textId="77777777" w:rsidR="002751A2" w:rsidRPr="002751A2" w:rsidRDefault="002751A2" w:rsidP="002751A2">
      <w:r w:rsidRPr="002751A2">
        <w:rPr>
          <w:color w:val="000000"/>
        </w:rPr>
        <w:t> </w:t>
      </w:r>
      <w:r w:rsidRPr="002751A2">
        <w:rPr>
          <w:color w:val="000000"/>
        </w:rPr>
        <w:tab/>
        <w:t xml:space="preserve"> </w:t>
      </w:r>
      <w:r w:rsidRPr="002751A2">
        <w:rPr>
          <w:color w:val="000000"/>
        </w:rPr>
        <w:tab/>
        <w:t> </w:t>
      </w:r>
    </w:p>
    <w:p w14:paraId="6F9D94A4" w14:textId="77777777" w:rsidR="002751A2" w:rsidRPr="002751A2" w:rsidRDefault="002751A2" w:rsidP="002751A2">
      <w:pPr>
        <w:spacing w:after="3"/>
        <w:ind w:left="1440"/>
        <w:jc w:val="both"/>
      </w:pPr>
      <w:r w:rsidRPr="002751A2">
        <w:rPr>
          <w:b/>
          <w:bCs/>
          <w:color w:val="000000"/>
        </w:rPr>
        <w:t>5.2.3.A.</w:t>
      </w:r>
      <w:r w:rsidRPr="002751A2">
        <w:rPr>
          <w:color w:val="000000"/>
        </w:rPr>
        <w:t xml:space="preserve"> The changes do not further increase the structures noncompliance to current land use ordinances. </w:t>
      </w:r>
    </w:p>
    <w:p w14:paraId="0B5C4700" w14:textId="77777777" w:rsidR="002751A2" w:rsidRPr="002751A2" w:rsidRDefault="002751A2" w:rsidP="002751A2"/>
    <w:p w14:paraId="6E1C825F" w14:textId="77777777" w:rsidR="002751A2" w:rsidRPr="002751A2" w:rsidRDefault="002751A2" w:rsidP="002751A2">
      <w:pPr>
        <w:spacing w:after="3"/>
        <w:ind w:left="2160" w:firstLine="2"/>
        <w:jc w:val="both"/>
      </w:pPr>
      <w:r w:rsidRPr="002751A2">
        <w:rPr>
          <w:color w:val="FF0000"/>
        </w:rPr>
        <w:t>5.2.3.A.i.</w:t>
      </w:r>
      <w:r w:rsidRPr="002751A2">
        <w:rPr>
          <w:color w:val="000000"/>
        </w:rPr>
        <w:t xml:space="preserve"> </w:t>
      </w:r>
      <w:r w:rsidRPr="002751A2">
        <w:rPr>
          <w:color w:val="FF0000"/>
        </w:rPr>
        <w:t>A previous legal encroachment of a required setback may be horizontally continued, provided additional encroachment of the setback requirements does not occur.</w:t>
      </w:r>
    </w:p>
    <w:p w14:paraId="56C25944" w14:textId="77777777" w:rsidR="002751A2" w:rsidRPr="002751A2" w:rsidRDefault="002751A2" w:rsidP="002751A2">
      <w:pPr>
        <w:ind w:left="720"/>
      </w:pPr>
      <w:r w:rsidRPr="002751A2">
        <w:rPr>
          <w:b/>
          <w:bCs/>
          <w:color w:val="000000"/>
        </w:rPr>
        <w:t> </w:t>
      </w:r>
    </w:p>
    <w:p w14:paraId="78E76F20" w14:textId="77777777" w:rsidR="002751A2" w:rsidRPr="002751A2" w:rsidRDefault="002751A2" w:rsidP="002751A2">
      <w:pPr>
        <w:spacing w:after="3"/>
        <w:ind w:left="720" w:firstLine="720"/>
        <w:jc w:val="both"/>
      </w:pPr>
      <w:r w:rsidRPr="002751A2">
        <w:rPr>
          <w:b/>
          <w:bCs/>
          <w:color w:val="000000"/>
        </w:rPr>
        <w:t>5.2.3.B.</w:t>
      </w:r>
      <w:r w:rsidRPr="002751A2">
        <w:rPr>
          <w:color w:val="000000"/>
        </w:rPr>
        <w:t xml:space="preserve"> The changes do not create an unmitigated hardship for adjoining properties, </w:t>
      </w:r>
    </w:p>
    <w:p w14:paraId="619F0E44" w14:textId="77777777" w:rsidR="002751A2" w:rsidRPr="002751A2" w:rsidRDefault="002751A2" w:rsidP="002751A2">
      <w:pPr>
        <w:ind w:left="720"/>
      </w:pPr>
      <w:r w:rsidRPr="002751A2">
        <w:rPr>
          <w:color w:val="000000"/>
        </w:rPr>
        <w:t> </w:t>
      </w:r>
      <w:r w:rsidRPr="002751A2">
        <w:rPr>
          <w:color w:val="000000"/>
        </w:rPr>
        <w:tab/>
        <w:t xml:space="preserve"> </w:t>
      </w:r>
      <w:r w:rsidRPr="002751A2">
        <w:rPr>
          <w:color w:val="000000"/>
        </w:rPr>
        <w:tab/>
        <w:t> </w:t>
      </w:r>
    </w:p>
    <w:p w14:paraId="2DF3396B" w14:textId="77777777" w:rsidR="002751A2" w:rsidRPr="002751A2" w:rsidRDefault="002751A2" w:rsidP="002751A2">
      <w:pPr>
        <w:spacing w:after="3"/>
        <w:ind w:left="720" w:firstLine="720"/>
        <w:jc w:val="both"/>
      </w:pPr>
      <w:r w:rsidRPr="002751A2">
        <w:rPr>
          <w:b/>
          <w:bCs/>
          <w:color w:val="000000"/>
        </w:rPr>
        <w:t>5.2.3.C.</w:t>
      </w:r>
      <w:r w:rsidRPr="002751A2">
        <w:rPr>
          <w:color w:val="000000"/>
        </w:rPr>
        <w:t xml:space="preserve"> The changes do not create a public safety hazard,  </w:t>
      </w:r>
    </w:p>
    <w:p w14:paraId="66EE9B3B" w14:textId="77777777" w:rsidR="002751A2" w:rsidRPr="002751A2" w:rsidRDefault="002751A2" w:rsidP="002751A2">
      <w:pPr>
        <w:ind w:left="720"/>
      </w:pPr>
      <w:r w:rsidRPr="002751A2">
        <w:rPr>
          <w:b/>
          <w:bCs/>
          <w:color w:val="000000"/>
        </w:rPr>
        <w:t> </w:t>
      </w:r>
    </w:p>
    <w:p w14:paraId="6AC60CB5" w14:textId="77777777" w:rsidR="002751A2" w:rsidRPr="002751A2" w:rsidRDefault="002751A2" w:rsidP="002751A2">
      <w:pPr>
        <w:spacing w:after="3"/>
        <w:ind w:left="1440"/>
        <w:jc w:val="both"/>
      </w:pPr>
      <w:r w:rsidRPr="002751A2">
        <w:rPr>
          <w:b/>
          <w:bCs/>
          <w:color w:val="000000"/>
        </w:rPr>
        <w:t>5.2.3.D.</w:t>
      </w:r>
      <w:r w:rsidRPr="002751A2">
        <w:rPr>
          <w:color w:val="000000"/>
        </w:rPr>
        <w:t xml:space="preserve"> The changes have been </w:t>
      </w:r>
      <w:r w:rsidRPr="002751A2">
        <w:rPr>
          <w:strike/>
          <w:color w:val="000000"/>
        </w:rPr>
        <w:t>approved</w:t>
      </w:r>
      <w:r w:rsidRPr="002751A2">
        <w:rPr>
          <w:color w:val="000000"/>
        </w:rPr>
        <w:t xml:space="preserve"> </w:t>
      </w:r>
      <w:r w:rsidRPr="002751A2">
        <w:rPr>
          <w:color w:val="FF0000"/>
        </w:rPr>
        <w:t>reviewed</w:t>
      </w:r>
      <w:r w:rsidRPr="002751A2">
        <w:rPr>
          <w:color w:val="000000"/>
        </w:rPr>
        <w:t xml:space="preserve"> by the Town’s Zoning Administrator, </w:t>
      </w:r>
      <w:r w:rsidRPr="002751A2">
        <w:rPr>
          <w:color w:val="FF0000"/>
        </w:rPr>
        <w:t>P&amp;Z Chair, or their designee for compliance with this ordinance.</w:t>
      </w:r>
    </w:p>
    <w:p w14:paraId="4AE279A2" w14:textId="77777777" w:rsidR="002751A2" w:rsidRPr="002751A2" w:rsidRDefault="002751A2" w:rsidP="002751A2"/>
    <w:p w14:paraId="6D611BAF" w14:textId="77777777" w:rsidR="002751A2" w:rsidRPr="002751A2" w:rsidRDefault="002751A2" w:rsidP="002751A2">
      <w:pPr>
        <w:spacing w:after="3"/>
        <w:ind w:firstLine="720"/>
        <w:jc w:val="both"/>
      </w:pPr>
      <w:r w:rsidRPr="002751A2">
        <w:rPr>
          <w:b/>
          <w:bCs/>
          <w:color w:val="FF0000"/>
        </w:rPr>
        <w:t>5.2.4.</w:t>
      </w:r>
      <w:r w:rsidRPr="002751A2">
        <w:rPr>
          <w:color w:val="FF0000"/>
        </w:rPr>
        <w:t xml:space="preserve"> Structure Expansion Exceptions.  </w:t>
      </w:r>
    </w:p>
    <w:p w14:paraId="416FEEA0" w14:textId="77777777" w:rsidR="002751A2" w:rsidRPr="002751A2" w:rsidRDefault="002751A2" w:rsidP="002751A2"/>
    <w:p w14:paraId="7E22593F" w14:textId="77777777" w:rsidR="002751A2" w:rsidRPr="002751A2" w:rsidRDefault="002751A2" w:rsidP="002751A2">
      <w:pPr>
        <w:spacing w:after="3"/>
        <w:ind w:left="1440"/>
        <w:jc w:val="both"/>
        <w:rPr>
          <w:color w:val="FF0000"/>
          <w:sz w:val="22"/>
          <w:szCs w:val="22"/>
        </w:rPr>
      </w:pPr>
      <w:r w:rsidRPr="002751A2">
        <w:rPr>
          <w:color w:val="FF0000"/>
        </w:rPr>
        <w:t>5.2.4.A. Accommodations to meet minimum ADA requirements will not be considered as increasing or enlarging a nonconforming use or structure.</w:t>
      </w:r>
    </w:p>
    <w:p w14:paraId="06C6C006" w14:textId="77777777" w:rsidR="002751A2" w:rsidRPr="002751A2" w:rsidRDefault="002751A2" w:rsidP="002751A2">
      <w:pPr>
        <w:spacing w:after="3"/>
        <w:ind w:left="720"/>
        <w:jc w:val="both"/>
      </w:pPr>
    </w:p>
    <w:p w14:paraId="11C15CA8" w14:textId="77777777" w:rsidR="002751A2" w:rsidRPr="002751A2" w:rsidRDefault="002751A2" w:rsidP="002751A2">
      <w:pPr>
        <w:spacing w:after="3"/>
        <w:ind w:left="1440"/>
        <w:jc w:val="both"/>
      </w:pPr>
      <w:r w:rsidRPr="002751A2">
        <w:rPr>
          <w:color w:val="FF0000"/>
        </w:rPr>
        <w:lastRenderedPageBreak/>
        <w:t>5.2.4.B. For the purposes of this section, the addition of a solar energy device to a building is not a structural alteration. (Utah State code 10-9a-511)</w:t>
      </w:r>
    </w:p>
    <w:p w14:paraId="420C4E88" w14:textId="77777777" w:rsidR="002751A2" w:rsidRPr="002751A2" w:rsidRDefault="002751A2" w:rsidP="002751A2"/>
    <w:p w14:paraId="6D2D8567" w14:textId="77777777" w:rsidR="002751A2" w:rsidRPr="002751A2" w:rsidRDefault="002751A2" w:rsidP="002751A2">
      <w:r w:rsidRPr="002751A2">
        <w:rPr>
          <w:color w:val="000000"/>
        </w:rPr>
        <w:t> </w:t>
      </w:r>
    </w:p>
    <w:p w14:paraId="0663C3FF" w14:textId="77777777" w:rsidR="002751A2" w:rsidRPr="002751A2" w:rsidRDefault="002751A2" w:rsidP="002751A2">
      <w:pPr>
        <w:spacing w:after="3"/>
        <w:ind w:left="-15"/>
      </w:pPr>
      <w:r w:rsidRPr="002751A2">
        <w:rPr>
          <w:b/>
          <w:bCs/>
          <w:color w:val="000000"/>
        </w:rPr>
        <w:t>5.3. EXPANSION OF STRUCTURE OCCUPIED BY NONCONFORMING USE</w:t>
      </w:r>
      <w:r w:rsidRPr="002751A2">
        <w:rPr>
          <w:color w:val="000000"/>
        </w:rPr>
        <w:t> </w:t>
      </w:r>
    </w:p>
    <w:p w14:paraId="3C62BF9D" w14:textId="77777777" w:rsidR="002751A2" w:rsidRPr="002751A2" w:rsidRDefault="002751A2" w:rsidP="002751A2">
      <w:r w:rsidRPr="002751A2">
        <w:rPr>
          <w:color w:val="000000"/>
        </w:rPr>
        <w:t> </w:t>
      </w:r>
    </w:p>
    <w:p w14:paraId="335DC9CB" w14:textId="77777777" w:rsidR="002751A2" w:rsidRPr="002751A2" w:rsidRDefault="002751A2" w:rsidP="002751A2">
      <w:pPr>
        <w:spacing w:after="3"/>
        <w:ind w:hanging="10"/>
        <w:jc w:val="both"/>
      </w:pPr>
      <w:r w:rsidRPr="002751A2">
        <w:rPr>
          <w:color w:val="000000"/>
        </w:rPr>
        <w:t>A structure occupied by a nonconforming use may be enlarged if:  </w:t>
      </w:r>
    </w:p>
    <w:p w14:paraId="30134FD5" w14:textId="77777777" w:rsidR="002751A2" w:rsidRPr="002751A2" w:rsidRDefault="002751A2" w:rsidP="002751A2">
      <w:pPr>
        <w:ind w:left="720"/>
      </w:pPr>
      <w:r w:rsidRPr="002751A2">
        <w:rPr>
          <w:b/>
          <w:bCs/>
          <w:color w:val="000000"/>
        </w:rPr>
        <w:t> </w:t>
      </w:r>
    </w:p>
    <w:p w14:paraId="6FEA651C" w14:textId="77777777" w:rsidR="002751A2" w:rsidRPr="002751A2" w:rsidRDefault="002751A2" w:rsidP="002751A2">
      <w:pPr>
        <w:spacing w:after="3"/>
        <w:ind w:firstLine="720"/>
        <w:jc w:val="both"/>
      </w:pPr>
      <w:r w:rsidRPr="002751A2">
        <w:rPr>
          <w:b/>
          <w:bCs/>
          <w:color w:val="000000"/>
        </w:rPr>
        <w:t>5.3.1.</w:t>
      </w:r>
      <w:r w:rsidRPr="002751A2">
        <w:rPr>
          <w:color w:val="000000"/>
        </w:rPr>
        <w:t xml:space="preserve"> The enlargement does not increase the nonconforming use; and  </w:t>
      </w:r>
    </w:p>
    <w:p w14:paraId="0E35CEFF" w14:textId="77777777" w:rsidR="002751A2" w:rsidRPr="002751A2" w:rsidRDefault="002751A2" w:rsidP="002751A2">
      <w:pPr>
        <w:ind w:left="360"/>
      </w:pPr>
      <w:r w:rsidRPr="002751A2">
        <w:rPr>
          <w:b/>
          <w:bCs/>
          <w:color w:val="000000"/>
        </w:rPr>
        <w:t> </w:t>
      </w:r>
    </w:p>
    <w:p w14:paraId="20D450DD" w14:textId="6651FDF7" w:rsidR="002751A2" w:rsidRPr="002751A2" w:rsidRDefault="002751A2" w:rsidP="00D75ED8">
      <w:pPr>
        <w:spacing w:after="3"/>
        <w:ind w:firstLine="720"/>
        <w:jc w:val="both"/>
      </w:pPr>
      <w:r w:rsidRPr="002751A2">
        <w:rPr>
          <w:b/>
          <w:bCs/>
          <w:color w:val="000000"/>
        </w:rPr>
        <w:t xml:space="preserve">5.3.2. </w:t>
      </w:r>
      <w:r w:rsidRPr="002751A2">
        <w:rPr>
          <w:color w:val="000000"/>
        </w:rPr>
        <w:t xml:space="preserve"> The criteria of 5.2 of this </w:t>
      </w:r>
      <w:proofErr w:type="gramStart"/>
      <w:r w:rsidRPr="002751A2">
        <w:rPr>
          <w:color w:val="000000"/>
        </w:rPr>
        <w:t>ordinance</w:t>
      </w:r>
      <w:proofErr w:type="gramEnd"/>
      <w:r w:rsidRPr="002751A2">
        <w:rPr>
          <w:color w:val="000000"/>
        </w:rPr>
        <w:t xml:space="preserve"> are met.  </w:t>
      </w:r>
    </w:p>
    <w:p w14:paraId="0C2EDF38" w14:textId="77777777" w:rsidR="002751A2" w:rsidRPr="002751A2" w:rsidRDefault="002751A2" w:rsidP="002751A2"/>
    <w:p w14:paraId="7D360BE8" w14:textId="77777777" w:rsidR="002751A2" w:rsidRPr="002751A2" w:rsidRDefault="002751A2" w:rsidP="002751A2">
      <w:r w:rsidRPr="002751A2">
        <w:rPr>
          <w:b/>
          <w:bCs/>
          <w:color w:val="000000"/>
        </w:rPr>
        <w:t>5.</w:t>
      </w:r>
      <w:r w:rsidRPr="002751A2">
        <w:rPr>
          <w:b/>
          <w:bCs/>
          <w:color w:val="FF0000"/>
        </w:rPr>
        <w:t>4</w:t>
      </w:r>
      <w:r w:rsidRPr="002751A2">
        <w:rPr>
          <w:b/>
          <w:bCs/>
          <w:color w:val="000000"/>
        </w:rPr>
        <w:t>. CHANGE OF USE.</w:t>
      </w:r>
      <w:r w:rsidRPr="002751A2">
        <w:rPr>
          <w:color w:val="000000"/>
        </w:rPr>
        <w:t> </w:t>
      </w:r>
    </w:p>
    <w:p w14:paraId="1D73B5B3" w14:textId="77777777" w:rsidR="002751A2" w:rsidRPr="002751A2" w:rsidRDefault="002751A2" w:rsidP="002751A2">
      <w:r w:rsidRPr="002751A2">
        <w:rPr>
          <w:color w:val="000000"/>
        </w:rPr>
        <w:t>The nonconforming use of a building or structure may not be changed except to a conforming use; but once such change is made, the use shall not thereafter be changed back to a nonconforming use. </w:t>
      </w:r>
    </w:p>
    <w:p w14:paraId="7B0E5596" w14:textId="77777777" w:rsidR="002751A2" w:rsidRPr="002751A2" w:rsidRDefault="002751A2" w:rsidP="002751A2"/>
    <w:p w14:paraId="6FF65938" w14:textId="77777777" w:rsidR="002751A2" w:rsidRPr="002751A2" w:rsidRDefault="002751A2" w:rsidP="002751A2">
      <w:r w:rsidRPr="002751A2">
        <w:rPr>
          <w:b/>
          <w:bCs/>
          <w:color w:val="000000"/>
        </w:rPr>
        <w:t>5.</w:t>
      </w:r>
      <w:r w:rsidRPr="002751A2">
        <w:rPr>
          <w:b/>
          <w:bCs/>
          <w:color w:val="FF0000"/>
        </w:rPr>
        <w:t>5</w:t>
      </w:r>
      <w:r w:rsidRPr="002751A2">
        <w:rPr>
          <w:b/>
          <w:bCs/>
          <w:color w:val="000000"/>
        </w:rPr>
        <w:t>. CONTINUATION OF NONCONFORMING USE.</w:t>
      </w:r>
      <w:r w:rsidRPr="002751A2">
        <w:rPr>
          <w:color w:val="000000"/>
        </w:rPr>
        <w:t> </w:t>
      </w:r>
    </w:p>
    <w:p w14:paraId="58C9B1C1" w14:textId="77777777" w:rsidR="002751A2" w:rsidRPr="002751A2" w:rsidRDefault="002751A2" w:rsidP="002751A2">
      <w:r w:rsidRPr="002751A2">
        <w:rPr>
          <w:color w:val="000000"/>
        </w:rPr>
        <w:t>A nonconforming use may be continued on the parcel of land upon which such nonconforming use has historically been made and according to the provisions of this ordinance. </w:t>
      </w:r>
    </w:p>
    <w:p w14:paraId="590F7309" w14:textId="77777777" w:rsidR="002751A2" w:rsidRPr="002751A2" w:rsidRDefault="002751A2" w:rsidP="002751A2"/>
    <w:p w14:paraId="3020EFD3" w14:textId="07F6B585" w:rsidR="002751A2" w:rsidRDefault="002751A2" w:rsidP="00D75ED8">
      <w:r w:rsidRPr="002751A2">
        <w:rPr>
          <w:b/>
          <w:bCs/>
          <w:color w:val="000000"/>
        </w:rPr>
        <w:t>5.</w:t>
      </w:r>
      <w:r w:rsidRPr="002751A2">
        <w:rPr>
          <w:b/>
          <w:bCs/>
          <w:color w:val="FF0000"/>
        </w:rPr>
        <w:t>6</w:t>
      </w:r>
      <w:r w:rsidRPr="002751A2">
        <w:rPr>
          <w:b/>
          <w:bCs/>
          <w:color w:val="000000"/>
        </w:rPr>
        <w:t>. NONCONFORMING SIGNS.</w:t>
      </w:r>
      <w:r w:rsidRPr="002751A2">
        <w:rPr>
          <w:color w:val="000000"/>
        </w:rPr>
        <w:t xml:space="preserve"> See VULU Chapter 26, Sign Regulations. </w:t>
      </w:r>
    </w:p>
    <w:p w14:paraId="1E9E66FE" w14:textId="77777777" w:rsidR="00D75ED8" w:rsidRPr="002751A2" w:rsidRDefault="00D75ED8" w:rsidP="00D75ED8"/>
    <w:p w14:paraId="7A9D34B6" w14:textId="77777777" w:rsidR="002751A2" w:rsidRPr="002751A2" w:rsidRDefault="002751A2" w:rsidP="002751A2">
      <w:r w:rsidRPr="002751A2">
        <w:rPr>
          <w:b/>
          <w:bCs/>
          <w:color w:val="FF0000"/>
        </w:rPr>
        <w:t>5.7. NONCOMPLYING LOTS.</w:t>
      </w:r>
    </w:p>
    <w:p w14:paraId="7BFC19C2" w14:textId="77777777" w:rsidR="002751A2" w:rsidRPr="002751A2" w:rsidRDefault="002751A2" w:rsidP="002751A2">
      <w:pPr>
        <w:spacing w:after="460"/>
      </w:pPr>
      <w:r w:rsidRPr="002751A2">
        <w:rPr>
          <w:rFonts w:ascii="Arial" w:hAnsi="Arial" w:cs="Arial"/>
          <w:color w:val="FF0000"/>
          <w:sz w:val="21"/>
          <w:szCs w:val="21"/>
        </w:rPr>
        <w:t>See Chapter 4.28 for specific regulations on noncomplying lots of record. </w:t>
      </w:r>
    </w:p>
    <w:p w14:paraId="547AA73C" w14:textId="77777777" w:rsidR="002751A2" w:rsidRPr="002751A2" w:rsidRDefault="002751A2" w:rsidP="002751A2">
      <w:pPr>
        <w:spacing w:after="3"/>
        <w:ind w:left="-15"/>
      </w:pPr>
      <w:r w:rsidRPr="002751A2">
        <w:rPr>
          <w:b/>
          <w:bCs/>
          <w:color w:val="FF0000"/>
        </w:rPr>
        <w:t>5.8.</w:t>
      </w:r>
      <w:r w:rsidRPr="002751A2">
        <w:rPr>
          <w:b/>
          <w:bCs/>
          <w:color w:val="000000"/>
        </w:rPr>
        <w:t xml:space="preserve"> </w:t>
      </w:r>
      <w:r w:rsidRPr="002751A2">
        <w:rPr>
          <w:b/>
          <w:bCs/>
          <w:color w:val="000000"/>
        </w:rPr>
        <w:tab/>
      </w:r>
      <w:r w:rsidRPr="002751A2">
        <w:rPr>
          <w:b/>
          <w:bCs/>
          <w:color w:val="FF0000"/>
        </w:rPr>
        <w:t xml:space="preserve">ABANDONMENT DETERMINATIONS. </w:t>
      </w:r>
      <w:r w:rsidRPr="002751A2">
        <w:rPr>
          <w:color w:val="000000"/>
        </w:rPr>
        <w:t> </w:t>
      </w:r>
    </w:p>
    <w:p w14:paraId="006E960C" w14:textId="77777777" w:rsidR="002751A2" w:rsidRPr="002751A2" w:rsidRDefault="002751A2" w:rsidP="002751A2"/>
    <w:p w14:paraId="2D7EF765" w14:textId="77777777" w:rsidR="002751A2" w:rsidRPr="002751A2" w:rsidRDefault="002751A2" w:rsidP="002751A2">
      <w:r w:rsidRPr="002751A2">
        <w:rPr>
          <w:color w:val="FF0000"/>
        </w:rPr>
        <w:t>5.8.1. Abandonment of a noncomplying structure or nonconforming use may be presumed to have occurred if (Utah State code 10-9a-511- 4(c)):</w:t>
      </w:r>
    </w:p>
    <w:p w14:paraId="7AE59789" w14:textId="77777777" w:rsidR="002751A2" w:rsidRPr="002751A2" w:rsidRDefault="002751A2" w:rsidP="002751A2">
      <w:pPr>
        <w:ind w:left="720"/>
      </w:pPr>
      <w:r w:rsidRPr="002751A2">
        <w:rPr>
          <w:color w:val="FF0000"/>
        </w:rPr>
        <w:t>5.8.1. A majority of the primary structure associated with the nonconforming use has been voluntarily demolished without prior written agreement with the municipality regarding an extension of the nonconforming use;</w:t>
      </w:r>
    </w:p>
    <w:p w14:paraId="54F350CD" w14:textId="77777777" w:rsidR="002751A2" w:rsidRPr="002751A2" w:rsidRDefault="002751A2" w:rsidP="002751A2">
      <w:pPr>
        <w:ind w:left="720" w:hanging="220"/>
      </w:pPr>
      <w:r w:rsidRPr="002751A2">
        <w:t> </w:t>
      </w:r>
    </w:p>
    <w:p w14:paraId="156FAB9B" w14:textId="77777777" w:rsidR="002751A2" w:rsidRPr="002751A2" w:rsidRDefault="002751A2" w:rsidP="002751A2">
      <w:pPr>
        <w:ind w:left="720"/>
      </w:pPr>
      <w:r w:rsidRPr="002751A2">
        <w:rPr>
          <w:color w:val="FF0000"/>
        </w:rPr>
        <w:t>5.8.1.B. The use has been discontinued for a minimum of one year; or</w:t>
      </w:r>
    </w:p>
    <w:p w14:paraId="781718B2" w14:textId="77777777" w:rsidR="002751A2" w:rsidRPr="002751A2" w:rsidRDefault="002751A2" w:rsidP="002751A2">
      <w:pPr>
        <w:ind w:left="720" w:hanging="220"/>
      </w:pPr>
      <w:r w:rsidRPr="002751A2">
        <w:t> </w:t>
      </w:r>
    </w:p>
    <w:p w14:paraId="291B5821" w14:textId="77777777" w:rsidR="002751A2" w:rsidRPr="002751A2" w:rsidRDefault="002751A2" w:rsidP="002751A2">
      <w:pPr>
        <w:ind w:left="720"/>
      </w:pPr>
      <w:r w:rsidRPr="002751A2">
        <w:rPr>
          <w:color w:val="FF0000"/>
        </w:rPr>
        <w:t>5.8.1.C. The primary structure associated with the nonconforming use remains vacant for a period of one year.</w:t>
      </w:r>
    </w:p>
    <w:p w14:paraId="1910C062" w14:textId="77777777" w:rsidR="002751A2" w:rsidRPr="002751A2" w:rsidRDefault="002751A2" w:rsidP="002751A2">
      <w:pPr>
        <w:ind w:left="1440"/>
      </w:pPr>
      <w:r w:rsidRPr="002751A2">
        <w:rPr>
          <w:color w:val="FF0000"/>
        </w:rPr>
        <w:t>5.8.1.C.i. Calculation of Period of Discontinuance: Any period of such discontinuance caused by government actions, without any contributing fault by the nonconforming user, shall not be considered in calculating the length of discontinuance. </w:t>
      </w:r>
    </w:p>
    <w:p w14:paraId="32B133A3" w14:textId="77777777" w:rsidR="002751A2" w:rsidRPr="002751A2" w:rsidRDefault="002751A2" w:rsidP="002751A2"/>
    <w:p w14:paraId="5316CB5B" w14:textId="77777777" w:rsidR="002751A2" w:rsidRPr="002751A2" w:rsidRDefault="002751A2" w:rsidP="002751A2">
      <w:pPr>
        <w:spacing w:after="2"/>
        <w:ind w:left="1440" w:right="11"/>
      </w:pPr>
      <w:r w:rsidRPr="002751A2">
        <w:rPr>
          <w:color w:val="000000"/>
        </w:rPr>
        <w:lastRenderedPageBreak/>
        <w:t>5.</w:t>
      </w:r>
      <w:r w:rsidRPr="002751A2">
        <w:rPr>
          <w:color w:val="FF0000"/>
        </w:rPr>
        <w:t>8</w:t>
      </w:r>
      <w:r w:rsidRPr="002751A2">
        <w:rPr>
          <w:color w:val="000000"/>
        </w:rPr>
        <w:t xml:space="preserve">.1.C.ii. A vacant building or structure occupied by a use for which the building or structure was designed or intended, within a period of one (1) year after the use became nonconforming, </w:t>
      </w:r>
      <w:r w:rsidRPr="002751A2">
        <w:rPr>
          <w:color w:val="FF0000"/>
        </w:rPr>
        <w:t>is not considered abandoned. </w:t>
      </w:r>
    </w:p>
    <w:p w14:paraId="2C84456A" w14:textId="77777777" w:rsidR="002751A2" w:rsidRPr="002751A2" w:rsidRDefault="002751A2" w:rsidP="002751A2"/>
    <w:p w14:paraId="6967C7CD" w14:textId="77777777" w:rsidR="002751A2" w:rsidRPr="002751A2" w:rsidRDefault="002751A2" w:rsidP="002751A2">
      <w:r w:rsidRPr="002751A2">
        <w:rPr>
          <w:color w:val="FF0000"/>
        </w:rPr>
        <w:t>5.8.2. Presumption of Abandonment: Any party claiming that a nonconforming use has been abandoned will have the burden of establishing the abandonment. (Utah State code 10-9a-511-4(b))</w:t>
      </w:r>
    </w:p>
    <w:p w14:paraId="4D68EA93" w14:textId="77777777" w:rsidR="002751A2" w:rsidRPr="002751A2" w:rsidRDefault="002751A2" w:rsidP="002751A2">
      <w:r w:rsidRPr="002751A2">
        <w:t> </w:t>
      </w:r>
    </w:p>
    <w:p w14:paraId="75ED9755" w14:textId="1AFC2724" w:rsidR="002751A2" w:rsidRDefault="002751A2" w:rsidP="00D75ED8">
      <w:r w:rsidRPr="002751A2">
        <w:rPr>
          <w:color w:val="FF0000"/>
        </w:rPr>
        <w:t>5.8.3. Rebuttal of Presumption of Abandonment: A property owner may rebut the presumption of abandonment and shall have the burden of establishing that any claimed abandonment has not in fact occurred. (Utah State code 10-9a-511-4(b))</w:t>
      </w:r>
    </w:p>
    <w:p w14:paraId="56764CEB" w14:textId="77777777" w:rsidR="00D75ED8" w:rsidRPr="002751A2" w:rsidRDefault="00D75ED8" w:rsidP="00D75ED8"/>
    <w:p w14:paraId="36D3820E" w14:textId="77777777" w:rsidR="002751A2" w:rsidRPr="002751A2" w:rsidRDefault="002751A2" w:rsidP="002751A2">
      <w:r w:rsidRPr="002751A2">
        <w:rPr>
          <w:b/>
          <w:bCs/>
          <w:color w:val="FF0000"/>
        </w:rPr>
        <w:t>5.8.5. Abandonment Determination Procedure for Contested Uses or Structures</w:t>
      </w:r>
      <w:r w:rsidRPr="002751A2">
        <w:rPr>
          <w:color w:val="FF0000"/>
        </w:rPr>
        <w:t> </w:t>
      </w:r>
    </w:p>
    <w:p w14:paraId="6B311565" w14:textId="77777777" w:rsidR="002751A2" w:rsidRPr="002751A2" w:rsidRDefault="002751A2" w:rsidP="002751A2">
      <w:pPr>
        <w:spacing w:after="3"/>
        <w:ind w:left="365"/>
        <w:jc w:val="both"/>
      </w:pPr>
      <w:r w:rsidRPr="002751A2">
        <w:rPr>
          <w:color w:val="FF0000"/>
        </w:rPr>
        <w:t>5.8.5.A.   A noncomplying structure, a structure</w:t>
      </w:r>
      <w:r w:rsidRPr="002751A2">
        <w:rPr>
          <w:color w:val="000000"/>
        </w:rPr>
        <w:t xml:space="preserve"> </w:t>
      </w:r>
      <w:r w:rsidRPr="002751A2">
        <w:rPr>
          <w:color w:val="FF0000"/>
        </w:rPr>
        <w:t>occupied by a nonconforming use,</w:t>
      </w:r>
      <w:r w:rsidRPr="002751A2">
        <w:rPr>
          <w:color w:val="000000"/>
        </w:rPr>
        <w:t xml:space="preserve"> </w:t>
      </w:r>
      <w:r w:rsidRPr="002751A2">
        <w:rPr>
          <w:color w:val="FF0000"/>
        </w:rPr>
        <w:t>or a nonconforming use of land</w:t>
      </w:r>
      <w:r w:rsidRPr="002751A2">
        <w:rPr>
          <w:color w:val="000000"/>
        </w:rPr>
        <w:t xml:space="preserve"> </w:t>
      </w:r>
      <w:r w:rsidRPr="002751A2">
        <w:rPr>
          <w:color w:val="FF0000"/>
        </w:rPr>
        <w:t>may be determined to be abandoned by the Town after:</w:t>
      </w:r>
      <w:r w:rsidRPr="002751A2">
        <w:rPr>
          <w:color w:val="000000"/>
        </w:rPr>
        <w:t> </w:t>
      </w:r>
    </w:p>
    <w:p w14:paraId="550EBA60" w14:textId="77777777" w:rsidR="002751A2" w:rsidRPr="002751A2" w:rsidRDefault="002751A2" w:rsidP="002751A2">
      <w:pPr>
        <w:spacing w:after="3"/>
        <w:ind w:left="720"/>
        <w:jc w:val="both"/>
      </w:pPr>
      <w:r w:rsidRPr="002751A2">
        <w:rPr>
          <w:color w:val="FF0000"/>
        </w:rPr>
        <w:t>5.8.5.A.i. The Town receives a written presumption of abandonment.</w:t>
      </w:r>
    </w:p>
    <w:p w14:paraId="3110EA4A" w14:textId="77777777" w:rsidR="002751A2" w:rsidRPr="002751A2" w:rsidRDefault="002751A2" w:rsidP="002751A2"/>
    <w:p w14:paraId="70F8E48F" w14:textId="77777777" w:rsidR="002751A2" w:rsidRPr="002751A2" w:rsidRDefault="002751A2" w:rsidP="002751A2">
      <w:pPr>
        <w:spacing w:after="3"/>
        <w:ind w:left="720"/>
        <w:jc w:val="both"/>
      </w:pPr>
      <w:r w:rsidRPr="002751A2">
        <w:rPr>
          <w:color w:val="FF0000"/>
        </w:rPr>
        <w:t>5.8.5.A.ii. Investigate the claim within 30 days according to the current Town and State laws regarding these issues, determining that: </w:t>
      </w:r>
    </w:p>
    <w:p w14:paraId="17652D53" w14:textId="77777777" w:rsidR="002751A2" w:rsidRPr="002751A2" w:rsidRDefault="002751A2" w:rsidP="002751A2">
      <w:pPr>
        <w:spacing w:after="3"/>
        <w:ind w:left="1440" w:hanging="355"/>
        <w:jc w:val="both"/>
      </w:pPr>
      <w:r w:rsidRPr="002751A2">
        <w:rPr>
          <w:color w:val="FF0000"/>
        </w:rPr>
        <w:t> </w:t>
      </w:r>
    </w:p>
    <w:p w14:paraId="1F8887DF" w14:textId="77777777" w:rsidR="002751A2" w:rsidRPr="002751A2" w:rsidRDefault="002751A2" w:rsidP="002751A2">
      <w:pPr>
        <w:spacing w:after="3"/>
        <w:ind w:left="1440" w:hanging="355"/>
        <w:jc w:val="both"/>
      </w:pPr>
      <w:r w:rsidRPr="002751A2">
        <w:rPr>
          <w:color w:val="FF0000"/>
        </w:rPr>
        <w:t xml:space="preserve">5.8.5.A.ii.1. The complaint is valid according to the Town’s complaint policies and procedures; </w:t>
      </w:r>
    </w:p>
    <w:p w14:paraId="53D12AC3" w14:textId="77777777" w:rsidR="002751A2" w:rsidRPr="002751A2" w:rsidRDefault="002751A2" w:rsidP="002751A2">
      <w:pPr>
        <w:spacing w:after="3"/>
        <w:ind w:left="1440" w:hanging="355"/>
        <w:jc w:val="both"/>
      </w:pPr>
      <w:r w:rsidRPr="002751A2">
        <w:rPr>
          <w:color w:val="FF0000"/>
        </w:rPr>
        <w:t>5.8.5.A.ii.3. the use or structure is actually in noncompliance with current laws;</w:t>
      </w:r>
    </w:p>
    <w:p w14:paraId="1A624FE3" w14:textId="77777777" w:rsidR="002751A2" w:rsidRPr="002751A2" w:rsidRDefault="002751A2" w:rsidP="002751A2">
      <w:pPr>
        <w:spacing w:after="3"/>
        <w:ind w:left="1440" w:hanging="355"/>
        <w:jc w:val="both"/>
        <w:rPr>
          <w:strike/>
        </w:rPr>
      </w:pPr>
      <w:r w:rsidRPr="002751A2">
        <w:rPr>
          <w:color w:val="FF0000"/>
        </w:rPr>
        <w:t xml:space="preserve">5.8.5.A.ii.4. the use or structure not operating under a CUP or Business permit if applicable. </w:t>
      </w:r>
    </w:p>
    <w:p w14:paraId="489F7129" w14:textId="77777777" w:rsidR="002751A2" w:rsidRPr="002751A2" w:rsidRDefault="002751A2" w:rsidP="002751A2"/>
    <w:p w14:paraId="27C5067E" w14:textId="77777777" w:rsidR="002751A2" w:rsidRPr="002751A2" w:rsidRDefault="002751A2" w:rsidP="002751A2">
      <w:pPr>
        <w:spacing w:after="3"/>
        <w:ind w:left="720"/>
        <w:jc w:val="both"/>
        <w:rPr>
          <w:color w:val="FF0000"/>
          <w:sz w:val="22"/>
          <w:szCs w:val="22"/>
        </w:rPr>
      </w:pPr>
      <w:r w:rsidRPr="002751A2">
        <w:rPr>
          <w:color w:val="FF0000"/>
        </w:rPr>
        <w:t>5.8.5.A.iii.  If the Town sees cause to proceed with abandonment determination, a written notice must be sent to the affected party, 15 days prior to a hearing or action being taken. The written notice must list:</w:t>
      </w:r>
    </w:p>
    <w:p w14:paraId="368F17F9" w14:textId="77777777" w:rsidR="002751A2" w:rsidRPr="002751A2" w:rsidRDefault="002751A2" w:rsidP="002751A2">
      <w:pPr>
        <w:spacing w:after="3"/>
        <w:ind w:left="720" w:firstLine="720"/>
        <w:jc w:val="both"/>
        <w:rPr>
          <w:color w:val="FF0000"/>
        </w:rPr>
      </w:pPr>
    </w:p>
    <w:p w14:paraId="4C96C605" w14:textId="4EBFFE64" w:rsidR="002751A2" w:rsidRPr="002751A2" w:rsidRDefault="002751A2" w:rsidP="002751A2">
      <w:pPr>
        <w:spacing w:after="3"/>
        <w:ind w:left="720" w:firstLine="720"/>
        <w:jc w:val="both"/>
        <w:rPr>
          <w:color w:val="FF0000"/>
        </w:rPr>
      </w:pPr>
      <w:r w:rsidRPr="002751A2">
        <w:rPr>
          <w:color w:val="FF0000"/>
        </w:rPr>
        <w:t xml:space="preserve">5.8.5.A.iii.1. all relevant details of the complaint; </w:t>
      </w:r>
    </w:p>
    <w:p w14:paraId="4F379B23" w14:textId="77777777" w:rsidR="002751A2" w:rsidRPr="002751A2" w:rsidRDefault="002751A2" w:rsidP="002751A2">
      <w:pPr>
        <w:spacing w:after="3"/>
        <w:ind w:left="720" w:firstLine="720"/>
        <w:jc w:val="both"/>
        <w:rPr>
          <w:color w:val="FF0000"/>
        </w:rPr>
      </w:pPr>
      <w:r w:rsidRPr="002751A2">
        <w:rPr>
          <w:color w:val="FF0000"/>
        </w:rPr>
        <w:t xml:space="preserve">5.8.5.A.iii.2. any laws that may be applicable to the situation;  </w:t>
      </w:r>
    </w:p>
    <w:p w14:paraId="23476815" w14:textId="77777777" w:rsidR="002751A2" w:rsidRPr="002751A2" w:rsidRDefault="002751A2" w:rsidP="002751A2">
      <w:pPr>
        <w:spacing w:after="3"/>
        <w:ind w:left="720" w:firstLine="720"/>
        <w:jc w:val="both"/>
        <w:rPr>
          <w:color w:val="FF0000"/>
        </w:rPr>
      </w:pPr>
      <w:r w:rsidRPr="002751A2">
        <w:rPr>
          <w:color w:val="FF0000"/>
        </w:rPr>
        <w:t>5.8.5.A.iii.3. the process for determination of use;</w:t>
      </w:r>
    </w:p>
    <w:p w14:paraId="0570A35B" w14:textId="77777777" w:rsidR="002751A2" w:rsidRPr="002751A2" w:rsidRDefault="002751A2" w:rsidP="002751A2">
      <w:pPr>
        <w:spacing w:after="3"/>
        <w:ind w:left="1440"/>
        <w:jc w:val="both"/>
        <w:rPr>
          <w:color w:val="FF0000"/>
        </w:rPr>
      </w:pPr>
      <w:r w:rsidRPr="002751A2">
        <w:rPr>
          <w:color w:val="FF0000"/>
        </w:rPr>
        <w:t>5.8.5.A.iii.4. that an abandonment determination of the non-conforming use, or noncomplying structure is being considered; and</w:t>
      </w:r>
    </w:p>
    <w:p w14:paraId="4D37969A" w14:textId="77777777" w:rsidR="002751A2" w:rsidRPr="002751A2" w:rsidRDefault="002751A2" w:rsidP="002751A2">
      <w:pPr>
        <w:spacing w:after="3"/>
        <w:ind w:left="1440"/>
        <w:jc w:val="both"/>
      </w:pPr>
      <w:r w:rsidRPr="002751A2">
        <w:rPr>
          <w:color w:val="FF0000"/>
        </w:rPr>
        <w:t xml:space="preserve">5.8.5.A.iii.5. the date set for a hearing on the issue; </w:t>
      </w:r>
    </w:p>
    <w:p w14:paraId="689962CA" w14:textId="77777777" w:rsidR="002751A2" w:rsidRPr="002751A2" w:rsidRDefault="002751A2" w:rsidP="002751A2"/>
    <w:p w14:paraId="5F6FDF35" w14:textId="77777777" w:rsidR="002751A2" w:rsidRPr="002751A2" w:rsidRDefault="002751A2" w:rsidP="002751A2">
      <w:pPr>
        <w:spacing w:after="3"/>
        <w:ind w:left="720"/>
        <w:jc w:val="both"/>
      </w:pPr>
      <w:r w:rsidRPr="002751A2">
        <w:rPr>
          <w:color w:val="FF0000"/>
        </w:rPr>
        <w:t xml:space="preserve">5.8.5.A.iv.  The Town Council will hold a hearing in an open and public meeting to ensure that: </w:t>
      </w:r>
    </w:p>
    <w:p w14:paraId="61D2EFCF" w14:textId="77777777" w:rsidR="002751A2" w:rsidRPr="002751A2" w:rsidRDefault="002751A2" w:rsidP="002751A2">
      <w:pPr>
        <w:spacing w:after="3"/>
        <w:ind w:left="1440"/>
        <w:jc w:val="both"/>
        <w:rPr>
          <w:color w:val="FF0000"/>
          <w:sz w:val="22"/>
          <w:szCs w:val="22"/>
        </w:rPr>
      </w:pPr>
      <w:r w:rsidRPr="002751A2">
        <w:rPr>
          <w:color w:val="FF0000"/>
        </w:rPr>
        <w:t>5.8.5.A.iv.1. The party claiming the abandonment and the affected party have an opportunity to be heard before the Town Council. </w:t>
      </w:r>
    </w:p>
    <w:p w14:paraId="7446C631" w14:textId="77777777" w:rsidR="002751A2" w:rsidRPr="002751A2" w:rsidRDefault="002751A2" w:rsidP="002751A2">
      <w:pPr>
        <w:spacing w:after="3"/>
        <w:ind w:left="1440"/>
        <w:jc w:val="both"/>
      </w:pPr>
      <w:r w:rsidRPr="002751A2">
        <w:rPr>
          <w:color w:val="FF0000"/>
        </w:rPr>
        <w:t xml:space="preserve">5.8.5.A.iv.2. Continuity of business license or CUP must be continuation of the use. </w:t>
      </w:r>
      <w:r w:rsidRPr="002751A2">
        <w:t>(I don’t understand what this is for?)</w:t>
      </w:r>
    </w:p>
    <w:p w14:paraId="5A2E3884" w14:textId="77777777" w:rsidR="002751A2" w:rsidRPr="002751A2" w:rsidRDefault="002751A2" w:rsidP="002751A2"/>
    <w:p w14:paraId="3A3AFD64" w14:textId="77777777" w:rsidR="002751A2" w:rsidRPr="002751A2" w:rsidRDefault="002751A2" w:rsidP="002751A2">
      <w:pPr>
        <w:spacing w:after="3"/>
        <w:ind w:left="720"/>
        <w:jc w:val="both"/>
      </w:pPr>
      <w:r w:rsidRPr="002751A2">
        <w:rPr>
          <w:color w:val="FF0000"/>
        </w:rPr>
        <w:t>5.8.5.A.v. After the hearing, the Council may then determine: </w:t>
      </w:r>
    </w:p>
    <w:p w14:paraId="0417AC37" w14:textId="77777777" w:rsidR="002751A2" w:rsidRPr="002751A2" w:rsidRDefault="002751A2" w:rsidP="002751A2">
      <w:pPr>
        <w:spacing w:after="3"/>
        <w:ind w:hanging="355"/>
        <w:jc w:val="both"/>
      </w:pPr>
      <w:r w:rsidRPr="002751A2">
        <w:rPr>
          <w:color w:val="FF0000"/>
        </w:rPr>
        <w:lastRenderedPageBreak/>
        <w:tab/>
      </w:r>
      <w:r w:rsidRPr="002751A2">
        <w:rPr>
          <w:color w:val="FF0000"/>
        </w:rPr>
        <w:tab/>
      </w:r>
      <w:r w:rsidRPr="002751A2">
        <w:rPr>
          <w:color w:val="FF0000"/>
        </w:rPr>
        <w:tab/>
        <w:t>5.8.5.A.v.1. To continue the hearing to consider more information about the claim;</w:t>
      </w:r>
    </w:p>
    <w:p w14:paraId="1B366704" w14:textId="77777777" w:rsidR="002751A2" w:rsidRPr="002751A2" w:rsidRDefault="002751A2" w:rsidP="002751A2">
      <w:pPr>
        <w:spacing w:after="3"/>
        <w:ind w:hanging="355"/>
        <w:jc w:val="both"/>
      </w:pPr>
      <w:r w:rsidRPr="002751A2">
        <w:rPr>
          <w:color w:val="FF0000"/>
        </w:rPr>
        <w:tab/>
      </w:r>
      <w:r w:rsidRPr="002751A2">
        <w:rPr>
          <w:color w:val="FF0000"/>
        </w:rPr>
        <w:tab/>
      </w:r>
      <w:r w:rsidRPr="002751A2">
        <w:rPr>
          <w:color w:val="FF0000"/>
        </w:rPr>
        <w:tab/>
        <w:t xml:space="preserve">5.8.5.A.v.2. the use or structure has not been abandoned and may </w:t>
      </w:r>
      <w:r w:rsidRPr="002751A2">
        <w:rPr>
          <w:strike/>
          <w:color w:val="FF0000"/>
        </w:rPr>
        <w:t>to</w:t>
      </w:r>
      <w:r w:rsidRPr="002751A2">
        <w:rPr>
          <w:color w:val="FF0000"/>
        </w:rPr>
        <w:t xml:space="preserve"> continue;</w:t>
      </w:r>
    </w:p>
    <w:p w14:paraId="111ABE4D" w14:textId="77777777" w:rsidR="002751A2" w:rsidRPr="002751A2" w:rsidRDefault="002751A2" w:rsidP="002751A2">
      <w:pPr>
        <w:spacing w:after="3"/>
        <w:ind w:left="1440" w:hanging="355"/>
        <w:jc w:val="both"/>
      </w:pPr>
      <w:r w:rsidRPr="002751A2">
        <w:rPr>
          <w:color w:val="FF0000"/>
        </w:rPr>
        <w:tab/>
        <w:t>5.8.5.A.v.3. the use or structure has been abandoned and may not continue;</w:t>
      </w:r>
    </w:p>
    <w:p w14:paraId="4A034C24" w14:textId="77777777" w:rsidR="002751A2" w:rsidRPr="002751A2" w:rsidRDefault="002751A2" w:rsidP="002751A2">
      <w:pPr>
        <w:spacing w:after="3"/>
        <w:ind w:hanging="355"/>
        <w:jc w:val="both"/>
      </w:pPr>
      <w:r w:rsidRPr="002751A2">
        <w:rPr>
          <w:color w:val="FF0000"/>
        </w:rPr>
        <w:tab/>
      </w:r>
      <w:r w:rsidRPr="002751A2">
        <w:rPr>
          <w:color w:val="FF0000"/>
        </w:rPr>
        <w:tab/>
      </w:r>
      <w:r w:rsidRPr="002751A2">
        <w:rPr>
          <w:color w:val="FF0000"/>
        </w:rPr>
        <w:tab/>
        <w:t>5.8.5.A.v.4. set an amortization period;</w:t>
      </w:r>
    </w:p>
    <w:p w14:paraId="7B8CD572" w14:textId="77777777" w:rsidR="002751A2" w:rsidRPr="002751A2" w:rsidRDefault="002751A2" w:rsidP="002751A2"/>
    <w:p w14:paraId="64E5647B" w14:textId="77777777" w:rsidR="002751A2" w:rsidRPr="002751A2" w:rsidRDefault="002751A2" w:rsidP="002751A2">
      <w:pPr>
        <w:spacing w:after="3"/>
        <w:ind w:left="720"/>
        <w:jc w:val="both"/>
      </w:pPr>
      <w:r w:rsidRPr="002751A2">
        <w:rPr>
          <w:color w:val="FF0000"/>
        </w:rPr>
        <w:t>5.8.5.A.vi. Any revocation or mitigation may require the Council to set a date for termination or conditional compliance of a Nonconforming use or Noncomplying Structure by Amortization according to the following standards: </w:t>
      </w:r>
    </w:p>
    <w:p w14:paraId="4F4CBC71" w14:textId="77777777" w:rsidR="002751A2" w:rsidRPr="002751A2" w:rsidRDefault="002751A2" w:rsidP="002751A2"/>
    <w:p w14:paraId="4DE61B42" w14:textId="77777777" w:rsidR="002751A2" w:rsidRPr="002751A2" w:rsidRDefault="002751A2" w:rsidP="002751A2">
      <w:pPr>
        <w:spacing w:after="3"/>
        <w:ind w:left="1440" w:firstLine="5"/>
        <w:jc w:val="both"/>
      </w:pPr>
      <w:r w:rsidRPr="002751A2">
        <w:rPr>
          <w:color w:val="FF0000"/>
        </w:rPr>
        <w:t xml:space="preserve">5.8.5.A.vi.1. </w:t>
      </w:r>
      <w:r w:rsidRPr="002751A2">
        <w:rPr>
          <w:b/>
          <w:bCs/>
          <w:color w:val="FF0000"/>
        </w:rPr>
        <w:t>Standards For Determining Amortization Period</w:t>
      </w:r>
      <w:r w:rsidRPr="002751A2">
        <w:rPr>
          <w:color w:val="FF0000"/>
        </w:rPr>
        <w:t>: The Town may determine the appropriate amortization period (a formula establishing a reasonable time period during which the owner can recover or amortize the amount of the owner's investment in the nonconforming use) upon the consideration of evidence gathered by the investigation and presented at the hearing  regarding the following factors:</w:t>
      </w:r>
    </w:p>
    <w:p w14:paraId="0FB09583" w14:textId="77777777" w:rsidR="002751A2" w:rsidRPr="002751A2" w:rsidRDefault="002751A2" w:rsidP="002751A2">
      <w:pPr>
        <w:spacing w:after="3"/>
        <w:ind w:left="2160" w:hanging="220"/>
        <w:jc w:val="both"/>
      </w:pPr>
      <w:r w:rsidRPr="002751A2">
        <w:rPr>
          <w:color w:val="FF0000"/>
        </w:rPr>
        <w:t>a. The general character of the area surrounding the nonconforming use;</w:t>
      </w:r>
    </w:p>
    <w:p w14:paraId="0464709A" w14:textId="77777777" w:rsidR="002751A2" w:rsidRPr="002751A2" w:rsidRDefault="002751A2" w:rsidP="002751A2">
      <w:pPr>
        <w:spacing w:after="3"/>
        <w:ind w:left="2160" w:hanging="220"/>
        <w:jc w:val="both"/>
      </w:pPr>
      <w:r w:rsidRPr="002751A2">
        <w:rPr>
          <w:color w:val="FF0000"/>
        </w:rPr>
        <w:t>b. The zoning classification and use(s) of nearby property;</w:t>
      </w:r>
    </w:p>
    <w:p w14:paraId="1C40654A" w14:textId="77777777" w:rsidR="002751A2" w:rsidRPr="002751A2" w:rsidRDefault="002751A2" w:rsidP="002751A2">
      <w:pPr>
        <w:spacing w:after="3"/>
        <w:ind w:left="2160" w:hanging="220"/>
        <w:jc w:val="both"/>
      </w:pPr>
      <w:r w:rsidRPr="002751A2">
        <w:rPr>
          <w:color w:val="FF0000"/>
        </w:rPr>
        <w:t>d. The owner's actual amount of investment in the property on the effective date of nonconformance, less any investment required by other applicable laws and regulations;</w:t>
      </w:r>
    </w:p>
    <w:p w14:paraId="6D7A9B33" w14:textId="77777777" w:rsidR="002751A2" w:rsidRPr="002751A2" w:rsidRDefault="002751A2" w:rsidP="002751A2">
      <w:pPr>
        <w:spacing w:after="3"/>
        <w:ind w:left="2160" w:hanging="220"/>
        <w:jc w:val="both"/>
      </w:pPr>
      <w:r w:rsidRPr="002751A2">
        <w:rPr>
          <w:color w:val="FF0000"/>
        </w:rPr>
        <w:t>e. The amount of financial loss, if any, that would be suffered by the owner upon termination of the use; and</w:t>
      </w:r>
    </w:p>
    <w:p w14:paraId="13A0F322" w14:textId="77777777" w:rsidR="002751A2" w:rsidRPr="002751A2" w:rsidRDefault="002751A2" w:rsidP="002751A2">
      <w:pPr>
        <w:spacing w:after="3"/>
        <w:ind w:left="2160" w:hanging="220"/>
        <w:jc w:val="both"/>
      </w:pPr>
      <w:r w:rsidRPr="002751A2">
        <w:rPr>
          <w:color w:val="FF0000"/>
        </w:rPr>
        <w:t>f. The extent to which the amortization period will further the public health, safety and welfare.</w:t>
      </w:r>
    </w:p>
    <w:p w14:paraId="20798A72" w14:textId="5751B0F6" w:rsidR="002751A2" w:rsidRPr="002751A2" w:rsidRDefault="002751A2" w:rsidP="00D75ED8">
      <w:pPr>
        <w:ind w:hanging="220"/>
      </w:pPr>
      <w:r w:rsidRPr="002751A2">
        <w:t> </w:t>
      </w:r>
    </w:p>
    <w:p w14:paraId="71C0FE85" w14:textId="77777777" w:rsidR="002751A2" w:rsidRPr="002751A2" w:rsidRDefault="002751A2" w:rsidP="002751A2">
      <w:pPr>
        <w:spacing w:after="3"/>
        <w:ind w:left="720"/>
        <w:jc w:val="both"/>
      </w:pPr>
      <w:r w:rsidRPr="002751A2">
        <w:rPr>
          <w:color w:val="FF0000"/>
        </w:rPr>
        <w:t>5.8.5.A.vii. Once a final decision has been made by the Council, the Town will issue a written notice of determination to the property owner property owners or designee. </w:t>
      </w:r>
    </w:p>
    <w:p w14:paraId="13F11C9F" w14:textId="77777777" w:rsidR="002751A2" w:rsidRPr="002751A2" w:rsidRDefault="002751A2" w:rsidP="002751A2"/>
    <w:p w14:paraId="23E3AD3F" w14:textId="77777777" w:rsidR="002751A2" w:rsidRPr="002751A2" w:rsidRDefault="002751A2" w:rsidP="002751A2">
      <w:pPr>
        <w:spacing w:after="3"/>
        <w:ind w:left="720"/>
        <w:jc w:val="both"/>
      </w:pPr>
      <w:r w:rsidRPr="002751A2">
        <w:rPr>
          <w:color w:val="FF0000"/>
        </w:rPr>
        <w:t>5.8.5.A.viii. If abandonment is determined by the Council, the written notice will outline the process and procedure for Termination of a Nonconforming use or Noncomplying Structure by Amortization determined in combination with the Town Council, Town staff, and the owner(s) or designated representative of the property.  </w:t>
      </w:r>
    </w:p>
    <w:p w14:paraId="14723985" w14:textId="73FEB331" w:rsidR="002751A2" w:rsidRPr="002751A2" w:rsidRDefault="002751A2" w:rsidP="00D75ED8">
      <w:pPr>
        <w:spacing w:after="3"/>
        <w:jc w:val="both"/>
      </w:pPr>
    </w:p>
    <w:p w14:paraId="7D1553A4" w14:textId="77777777" w:rsidR="002751A2" w:rsidRPr="002751A2" w:rsidRDefault="002751A2" w:rsidP="002751A2">
      <w:pPr>
        <w:spacing w:after="3"/>
        <w:ind w:right="722"/>
        <w:jc w:val="both"/>
      </w:pPr>
      <w:r w:rsidRPr="002751A2">
        <w:rPr>
          <w:b/>
          <w:bCs/>
          <w:color w:val="FF0000"/>
        </w:rPr>
        <w:t>5.9. Appeal</w:t>
      </w:r>
      <w:r w:rsidRPr="002751A2">
        <w:rPr>
          <w:color w:val="FF0000"/>
        </w:rPr>
        <w:t>:</w:t>
      </w:r>
      <w:r w:rsidRPr="002751A2">
        <w:rPr>
          <w:color w:val="000000"/>
        </w:rPr>
        <w:t xml:space="preserve">  </w:t>
      </w:r>
    </w:p>
    <w:p w14:paraId="0FAB3FC3" w14:textId="77777777" w:rsidR="002751A2" w:rsidRPr="002751A2" w:rsidRDefault="002751A2" w:rsidP="002751A2">
      <w:pPr>
        <w:spacing w:after="3"/>
        <w:ind w:left="720" w:right="722"/>
        <w:jc w:val="both"/>
        <w:rPr>
          <w:color w:val="FF0000"/>
        </w:rPr>
      </w:pPr>
    </w:p>
    <w:p w14:paraId="3636C0DA" w14:textId="2A977689" w:rsidR="002751A2" w:rsidRPr="002751A2" w:rsidRDefault="002751A2" w:rsidP="002751A2">
      <w:pPr>
        <w:spacing w:after="3"/>
        <w:ind w:left="720" w:right="722"/>
        <w:jc w:val="both"/>
      </w:pPr>
      <w:r w:rsidRPr="002751A2">
        <w:rPr>
          <w:color w:val="FF0000"/>
        </w:rPr>
        <w:t>5.9.1.</w:t>
      </w:r>
      <w:r w:rsidRPr="002751A2">
        <w:rPr>
          <w:color w:val="000000"/>
        </w:rPr>
        <w:t xml:space="preserve"> A property owner has the right to appeal the Town Council’s decision to the Virgin Appeal Authority in compliance with VULU Chapter 3 within 15 days of: </w:t>
      </w:r>
    </w:p>
    <w:p w14:paraId="6F307E23" w14:textId="77777777" w:rsidR="002751A2" w:rsidRPr="002751A2" w:rsidRDefault="002751A2" w:rsidP="002751A2">
      <w:pPr>
        <w:spacing w:after="3"/>
        <w:ind w:left="1440" w:right="722" w:hanging="355"/>
        <w:jc w:val="both"/>
        <w:rPr>
          <w:color w:val="FF0000"/>
        </w:rPr>
      </w:pPr>
    </w:p>
    <w:p w14:paraId="6D9131DA" w14:textId="37B9D516" w:rsidR="002751A2" w:rsidRPr="002751A2" w:rsidRDefault="002751A2" w:rsidP="002751A2">
      <w:pPr>
        <w:spacing w:after="3"/>
        <w:ind w:left="1440" w:right="722" w:hanging="355"/>
        <w:jc w:val="both"/>
      </w:pPr>
      <w:r w:rsidRPr="002751A2">
        <w:rPr>
          <w:color w:val="FF0000"/>
        </w:rPr>
        <w:t>5.9.1.i.</w:t>
      </w:r>
      <w:r w:rsidRPr="002751A2">
        <w:rPr>
          <w:rFonts w:ascii="Arial" w:hAnsi="Arial" w:cs="Arial"/>
          <w:color w:val="FF0000"/>
          <w:sz w:val="21"/>
          <w:szCs w:val="21"/>
        </w:rPr>
        <w:t xml:space="preserve"> </w:t>
      </w:r>
      <w:r w:rsidRPr="002751A2">
        <w:rPr>
          <w:color w:val="000000"/>
        </w:rPr>
        <w:t> the Town Council’s decision issued at the conclusion of the informal hearing; or  </w:t>
      </w:r>
    </w:p>
    <w:p w14:paraId="76325D0C" w14:textId="77777777" w:rsidR="002751A2" w:rsidRPr="002751A2" w:rsidRDefault="002751A2" w:rsidP="002751A2">
      <w:pPr>
        <w:spacing w:after="3"/>
        <w:ind w:left="1440" w:right="722" w:hanging="355"/>
        <w:jc w:val="both"/>
      </w:pPr>
      <w:r w:rsidRPr="002751A2">
        <w:rPr>
          <w:color w:val="FF0000"/>
        </w:rPr>
        <w:t>5.9.1.ii.</w:t>
      </w:r>
      <w:r w:rsidRPr="002751A2">
        <w:rPr>
          <w:color w:val="000000"/>
        </w:rPr>
        <w:t xml:space="preserve"> the date the written determination is issued and delivered to the applicant; or</w:t>
      </w:r>
    </w:p>
    <w:p w14:paraId="05288216" w14:textId="77777777" w:rsidR="002751A2" w:rsidRPr="002751A2" w:rsidRDefault="002751A2" w:rsidP="002751A2">
      <w:pPr>
        <w:spacing w:after="3"/>
        <w:ind w:left="1440" w:right="722" w:hanging="355"/>
        <w:jc w:val="both"/>
      </w:pPr>
      <w:r w:rsidRPr="002751A2">
        <w:rPr>
          <w:color w:val="FF0000"/>
        </w:rPr>
        <w:t>5.9.1.iii.</w:t>
      </w:r>
      <w:r w:rsidRPr="002751A2">
        <w:rPr>
          <w:color w:val="000000"/>
        </w:rPr>
        <w:t xml:space="preserve">  </w:t>
      </w:r>
      <w:r w:rsidRPr="002751A2">
        <w:rPr>
          <w:color w:val="FF0000"/>
        </w:rPr>
        <w:t>a future date specified by the Town Council. </w:t>
      </w:r>
    </w:p>
    <w:p w14:paraId="7E1328AE" w14:textId="77777777" w:rsidR="002751A2" w:rsidRPr="002751A2" w:rsidRDefault="002751A2" w:rsidP="002751A2"/>
    <w:p w14:paraId="400C9F3C" w14:textId="77777777" w:rsidR="002751A2" w:rsidRPr="002751A2" w:rsidRDefault="002751A2" w:rsidP="002751A2">
      <w:pPr>
        <w:spacing w:after="3"/>
        <w:ind w:left="720" w:right="722"/>
        <w:jc w:val="both"/>
      </w:pPr>
      <w:r w:rsidRPr="002751A2">
        <w:rPr>
          <w:color w:val="FF0000"/>
        </w:rPr>
        <w:lastRenderedPageBreak/>
        <w:t>5.9.2. Appeal: Any person adversely affected by a final decision of the appeals authority may file a petition for review of the decision with the district court within thirty (30) days after the decision is rendered.</w:t>
      </w:r>
    </w:p>
    <w:p w14:paraId="6C9AAD43" w14:textId="77777777" w:rsidR="002751A2" w:rsidRDefault="002751A2" w:rsidP="002751A2">
      <w:pPr>
        <w:rPr>
          <w:rFonts w:asciiTheme="minorHAnsi" w:eastAsiaTheme="minorHAnsi" w:hAnsiTheme="minorHAnsi" w:cstheme="minorBidi"/>
          <w:sz w:val="22"/>
          <w:szCs w:val="22"/>
        </w:rPr>
      </w:pPr>
    </w:p>
    <w:p w14:paraId="04F5E2CC" w14:textId="77777777" w:rsidR="002751A2" w:rsidRDefault="002751A2" w:rsidP="002751A2">
      <w:r>
        <w:t>(Definitions to be included in Chapter 1)</w:t>
      </w:r>
    </w:p>
    <w:p w14:paraId="130A0A2B" w14:textId="77777777" w:rsidR="00740DA8" w:rsidRPr="00B817E8" w:rsidRDefault="00740DA8" w:rsidP="00740DA8">
      <w:pPr>
        <w:spacing w:after="3"/>
        <w:ind w:right="722" w:hanging="355"/>
        <w:jc w:val="both"/>
        <w:rPr>
          <w:sz w:val="23"/>
          <w:szCs w:val="23"/>
        </w:rPr>
      </w:pPr>
    </w:p>
    <w:p w14:paraId="3B358394" w14:textId="77777777" w:rsidR="005D2215" w:rsidRPr="00B817E8" w:rsidRDefault="005D2215" w:rsidP="0070466D">
      <w:pPr>
        <w:pStyle w:val="ListParagraph"/>
        <w:widowControl w:val="0"/>
        <w:numPr>
          <w:ilvl w:val="0"/>
          <w:numId w:val="6"/>
        </w:numPr>
        <w:autoSpaceDE w:val="0"/>
        <w:autoSpaceDN w:val="0"/>
        <w:adjustRightInd w:val="0"/>
        <w:spacing w:line="100" w:lineRule="atLeast"/>
        <w:ind w:left="0" w:firstLine="0"/>
        <w:jc w:val="both"/>
        <w:rPr>
          <w:sz w:val="23"/>
          <w:szCs w:val="23"/>
        </w:rPr>
      </w:pPr>
      <w:bookmarkStart w:id="0" w:name="_Hlk8039166"/>
      <w:r w:rsidRPr="00B817E8">
        <w:rPr>
          <w:sz w:val="23"/>
          <w:szCs w:val="23"/>
          <w:u w:val="single"/>
        </w:rPr>
        <w:t>Severability</w:t>
      </w:r>
      <w:r w:rsidRPr="00B817E8">
        <w:rPr>
          <w:rFonts w:eastAsia="MS Mincho"/>
          <w:sz w:val="23"/>
          <w:szCs w:val="23"/>
        </w:rPr>
        <w:t xml:space="preserve">.  </w:t>
      </w:r>
      <w:r w:rsidRPr="00B817E8">
        <w:rPr>
          <w:sz w:val="23"/>
          <w:szCs w:val="23"/>
        </w:rPr>
        <w:t>If any section, clause or portion of this Ordinance is declared invalid by a court of competent jurisdiction, the remainder shall not be affected thereby and shall remain in full force and effect.</w:t>
      </w:r>
    </w:p>
    <w:p w14:paraId="0F05A0B5" w14:textId="77777777" w:rsidR="005D2215" w:rsidRPr="00B817E8" w:rsidRDefault="005D2215" w:rsidP="0070466D">
      <w:pPr>
        <w:pStyle w:val="ListParagraph"/>
        <w:widowControl w:val="0"/>
        <w:autoSpaceDE w:val="0"/>
        <w:autoSpaceDN w:val="0"/>
        <w:adjustRightInd w:val="0"/>
        <w:spacing w:line="100" w:lineRule="atLeast"/>
        <w:ind w:left="0"/>
        <w:jc w:val="both"/>
        <w:rPr>
          <w:sz w:val="23"/>
          <w:szCs w:val="23"/>
        </w:rPr>
      </w:pPr>
    </w:p>
    <w:p w14:paraId="65F2EE5B" w14:textId="77777777" w:rsidR="005D2215" w:rsidRPr="00B817E8" w:rsidRDefault="005D2215" w:rsidP="0070466D">
      <w:pPr>
        <w:pStyle w:val="ListParagraph"/>
        <w:widowControl w:val="0"/>
        <w:numPr>
          <w:ilvl w:val="0"/>
          <w:numId w:val="6"/>
        </w:numPr>
        <w:autoSpaceDE w:val="0"/>
        <w:autoSpaceDN w:val="0"/>
        <w:adjustRightInd w:val="0"/>
        <w:spacing w:line="100" w:lineRule="atLeast"/>
        <w:ind w:left="0" w:firstLine="0"/>
        <w:jc w:val="both"/>
        <w:rPr>
          <w:sz w:val="23"/>
          <w:szCs w:val="23"/>
        </w:rPr>
      </w:pPr>
      <w:r w:rsidRPr="00B817E8">
        <w:rPr>
          <w:sz w:val="23"/>
          <w:szCs w:val="23"/>
          <w:u w:val="single"/>
        </w:rPr>
        <w:t>Conflicts/Repealer</w:t>
      </w:r>
      <w:r w:rsidRPr="00B817E8">
        <w:rPr>
          <w:rFonts w:eastAsia="MS Mincho"/>
          <w:sz w:val="23"/>
          <w:szCs w:val="23"/>
        </w:rPr>
        <w:t xml:space="preserve">.  </w:t>
      </w:r>
      <w:r w:rsidRPr="00B817E8">
        <w:rPr>
          <w:sz w:val="23"/>
          <w:szCs w:val="23"/>
        </w:rPr>
        <w:t xml:space="preserve">This Ordinance repeals and </w:t>
      </w:r>
      <w:r w:rsidR="0070466D" w:rsidRPr="00B817E8">
        <w:rPr>
          <w:sz w:val="23"/>
          <w:szCs w:val="23"/>
        </w:rPr>
        <w:t>supersedes</w:t>
      </w:r>
      <w:r w:rsidRPr="00B817E8">
        <w:rPr>
          <w:sz w:val="23"/>
          <w:szCs w:val="23"/>
        </w:rPr>
        <w:t xml:space="preserve"> the provisions of any prior ordinance in conflict herewith.</w:t>
      </w:r>
    </w:p>
    <w:p w14:paraId="33AF1883" w14:textId="77777777" w:rsidR="005D2215" w:rsidRPr="00B817E8" w:rsidRDefault="005D2215" w:rsidP="0070466D">
      <w:pPr>
        <w:pStyle w:val="ListParagraph"/>
        <w:jc w:val="both"/>
        <w:rPr>
          <w:rFonts w:eastAsia="MS Mincho"/>
          <w:sz w:val="23"/>
          <w:szCs w:val="23"/>
          <w:u w:val="single"/>
        </w:rPr>
      </w:pPr>
    </w:p>
    <w:p w14:paraId="5F4C324E" w14:textId="77777777" w:rsidR="00AC5F89" w:rsidRPr="00B817E8" w:rsidRDefault="005D2215" w:rsidP="00AC5F89">
      <w:pPr>
        <w:numPr>
          <w:ilvl w:val="0"/>
          <w:numId w:val="6"/>
        </w:numPr>
        <w:ind w:left="0" w:firstLine="0"/>
        <w:contextualSpacing/>
        <w:jc w:val="both"/>
        <w:rPr>
          <w:rFonts w:eastAsia="MS Mincho"/>
          <w:sz w:val="23"/>
          <w:szCs w:val="23"/>
        </w:rPr>
      </w:pPr>
      <w:r w:rsidRPr="00B817E8">
        <w:rPr>
          <w:rFonts w:eastAsia="MS Mincho"/>
          <w:sz w:val="23"/>
          <w:szCs w:val="23"/>
          <w:u w:val="single"/>
        </w:rPr>
        <w:t>Effective Date</w:t>
      </w:r>
      <w:r w:rsidRPr="00B817E8">
        <w:rPr>
          <w:rFonts w:eastAsia="MS Mincho"/>
          <w:sz w:val="23"/>
          <w:szCs w:val="23"/>
        </w:rPr>
        <w:t xml:space="preserve">.  </w:t>
      </w:r>
      <w:r w:rsidR="00AC5F89" w:rsidRPr="00B817E8">
        <w:rPr>
          <w:rFonts w:eastAsia="MS Mincho"/>
          <w:sz w:val="23"/>
          <w:szCs w:val="23"/>
        </w:rPr>
        <w:t>This Ordinance shall become effective immediately upon adoption by the Virgin Town Council and execution by the Virgin Town Mayor.</w:t>
      </w:r>
    </w:p>
    <w:p w14:paraId="0932B694" w14:textId="0D2D593D" w:rsidR="005D2215" w:rsidRDefault="005D2215" w:rsidP="00AC5F89">
      <w:pPr>
        <w:pStyle w:val="ListParagraph"/>
        <w:widowControl w:val="0"/>
        <w:autoSpaceDE w:val="0"/>
        <w:autoSpaceDN w:val="0"/>
        <w:adjustRightInd w:val="0"/>
        <w:spacing w:line="100" w:lineRule="atLeast"/>
        <w:ind w:left="0"/>
        <w:jc w:val="both"/>
        <w:rPr>
          <w:sz w:val="23"/>
          <w:szCs w:val="23"/>
        </w:rPr>
      </w:pPr>
    </w:p>
    <w:p w14:paraId="1FC52525" w14:textId="77777777" w:rsidR="00D75ED8" w:rsidRPr="00B817E8" w:rsidRDefault="00D75ED8" w:rsidP="00AC5F89">
      <w:pPr>
        <w:pStyle w:val="ListParagraph"/>
        <w:widowControl w:val="0"/>
        <w:autoSpaceDE w:val="0"/>
        <w:autoSpaceDN w:val="0"/>
        <w:adjustRightInd w:val="0"/>
        <w:spacing w:line="100" w:lineRule="atLeast"/>
        <w:ind w:left="0"/>
        <w:jc w:val="both"/>
        <w:rPr>
          <w:sz w:val="23"/>
          <w:szCs w:val="23"/>
        </w:rPr>
      </w:pPr>
    </w:p>
    <w:p w14:paraId="7992EFE1" w14:textId="508AFC7E" w:rsidR="0001212D" w:rsidRPr="00B817E8" w:rsidRDefault="0001212D" w:rsidP="0001212D">
      <w:pPr>
        <w:ind w:firstLine="720"/>
        <w:jc w:val="both"/>
        <w:rPr>
          <w:rFonts w:eastAsia="MS Mincho"/>
          <w:bCs/>
          <w:sz w:val="23"/>
          <w:szCs w:val="23"/>
          <w:lang w:val="en"/>
        </w:rPr>
      </w:pPr>
      <w:r w:rsidRPr="00B817E8">
        <w:rPr>
          <w:rFonts w:eastAsia="MS Mincho"/>
          <w:bCs/>
          <w:sz w:val="23"/>
          <w:szCs w:val="23"/>
          <w:lang w:val="en"/>
        </w:rPr>
        <w:t>ADOPTED AND APPROVED BY THE VIRGIN TOWN COUNCIL</w:t>
      </w:r>
      <w:r w:rsidR="00570925" w:rsidRPr="00B817E8">
        <w:rPr>
          <w:rFonts w:eastAsia="MS Mincho"/>
          <w:bCs/>
          <w:sz w:val="23"/>
          <w:szCs w:val="23"/>
          <w:lang w:val="en"/>
        </w:rPr>
        <w:t xml:space="preserve"> ORDINANCE NUMBER 201</w:t>
      </w:r>
      <w:r w:rsidR="003C780D" w:rsidRPr="00B817E8">
        <w:rPr>
          <w:rFonts w:eastAsia="MS Mincho"/>
          <w:bCs/>
          <w:sz w:val="23"/>
          <w:szCs w:val="23"/>
          <w:lang w:val="en"/>
        </w:rPr>
        <w:t>9</w:t>
      </w:r>
      <w:r w:rsidR="00570925" w:rsidRPr="00B817E8">
        <w:rPr>
          <w:rFonts w:eastAsia="MS Mincho"/>
          <w:bCs/>
          <w:sz w:val="23"/>
          <w:szCs w:val="23"/>
          <w:lang w:val="en"/>
        </w:rPr>
        <w:t>-</w:t>
      </w:r>
      <w:r w:rsidR="00740DA8" w:rsidRPr="00B817E8">
        <w:rPr>
          <w:rFonts w:eastAsia="MS Mincho"/>
          <w:bCs/>
          <w:sz w:val="23"/>
          <w:szCs w:val="23"/>
          <w:lang w:val="en"/>
        </w:rPr>
        <w:t>27</w:t>
      </w:r>
      <w:r w:rsidR="00570925" w:rsidRPr="00B817E8">
        <w:rPr>
          <w:rFonts w:eastAsia="MS Mincho"/>
          <w:bCs/>
          <w:sz w:val="23"/>
          <w:szCs w:val="23"/>
          <w:lang w:val="en"/>
        </w:rPr>
        <w:t xml:space="preserve"> will </w:t>
      </w:r>
      <w:r w:rsidR="00E30851" w:rsidRPr="00B817E8">
        <w:rPr>
          <w:rFonts w:eastAsia="MS Mincho"/>
          <w:bCs/>
          <w:sz w:val="23"/>
          <w:szCs w:val="23"/>
          <w:lang w:val="en"/>
        </w:rPr>
        <w:t>become</w:t>
      </w:r>
      <w:r w:rsidR="00570925" w:rsidRPr="00B817E8">
        <w:rPr>
          <w:rFonts w:eastAsia="MS Mincho"/>
          <w:bCs/>
          <w:sz w:val="23"/>
          <w:szCs w:val="23"/>
          <w:lang w:val="en"/>
        </w:rPr>
        <w:t xml:space="preserve"> effective on</w:t>
      </w:r>
      <w:r w:rsidRPr="00B817E8">
        <w:rPr>
          <w:rFonts w:eastAsia="MS Mincho"/>
          <w:bCs/>
          <w:sz w:val="23"/>
          <w:szCs w:val="23"/>
          <w:lang w:val="en"/>
        </w:rPr>
        <w:t xml:space="preserve"> this</w:t>
      </w:r>
      <w:r w:rsidR="00EE637A" w:rsidRPr="00B817E8">
        <w:rPr>
          <w:rFonts w:eastAsia="MS Mincho"/>
          <w:bCs/>
          <w:sz w:val="23"/>
          <w:szCs w:val="23"/>
          <w:lang w:val="en"/>
        </w:rPr>
        <w:t xml:space="preserve"> </w:t>
      </w:r>
      <w:r w:rsidR="00E70C91" w:rsidRPr="00B817E8">
        <w:rPr>
          <w:rFonts w:eastAsia="MS Mincho"/>
          <w:bCs/>
          <w:sz w:val="23"/>
          <w:szCs w:val="23"/>
          <w:lang w:val="en"/>
        </w:rPr>
        <w:t>___</w:t>
      </w:r>
      <w:r w:rsidRPr="00B817E8">
        <w:rPr>
          <w:rFonts w:eastAsia="MS Mincho"/>
          <w:bCs/>
          <w:sz w:val="23"/>
          <w:szCs w:val="23"/>
          <w:lang w:val="en"/>
        </w:rPr>
        <w:t xml:space="preserve"> day of </w:t>
      </w:r>
      <w:r w:rsidR="00B95981" w:rsidRPr="00B817E8">
        <w:rPr>
          <w:rFonts w:eastAsia="MS Mincho"/>
          <w:bCs/>
          <w:sz w:val="23"/>
          <w:szCs w:val="23"/>
          <w:lang w:val="en"/>
        </w:rPr>
        <w:t>_________</w:t>
      </w:r>
      <w:r w:rsidRPr="00B817E8">
        <w:rPr>
          <w:rFonts w:eastAsia="MS Mincho"/>
          <w:bCs/>
          <w:sz w:val="23"/>
          <w:szCs w:val="23"/>
          <w:lang w:val="en"/>
        </w:rPr>
        <w:t>, 201</w:t>
      </w:r>
      <w:r w:rsidR="003C780D" w:rsidRPr="00B817E8">
        <w:rPr>
          <w:rFonts w:eastAsia="MS Mincho"/>
          <w:bCs/>
          <w:sz w:val="23"/>
          <w:szCs w:val="23"/>
          <w:lang w:val="en"/>
        </w:rPr>
        <w:t>9</w:t>
      </w:r>
      <w:r w:rsidRPr="00B817E8">
        <w:rPr>
          <w:rFonts w:eastAsia="MS Mincho"/>
          <w:bCs/>
          <w:sz w:val="23"/>
          <w:szCs w:val="23"/>
          <w:lang w:val="en"/>
        </w:rPr>
        <w:t xml:space="preserve"> based upon the following vote:</w:t>
      </w:r>
    </w:p>
    <w:p w14:paraId="150979B6" w14:textId="77777777" w:rsidR="0001212D" w:rsidRPr="00B817E8" w:rsidRDefault="0001212D" w:rsidP="0001212D">
      <w:pPr>
        <w:widowControl w:val="0"/>
        <w:tabs>
          <w:tab w:val="left" w:pos="1530"/>
          <w:tab w:val="left" w:pos="5040"/>
          <w:tab w:val="left" w:pos="6120"/>
        </w:tabs>
        <w:rPr>
          <w:rFonts w:eastAsia="MS Mincho"/>
          <w:bCs/>
          <w:sz w:val="23"/>
          <w:szCs w:val="23"/>
          <w:lang w:val="en"/>
        </w:rPr>
      </w:pPr>
    </w:p>
    <w:p w14:paraId="278EEF0B" w14:textId="77777777" w:rsidR="0001212D" w:rsidRPr="00B817E8" w:rsidRDefault="0001212D" w:rsidP="0001212D">
      <w:pPr>
        <w:widowControl w:val="0"/>
        <w:tabs>
          <w:tab w:val="left" w:pos="1530"/>
          <w:tab w:val="left" w:pos="5040"/>
          <w:tab w:val="left" w:pos="6120"/>
        </w:tabs>
        <w:rPr>
          <w:rFonts w:eastAsia="MS Mincho"/>
          <w:sz w:val="23"/>
          <w:szCs w:val="23"/>
          <w:u w:val="single"/>
        </w:rPr>
      </w:pPr>
      <w:r w:rsidRPr="00B817E8">
        <w:rPr>
          <w:rFonts w:eastAsia="MS Mincho"/>
          <w:sz w:val="23"/>
          <w:szCs w:val="23"/>
        </w:rPr>
        <w:tab/>
      </w:r>
      <w:r w:rsidRPr="00B817E8">
        <w:rPr>
          <w:rFonts w:eastAsia="MS Mincho"/>
          <w:sz w:val="23"/>
          <w:szCs w:val="23"/>
          <w:u w:val="single"/>
        </w:rPr>
        <w:t>Council Member:</w:t>
      </w:r>
    </w:p>
    <w:p w14:paraId="31754E1E" w14:textId="77777777" w:rsidR="0001212D" w:rsidRPr="00B817E8" w:rsidRDefault="0001212D" w:rsidP="0001212D">
      <w:pPr>
        <w:widowControl w:val="0"/>
        <w:tabs>
          <w:tab w:val="left" w:pos="1530"/>
          <w:tab w:val="left" w:pos="5040"/>
          <w:tab w:val="left" w:pos="6120"/>
        </w:tabs>
        <w:rPr>
          <w:rFonts w:eastAsia="MS Mincho"/>
          <w:sz w:val="23"/>
          <w:szCs w:val="23"/>
        </w:rPr>
      </w:pPr>
      <w:r w:rsidRPr="00B817E8">
        <w:rPr>
          <w:rFonts w:eastAsia="MS Mincho"/>
          <w:sz w:val="23"/>
          <w:szCs w:val="23"/>
        </w:rPr>
        <w:tab/>
        <w:t>Dan Snyder</w:t>
      </w:r>
      <w:r w:rsidRPr="00B817E8">
        <w:rPr>
          <w:rFonts w:eastAsia="MS Mincho"/>
          <w:sz w:val="23"/>
          <w:szCs w:val="23"/>
        </w:rPr>
        <w:tab/>
        <w:t xml:space="preserve">AYE___  </w:t>
      </w:r>
      <w:r w:rsidRPr="00B817E8">
        <w:rPr>
          <w:rFonts w:eastAsia="MS Mincho"/>
          <w:sz w:val="23"/>
          <w:szCs w:val="23"/>
        </w:rPr>
        <w:tab/>
        <w:t>NAE___</w:t>
      </w:r>
      <w:r w:rsidRPr="00B817E8">
        <w:rPr>
          <w:rFonts w:eastAsia="MS Mincho"/>
          <w:sz w:val="23"/>
          <w:szCs w:val="23"/>
        </w:rPr>
        <w:tab/>
      </w:r>
    </w:p>
    <w:p w14:paraId="7C42958F" w14:textId="77777777" w:rsidR="0001212D" w:rsidRPr="00B817E8" w:rsidRDefault="0001212D" w:rsidP="0001212D">
      <w:pPr>
        <w:widowControl w:val="0"/>
        <w:tabs>
          <w:tab w:val="left" w:pos="1530"/>
          <w:tab w:val="left" w:pos="5040"/>
          <w:tab w:val="left" w:pos="6120"/>
        </w:tabs>
        <w:rPr>
          <w:rFonts w:eastAsia="MS Mincho"/>
          <w:sz w:val="23"/>
          <w:szCs w:val="23"/>
        </w:rPr>
      </w:pPr>
      <w:r w:rsidRPr="00B817E8">
        <w:rPr>
          <w:rFonts w:eastAsia="MS Mincho"/>
          <w:sz w:val="23"/>
          <w:szCs w:val="23"/>
        </w:rPr>
        <w:tab/>
        <w:t>LeRoy Thompson</w:t>
      </w:r>
      <w:r w:rsidRPr="00B817E8">
        <w:rPr>
          <w:rFonts w:eastAsia="MS Mincho"/>
          <w:sz w:val="23"/>
          <w:szCs w:val="23"/>
        </w:rPr>
        <w:tab/>
        <w:t xml:space="preserve">AYE___ </w:t>
      </w:r>
      <w:r w:rsidRPr="00B817E8">
        <w:rPr>
          <w:rFonts w:eastAsia="MS Mincho"/>
          <w:sz w:val="23"/>
          <w:szCs w:val="23"/>
        </w:rPr>
        <w:tab/>
        <w:t>NAE___</w:t>
      </w:r>
    </w:p>
    <w:p w14:paraId="217085CA" w14:textId="77777777" w:rsidR="0001212D" w:rsidRPr="00B817E8" w:rsidRDefault="0001212D" w:rsidP="0001212D">
      <w:pPr>
        <w:widowControl w:val="0"/>
        <w:tabs>
          <w:tab w:val="left" w:pos="1530"/>
          <w:tab w:val="left" w:pos="5040"/>
          <w:tab w:val="left" w:pos="6120"/>
        </w:tabs>
        <w:rPr>
          <w:rFonts w:eastAsia="MS Mincho"/>
          <w:sz w:val="23"/>
          <w:szCs w:val="23"/>
          <w:u w:val="single"/>
        </w:rPr>
      </w:pPr>
      <w:r w:rsidRPr="00B817E8">
        <w:rPr>
          <w:rFonts w:eastAsia="MS Mincho"/>
          <w:sz w:val="23"/>
          <w:szCs w:val="23"/>
        </w:rPr>
        <w:tab/>
        <w:t>Kevin Stout</w:t>
      </w:r>
      <w:r w:rsidRPr="00B817E8">
        <w:rPr>
          <w:rFonts w:eastAsia="MS Mincho"/>
          <w:sz w:val="23"/>
          <w:szCs w:val="23"/>
        </w:rPr>
        <w:tab/>
        <w:t xml:space="preserve">AYE___ </w:t>
      </w:r>
      <w:r w:rsidRPr="00B817E8">
        <w:rPr>
          <w:rFonts w:eastAsia="MS Mincho"/>
          <w:sz w:val="23"/>
          <w:szCs w:val="23"/>
        </w:rPr>
        <w:tab/>
        <w:t>NAE___</w:t>
      </w:r>
    </w:p>
    <w:p w14:paraId="74C94D27" w14:textId="77777777" w:rsidR="0001212D" w:rsidRPr="00B817E8" w:rsidRDefault="0001212D" w:rsidP="0001212D">
      <w:pPr>
        <w:widowControl w:val="0"/>
        <w:tabs>
          <w:tab w:val="left" w:pos="1530"/>
          <w:tab w:val="left" w:pos="5040"/>
          <w:tab w:val="left" w:pos="6120"/>
        </w:tabs>
        <w:rPr>
          <w:rFonts w:eastAsia="MS Mincho"/>
          <w:sz w:val="23"/>
          <w:szCs w:val="23"/>
        </w:rPr>
      </w:pPr>
      <w:r w:rsidRPr="00B817E8">
        <w:rPr>
          <w:rFonts w:eastAsia="MS Mincho"/>
          <w:sz w:val="23"/>
          <w:szCs w:val="23"/>
        </w:rPr>
        <w:tab/>
        <w:t>Jay Lee</w:t>
      </w:r>
      <w:r w:rsidRPr="00B817E8">
        <w:rPr>
          <w:rFonts w:eastAsia="MS Mincho"/>
          <w:sz w:val="23"/>
          <w:szCs w:val="23"/>
        </w:rPr>
        <w:tab/>
        <w:t xml:space="preserve">AYE___  </w:t>
      </w:r>
      <w:r w:rsidRPr="00B817E8">
        <w:rPr>
          <w:rFonts w:eastAsia="MS Mincho"/>
          <w:sz w:val="23"/>
          <w:szCs w:val="23"/>
        </w:rPr>
        <w:tab/>
        <w:t xml:space="preserve">NAE___    </w:t>
      </w:r>
    </w:p>
    <w:p w14:paraId="69A1C8E7" w14:textId="77777777" w:rsidR="0001212D" w:rsidRPr="00B817E8" w:rsidRDefault="0001212D" w:rsidP="0001212D">
      <w:pPr>
        <w:widowControl w:val="0"/>
        <w:tabs>
          <w:tab w:val="left" w:pos="1530"/>
          <w:tab w:val="left" w:pos="5040"/>
          <w:tab w:val="left" w:pos="6120"/>
        </w:tabs>
        <w:rPr>
          <w:rFonts w:eastAsia="MS Mincho"/>
          <w:sz w:val="23"/>
          <w:szCs w:val="23"/>
        </w:rPr>
      </w:pPr>
      <w:r w:rsidRPr="00B817E8">
        <w:rPr>
          <w:rFonts w:eastAsia="MS Mincho"/>
          <w:sz w:val="23"/>
          <w:szCs w:val="23"/>
        </w:rPr>
        <w:tab/>
        <w:t>Matthew Spendlove, Mayor</w:t>
      </w:r>
      <w:r w:rsidRPr="00B817E8">
        <w:rPr>
          <w:rFonts w:eastAsia="MS Mincho"/>
          <w:sz w:val="23"/>
          <w:szCs w:val="23"/>
        </w:rPr>
        <w:tab/>
        <w:t xml:space="preserve">AYE___ </w:t>
      </w:r>
      <w:r w:rsidRPr="00B817E8">
        <w:rPr>
          <w:rFonts w:eastAsia="MS Mincho"/>
          <w:sz w:val="23"/>
          <w:szCs w:val="23"/>
        </w:rPr>
        <w:tab/>
        <w:t>NAE___</w:t>
      </w:r>
    </w:p>
    <w:p w14:paraId="7EA529F2" w14:textId="692EC7D1" w:rsidR="0001212D" w:rsidRDefault="0001212D" w:rsidP="0001212D">
      <w:pPr>
        <w:widowControl w:val="0"/>
        <w:tabs>
          <w:tab w:val="left" w:pos="1530"/>
          <w:tab w:val="left" w:pos="5040"/>
          <w:tab w:val="left" w:pos="6120"/>
        </w:tabs>
        <w:rPr>
          <w:rFonts w:eastAsia="MS Mincho"/>
          <w:sz w:val="23"/>
          <w:szCs w:val="23"/>
        </w:rPr>
      </w:pPr>
      <w:r w:rsidRPr="00B817E8">
        <w:rPr>
          <w:rFonts w:eastAsia="MS Mincho"/>
          <w:sz w:val="23"/>
          <w:szCs w:val="23"/>
        </w:rPr>
        <w:tab/>
      </w:r>
    </w:p>
    <w:p w14:paraId="42B492CA" w14:textId="77777777" w:rsidR="00D75ED8" w:rsidRPr="00B817E8" w:rsidRDefault="00D75ED8" w:rsidP="0001212D">
      <w:pPr>
        <w:widowControl w:val="0"/>
        <w:tabs>
          <w:tab w:val="left" w:pos="1530"/>
          <w:tab w:val="left" w:pos="5040"/>
          <w:tab w:val="left" w:pos="6120"/>
        </w:tabs>
        <w:rPr>
          <w:rFonts w:eastAsia="MS Mincho"/>
          <w:sz w:val="23"/>
          <w:szCs w:val="23"/>
        </w:rPr>
      </w:pPr>
      <w:bookmarkStart w:id="1" w:name="_GoBack"/>
      <w:bookmarkEnd w:id="1"/>
    </w:p>
    <w:p w14:paraId="21471590" w14:textId="77777777" w:rsidR="0001212D" w:rsidRPr="00B817E8" w:rsidRDefault="0001212D" w:rsidP="0001212D">
      <w:pPr>
        <w:jc w:val="both"/>
        <w:rPr>
          <w:rFonts w:eastAsia="MS Mincho"/>
          <w:sz w:val="23"/>
          <w:szCs w:val="23"/>
        </w:rPr>
      </w:pPr>
      <w:r w:rsidRPr="00B817E8">
        <w:rPr>
          <w:rFonts w:eastAsia="MS Mincho"/>
          <w:sz w:val="23"/>
          <w:szCs w:val="23"/>
        </w:rPr>
        <w:t>VIRGIN TOWN</w:t>
      </w:r>
    </w:p>
    <w:p w14:paraId="3F12F779" w14:textId="77777777" w:rsidR="0001212D" w:rsidRPr="00B817E8" w:rsidRDefault="0001212D" w:rsidP="0001212D">
      <w:pPr>
        <w:jc w:val="both"/>
        <w:rPr>
          <w:rFonts w:eastAsia="MS Mincho"/>
          <w:sz w:val="23"/>
          <w:szCs w:val="23"/>
        </w:rPr>
      </w:pPr>
      <w:r w:rsidRPr="00B817E8">
        <w:rPr>
          <w:rFonts w:eastAsia="MS Mincho"/>
          <w:sz w:val="23"/>
          <w:szCs w:val="23"/>
        </w:rPr>
        <w:t>a Utah municipal corporation</w:t>
      </w:r>
    </w:p>
    <w:p w14:paraId="55ACC5B5" w14:textId="1E3BBE48" w:rsidR="0001212D" w:rsidRDefault="0001212D" w:rsidP="0001212D">
      <w:pPr>
        <w:jc w:val="both"/>
        <w:rPr>
          <w:rFonts w:eastAsia="MS Mincho"/>
          <w:sz w:val="23"/>
          <w:szCs w:val="23"/>
        </w:rPr>
      </w:pPr>
    </w:p>
    <w:p w14:paraId="74FF9DA1" w14:textId="77777777" w:rsidR="00B817E8" w:rsidRPr="00B817E8" w:rsidRDefault="00B817E8" w:rsidP="0001212D">
      <w:pPr>
        <w:jc w:val="both"/>
        <w:rPr>
          <w:rFonts w:eastAsia="MS Mincho"/>
          <w:sz w:val="23"/>
          <w:szCs w:val="23"/>
        </w:rPr>
      </w:pPr>
    </w:p>
    <w:p w14:paraId="3454FF4A" w14:textId="023A0DC0" w:rsidR="0001212D" w:rsidRPr="00B817E8" w:rsidRDefault="0001212D" w:rsidP="0001212D">
      <w:pPr>
        <w:rPr>
          <w:rFonts w:eastAsia="MS Mincho"/>
          <w:bCs/>
          <w:sz w:val="23"/>
          <w:szCs w:val="23"/>
          <w:u w:val="single"/>
          <w:lang w:val="en"/>
        </w:rPr>
      </w:pPr>
      <w:r w:rsidRPr="00B817E8">
        <w:rPr>
          <w:rFonts w:eastAsia="MS Mincho"/>
          <w:bCs/>
          <w:sz w:val="23"/>
          <w:szCs w:val="23"/>
          <w:u w:val="single"/>
          <w:lang w:val="en"/>
        </w:rPr>
        <w:tab/>
      </w:r>
      <w:r w:rsidRPr="00B817E8">
        <w:rPr>
          <w:rFonts w:eastAsia="MS Mincho"/>
          <w:bCs/>
          <w:sz w:val="23"/>
          <w:szCs w:val="23"/>
          <w:u w:val="single"/>
          <w:lang w:val="en"/>
        </w:rPr>
        <w:tab/>
      </w:r>
      <w:r w:rsidRPr="00B817E8">
        <w:rPr>
          <w:rFonts w:eastAsia="MS Mincho"/>
          <w:bCs/>
          <w:sz w:val="23"/>
          <w:szCs w:val="23"/>
          <w:u w:val="single"/>
          <w:lang w:val="en"/>
        </w:rPr>
        <w:tab/>
      </w:r>
      <w:r w:rsidRPr="00B817E8">
        <w:rPr>
          <w:rFonts w:eastAsia="MS Mincho"/>
          <w:bCs/>
          <w:sz w:val="23"/>
          <w:szCs w:val="23"/>
          <w:u w:val="single"/>
          <w:lang w:val="en"/>
        </w:rPr>
        <w:tab/>
      </w:r>
      <w:r w:rsidRPr="00B817E8">
        <w:rPr>
          <w:rFonts w:eastAsia="MS Mincho"/>
          <w:bCs/>
          <w:sz w:val="23"/>
          <w:szCs w:val="23"/>
          <w:u w:val="single"/>
          <w:lang w:val="en"/>
        </w:rPr>
        <w:tab/>
      </w:r>
      <w:r w:rsidRPr="00B817E8">
        <w:rPr>
          <w:rFonts w:eastAsia="MS Mincho"/>
          <w:bCs/>
          <w:sz w:val="23"/>
          <w:szCs w:val="23"/>
          <w:u w:val="single"/>
          <w:lang w:val="en"/>
        </w:rPr>
        <w:tab/>
      </w:r>
    </w:p>
    <w:p w14:paraId="3BD285F0" w14:textId="77777777" w:rsidR="0001212D" w:rsidRPr="00B817E8" w:rsidRDefault="0001212D" w:rsidP="0001212D">
      <w:pPr>
        <w:rPr>
          <w:rFonts w:eastAsia="MS Mincho"/>
          <w:bCs/>
          <w:sz w:val="23"/>
          <w:szCs w:val="23"/>
          <w:lang w:val="en"/>
        </w:rPr>
      </w:pPr>
      <w:r w:rsidRPr="00B817E8">
        <w:rPr>
          <w:rFonts w:eastAsia="MS Mincho"/>
          <w:bCs/>
          <w:sz w:val="23"/>
          <w:szCs w:val="23"/>
          <w:lang w:val="en"/>
        </w:rPr>
        <w:t>Matthew Spendlove, Mayor</w:t>
      </w:r>
    </w:p>
    <w:p w14:paraId="526F4AE3" w14:textId="77777777" w:rsidR="00B817E8" w:rsidRDefault="00B817E8" w:rsidP="0001212D">
      <w:pPr>
        <w:rPr>
          <w:rFonts w:eastAsia="MS Mincho"/>
          <w:bCs/>
          <w:sz w:val="23"/>
          <w:szCs w:val="23"/>
          <w:lang w:val="en"/>
        </w:rPr>
      </w:pPr>
    </w:p>
    <w:p w14:paraId="0AA5D009" w14:textId="77777777" w:rsidR="00B817E8" w:rsidRDefault="00B817E8" w:rsidP="0001212D">
      <w:pPr>
        <w:rPr>
          <w:rFonts w:eastAsia="MS Mincho"/>
          <w:bCs/>
          <w:sz w:val="23"/>
          <w:szCs w:val="23"/>
          <w:lang w:val="en"/>
        </w:rPr>
      </w:pPr>
    </w:p>
    <w:p w14:paraId="56A5023F" w14:textId="1298CAB9" w:rsidR="0001212D" w:rsidRPr="00B817E8" w:rsidRDefault="0001212D" w:rsidP="0001212D">
      <w:pPr>
        <w:rPr>
          <w:rFonts w:eastAsia="MS Mincho"/>
          <w:bCs/>
          <w:sz w:val="23"/>
          <w:szCs w:val="23"/>
          <w:lang w:val="en"/>
        </w:rPr>
      </w:pPr>
      <w:r w:rsidRPr="00B817E8">
        <w:rPr>
          <w:rFonts w:eastAsia="MS Mincho"/>
          <w:bCs/>
          <w:sz w:val="23"/>
          <w:szCs w:val="23"/>
          <w:lang w:val="en"/>
        </w:rPr>
        <w:t>ATTEST:</w:t>
      </w:r>
    </w:p>
    <w:p w14:paraId="135400E8" w14:textId="77777777" w:rsidR="0001212D" w:rsidRPr="00B817E8" w:rsidRDefault="0001212D" w:rsidP="0001212D">
      <w:pPr>
        <w:rPr>
          <w:rFonts w:eastAsia="MS Mincho"/>
          <w:bCs/>
          <w:sz w:val="23"/>
          <w:szCs w:val="23"/>
          <w:lang w:val="en"/>
        </w:rPr>
      </w:pPr>
    </w:p>
    <w:p w14:paraId="18B38BD7" w14:textId="77777777" w:rsidR="0001212D" w:rsidRPr="00B817E8" w:rsidRDefault="0001212D" w:rsidP="00836FD5">
      <w:pPr>
        <w:rPr>
          <w:rFonts w:eastAsia="MS Mincho"/>
          <w:bCs/>
          <w:sz w:val="23"/>
          <w:szCs w:val="23"/>
          <w:lang w:val="en"/>
        </w:rPr>
      </w:pPr>
    </w:p>
    <w:p w14:paraId="3B087C7D" w14:textId="77777777" w:rsidR="0001212D" w:rsidRPr="00B817E8" w:rsidRDefault="0001212D" w:rsidP="0001212D">
      <w:pPr>
        <w:rPr>
          <w:rFonts w:eastAsia="MS Mincho"/>
          <w:bCs/>
          <w:sz w:val="23"/>
          <w:szCs w:val="23"/>
          <w:u w:val="single"/>
          <w:lang w:val="en"/>
        </w:rPr>
      </w:pPr>
      <w:r w:rsidRPr="00B817E8">
        <w:rPr>
          <w:rFonts w:eastAsia="MS Mincho"/>
          <w:bCs/>
          <w:sz w:val="23"/>
          <w:szCs w:val="23"/>
          <w:u w:val="single"/>
          <w:lang w:val="en"/>
        </w:rPr>
        <w:tab/>
      </w:r>
      <w:r w:rsidRPr="00B817E8">
        <w:rPr>
          <w:rFonts w:eastAsia="MS Mincho"/>
          <w:bCs/>
          <w:sz w:val="23"/>
          <w:szCs w:val="23"/>
          <w:u w:val="single"/>
          <w:lang w:val="en"/>
        </w:rPr>
        <w:tab/>
      </w:r>
      <w:r w:rsidRPr="00B817E8">
        <w:rPr>
          <w:rFonts w:eastAsia="MS Mincho"/>
          <w:bCs/>
          <w:sz w:val="23"/>
          <w:szCs w:val="23"/>
          <w:u w:val="single"/>
          <w:lang w:val="en"/>
        </w:rPr>
        <w:tab/>
      </w:r>
      <w:r w:rsidRPr="00B817E8">
        <w:rPr>
          <w:rFonts w:eastAsia="MS Mincho"/>
          <w:bCs/>
          <w:sz w:val="23"/>
          <w:szCs w:val="23"/>
          <w:u w:val="single"/>
          <w:lang w:val="en"/>
        </w:rPr>
        <w:tab/>
      </w:r>
      <w:r w:rsidRPr="00B817E8">
        <w:rPr>
          <w:rFonts w:eastAsia="MS Mincho"/>
          <w:bCs/>
          <w:sz w:val="23"/>
          <w:szCs w:val="23"/>
          <w:u w:val="single"/>
          <w:lang w:val="en"/>
        </w:rPr>
        <w:tab/>
      </w:r>
      <w:r w:rsidRPr="00B817E8">
        <w:rPr>
          <w:rFonts w:eastAsia="MS Mincho"/>
          <w:bCs/>
          <w:sz w:val="23"/>
          <w:szCs w:val="23"/>
          <w:u w:val="single"/>
          <w:lang w:val="en"/>
        </w:rPr>
        <w:tab/>
      </w:r>
    </w:p>
    <w:p w14:paraId="4F9CA8E4" w14:textId="77777777" w:rsidR="00C2469F" w:rsidRPr="00442822" w:rsidRDefault="0001212D" w:rsidP="0001212D">
      <w:pPr>
        <w:spacing w:after="200" w:line="276" w:lineRule="auto"/>
        <w:rPr>
          <w:u w:val="single"/>
        </w:rPr>
      </w:pPr>
      <w:r w:rsidRPr="00442822">
        <w:rPr>
          <w:rFonts w:eastAsia="MS Mincho"/>
          <w:bCs/>
          <w:lang w:val="en"/>
        </w:rPr>
        <w:t>Monica Bowcutt, Town Clerk</w:t>
      </w:r>
      <w:bookmarkEnd w:id="0"/>
    </w:p>
    <w:sectPr w:rsidR="00C2469F" w:rsidRPr="00442822" w:rsidSect="00E70C91">
      <w:headerReference w:type="default" r:id="rId7"/>
      <w:footerReference w:type="default" r:id="rId8"/>
      <w:pgSz w:w="12240" w:h="15840"/>
      <w:pgMar w:top="1440" w:right="1440" w:bottom="1530" w:left="1440" w:header="720" w:footer="6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DA117" w14:textId="77777777" w:rsidR="00DA6BD3" w:rsidRDefault="00DA6BD3" w:rsidP="003A48FB">
      <w:r>
        <w:separator/>
      </w:r>
    </w:p>
  </w:endnote>
  <w:endnote w:type="continuationSeparator" w:id="0">
    <w:p w14:paraId="6629E6D4" w14:textId="77777777" w:rsidR="00DA6BD3" w:rsidRDefault="00DA6BD3" w:rsidP="003A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393124"/>
      <w:docPartObj>
        <w:docPartGallery w:val="Page Numbers (Bottom of Page)"/>
        <w:docPartUnique/>
      </w:docPartObj>
    </w:sdtPr>
    <w:sdtEndPr>
      <w:rPr>
        <w:noProof/>
      </w:rPr>
    </w:sdtEndPr>
    <w:sdtContent>
      <w:p w14:paraId="01BD91CC" w14:textId="77777777" w:rsidR="00D75ED8" w:rsidRDefault="00D75ED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8B18E31" w14:textId="77777777" w:rsidR="00D75ED8" w:rsidRDefault="00D75ED8" w:rsidP="00D75ED8">
        <w:pPr>
          <w:pStyle w:val="Footer"/>
          <w:jc w:val="center"/>
        </w:pPr>
        <w:r>
          <w:t>ORDINANCE 2019-27</w:t>
        </w:r>
      </w:p>
      <w:p w14:paraId="0EA8C1CD" w14:textId="77777777" w:rsidR="00D75ED8" w:rsidRDefault="00D75ED8" w:rsidP="00D75ED8">
        <w:pPr>
          <w:pStyle w:val="Footer"/>
          <w:jc w:val="center"/>
        </w:pPr>
        <w:r>
          <w:t>Chapter 5 Section Entire Chapter</w:t>
        </w:r>
      </w:p>
      <w:p w14:paraId="6B3F5066" w14:textId="72824071" w:rsidR="00356C5B" w:rsidRDefault="00D75ED8" w:rsidP="00D75ED8">
        <w:pPr>
          <w:pStyle w:val="Footer"/>
          <w:jc w:val="center"/>
        </w:pPr>
        <w:r>
          <w:t>APPROVED: __________________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BE584" w14:textId="77777777" w:rsidR="00DA6BD3" w:rsidRDefault="00DA6BD3" w:rsidP="003A48FB">
      <w:r>
        <w:separator/>
      </w:r>
    </w:p>
  </w:footnote>
  <w:footnote w:type="continuationSeparator" w:id="0">
    <w:p w14:paraId="1D5D91C4" w14:textId="77777777" w:rsidR="00DA6BD3" w:rsidRDefault="00DA6BD3" w:rsidP="003A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BFF2" w14:textId="1A693161" w:rsidR="00B8335D" w:rsidRDefault="00B8335D" w:rsidP="00D75ED8">
    <w:pPr>
      <w:pStyle w:val="Header"/>
    </w:pPr>
  </w:p>
  <w:p w14:paraId="163F4509" w14:textId="77777777" w:rsidR="00B8335D" w:rsidRDefault="00B83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0131"/>
    <w:multiLevelType w:val="hybridMultilevel"/>
    <w:tmpl w:val="D414C3BE"/>
    <w:lvl w:ilvl="0" w:tplc="E55CA9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855660"/>
    <w:multiLevelType w:val="multilevel"/>
    <w:tmpl w:val="BAE2279C"/>
    <w:numStyleLink w:val="VULUListStyle"/>
  </w:abstractNum>
  <w:abstractNum w:abstractNumId="2" w15:restartNumberingAfterBreak="0">
    <w:nsid w:val="2974134E"/>
    <w:multiLevelType w:val="hybridMultilevel"/>
    <w:tmpl w:val="6B203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B6298"/>
    <w:multiLevelType w:val="multilevel"/>
    <w:tmpl w:val="BAE2279C"/>
    <w:styleLink w:val="VULUListStyle"/>
    <w:lvl w:ilvl="0">
      <w:start w:val="30"/>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lowerRoman"/>
      <w:lvlText w:val="%1.%2.%3.%4.%5"/>
      <w:lvlJc w:val="left"/>
      <w:pPr>
        <w:ind w:left="1080" w:hanging="1080"/>
      </w:pPr>
      <w:rPr>
        <w:rFonts w:hint="default"/>
      </w:rPr>
    </w:lvl>
    <w:lvl w:ilvl="5">
      <w:start w:val="1"/>
      <w:numFmt w:val="none"/>
      <w:lvlText w:val="%1.%2.%3.%4.%5.%6"/>
      <w:lvlJc w:val="left"/>
      <w:pPr>
        <w:ind w:left="1080" w:hanging="1080"/>
      </w:pPr>
      <w:rPr>
        <w:rFonts w:hint="default"/>
      </w:rPr>
    </w:lvl>
    <w:lvl w:ilvl="6">
      <w:start w:val="1"/>
      <w:numFmt w:val="none"/>
      <w:lvlText w:val="%1.%2.%3.%4.%5.%6.%7"/>
      <w:lvlJc w:val="left"/>
      <w:pPr>
        <w:ind w:left="1440" w:hanging="1440"/>
      </w:pPr>
      <w:rPr>
        <w:rFonts w:hint="default"/>
      </w:rPr>
    </w:lvl>
    <w:lvl w:ilvl="7">
      <w:start w:val="1"/>
      <w:numFmt w:val="none"/>
      <w:lvlText w:val="%1.%2.%3.%4.%5.%6.%7.%8"/>
      <w:lvlJc w:val="left"/>
      <w:pPr>
        <w:ind w:left="1440" w:hanging="1440"/>
      </w:pPr>
      <w:rPr>
        <w:rFonts w:hint="default"/>
      </w:rPr>
    </w:lvl>
    <w:lvl w:ilvl="8">
      <w:start w:val="1"/>
      <w:numFmt w:val="none"/>
      <w:lvlText w:val="%1.%2.%3.%4.%5.%6.%7.%8.%9"/>
      <w:lvlJc w:val="left"/>
      <w:pPr>
        <w:ind w:left="1800" w:hanging="1800"/>
      </w:pPr>
      <w:rPr>
        <w:rFonts w:hint="default"/>
      </w:rPr>
    </w:lvl>
  </w:abstractNum>
  <w:abstractNum w:abstractNumId="4" w15:restartNumberingAfterBreak="0">
    <w:nsid w:val="4A5018AD"/>
    <w:multiLevelType w:val="hybridMultilevel"/>
    <w:tmpl w:val="6C6A991C"/>
    <w:lvl w:ilvl="0" w:tplc="FA02C51C">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22D8A2-C275-4D83-89A5-AE1EA9EBB3D1}"/>
    <w:docVar w:name="dgnword-eventsink" w:val="485207280"/>
  </w:docVars>
  <w:rsids>
    <w:rsidRoot w:val="00CA3973"/>
    <w:rsid w:val="0001212D"/>
    <w:rsid w:val="0006652B"/>
    <w:rsid w:val="00140F60"/>
    <w:rsid w:val="001518DD"/>
    <w:rsid w:val="00162875"/>
    <w:rsid w:val="00177A92"/>
    <w:rsid w:val="001A6BFE"/>
    <w:rsid w:val="002243C7"/>
    <w:rsid w:val="0027337F"/>
    <w:rsid w:val="002751A2"/>
    <w:rsid w:val="00356C5B"/>
    <w:rsid w:val="003A07C3"/>
    <w:rsid w:val="003A48FB"/>
    <w:rsid w:val="003C4C9A"/>
    <w:rsid w:val="003C780D"/>
    <w:rsid w:val="00442822"/>
    <w:rsid w:val="00556BA6"/>
    <w:rsid w:val="0056780D"/>
    <w:rsid w:val="00570925"/>
    <w:rsid w:val="005D2215"/>
    <w:rsid w:val="005E3F2F"/>
    <w:rsid w:val="006803C0"/>
    <w:rsid w:val="00682145"/>
    <w:rsid w:val="0070466D"/>
    <w:rsid w:val="00740DA8"/>
    <w:rsid w:val="00784056"/>
    <w:rsid w:val="007939B9"/>
    <w:rsid w:val="007D441D"/>
    <w:rsid w:val="007F2FED"/>
    <w:rsid w:val="00836FD5"/>
    <w:rsid w:val="00856612"/>
    <w:rsid w:val="008A5522"/>
    <w:rsid w:val="009527A5"/>
    <w:rsid w:val="00A75650"/>
    <w:rsid w:val="00AC5F89"/>
    <w:rsid w:val="00AE5B72"/>
    <w:rsid w:val="00B7791E"/>
    <w:rsid w:val="00B817E8"/>
    <w:rsid w:val="00B8335D"/>
    <w:rsid w:val="00B95981"/>
    <w:rsid w:val="00BA38B9"/>
    <w:rsid w:val="00BB07DB"/>
    <w:rsid w:val="00BE669D"/>
    <w:rsid w:val="00C04131"/>
    <w:rsid w:val="00C2091B"/>
    <w:rsid w:val="00C2469F"/>
    <w:rsid w:val="00C64A38"/>
    <w:rsid w:val="00CA3973"/>
    <w:rsid w:val="00CD7100"/>
    <w:rsid w:val="00D75ED8"/>
    <w:rsid w:val="00DA6BD3"/>
    <w:rsid w:val="00DB6EA3"/>
    <w:rsid w:val="00E17AE6"/>
    <w:rsid w:val="00E25810"/>
    <w:rsid w:val="00E30851"/>
    <w:rsid w:val="00E576F2"/>
    <w:rsid w:val="00E70C91"/>
    <w:rsid w:val="00EE637A"/>
    <w:rsid w:val="00F025E4"/>
    <w:rsid w:val="00F2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B1A167"/>
  <w15:chartTrackingRefBased/>
  <w15:docId w15:val="{636D933C-35C1-4950-BFCC-96A1C2EC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ULUListStyle">
    <w:name w:val="VULU List Style"/>
    <w:uiPriority w:val="99"/>
    <w:rsid w:val="00CD7100"/>
    <w:pPr>
      <w:numPr>
        <w:numId w:val="1"/>
      </w:numPr>
    </w:pPr>
  </w:style>
  <w:style w:type="paragraph" w:styleId="ListParagraph">
    <w:name w:val="List Paragraph"/>
    <w:basedOn w:val="Normal"/>
    <w:uiPriority w:val="34"/>
    <w:qFormat/>
    <w:rsid w:val="00CA3973"/>
    <w:pPr>
      <w:ind w:left="720"/>
    </w:pPr>
  </w:style>
  <w:style w:type="table" w:styleId="TableGrid">
    <w:name w:val="Table Grid"/>
    <w:basedOn w:val="TableNormal"/>
    <w:uiPriority w:val="39"/>
    <w:rsid w:val="003A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8FB"/>
    <w:pPr>
      <w:tabs>
        <w:tab w:val="center" w:pos="4680"/>
        <w:tab w:val="right" w:pos="9360"/>
      </w:tabs>
    </w:pPr>
  </w:style>
  <w:style w:type="character" w:customStyle="1" w:styleId="HeaderChar">
    <w:name w:val="Header Char"/>
    <w:basedOn w:val="DefaultParagraphFont"/>
    <w:link w:val="Header"/>
    <w:uiPriority w:val="99"/>
    <w:rsid w:val="003A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48FB"/>
    <w:pPr>
      <w:tabs>
        <w:tab w:val="center" w:pos="4680"/>
        <w:tab w:val="right" w:pos="9360"/>
      </w:tabs>
    </w:pPr>
  </w:style>
  <w:style w:type="character" w:customStyle="1" w:styleId="FooterChar">
    <w:name w:val="Footer Char"/>
    <w:basedOn w:val="DefaultParagraphFont"/>
    <w:link w:val="Footer"/>
    <w:uiPriority w:val="99"/>
    <w:rsid w:val="003A4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0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DB"/>
    <w:rPr>
      <w:rFonts w:ascii="Segoe UI" w:eastAsia="Times New Roman" w:hAnsi="Segoe UI" w:cs="Segoe UI"/>
      <w:sz w:val="18"/>
      <w:szCs w:val="18"/>
    </w:rPr>
  </w:style>
  <w:style w:type="paragraph" w:styleId="NormalWeb">
    <w:name w:val="Normal (Web)"/>
    <w:basedOn w:val="Normal"/>
    <w:uiPriority w:val="99"/>
    <w:semiHidden/>
    <w:unhideWhenUsed/>
    <w:rsid w:val="005E3F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0933">
      <w:bodyDiv w:val="1"/>
      <w:marLeft w:val="0"/>
      <w:marRight w:val="0"/>
      <w:marTop w:val="0"/>
      <w:marBottom w:val="0"/>
      <w:divBdr>
        <w:top w:val="none" w:sz="0" w:space="0" w:color="auto"/>
        <w:left w:val="none" w:sz="0" w:space="0" w:color="auto"/>
        <w:bottom w:val="none" w:sz="0" w:space="0" w:color="auto"/>
        <w:right w:val="none" w:sz="0" w:space="0" w:color="auto"/>
      </w:divBdr>
    </w:div>
    <w:div w:id="1293247426">
      <w:bodyDiv w:val="1"/>
      <w:marLeft w:val="0"/>
      <w:marRight w:val="0"/>
      <w:marTop w:val="0"/>
      <w:marBottom w:val="0"/>
      <w:divBdr>
        <w:top w:val="none" w:sz="0" w:space="0" w:color="auto"/>
        <w:left w:val="none" w:sz="0" w:space="0" w:color="auto"/>
        <w:bottom w:val="none" w:sz="0" w:space="0" w:color="auto"/>
        <w:right w:val="none" w:sz="0" w:space="0" w:color="auto"/>
      </w:divBdr>
    </w:div>
    <w:div w:id="14651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Snow</dc:creator>
  <cp:keywords/>
  <dc:description/>
  <cp:lastModifiedBy>Monica Bowcutt</cp:lastModifiedBy>
  <cp:revision>5</cp:revision>
  <cp:lastPrinted>2019-10-23T17:03:00Z</cp:lastPrinted>
  <dcterms:created xsi:type="dcterms:W3CDTF">2019-10-23T17:03:00Z</dcterms:created>
  <dcterms:modified xsi:type="dcterms:W3CDTF">2019-11-13T18:15:00Z</dcterms:modified>
</cp:coreProperties>
</file>