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0C9EA382" w14:textId="3DD83857"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A34149">
        <w:rPr>
          <w:rFonts w:ascii="Times New Roman" w:hAnsi="Times New Roman" w:cs="Times New Roman"/>
          <w:sz w:val="24"/>
          <w:szCs w:val="24"/>
        </w:rPr>
        <w:t xml:space="preserve">1 - </w:t>
      </w:r>
      <w:r w:rsidR="009B4167" w:rsidRPr="009B4167">
        <w:rPr>
          <w:rFonts w:ascii="Times New Roman" w:hAnsi="Times New Roman" w:cs="Times New Roman"/>
          <w:sz w:val="24"/>
          <w:szCs w:val="24"/>
        </w:rPr>
        <w:t>GENERAL PROVISIONS &amp; INTRODUCTION TO DEFINITIONS</w:t>
      </w:r>
    </w:p>
    <w:p w14:paraId="17C91269" w14:textId="17D3F3A1" w:rsidR="00FA3D57" w:rsidRPr="0070637D" w:rsidRDefault="00FA3D57" w:rsidP="00FA3D57">
      <w:pPr>
        <w:rPr>
          <w:rFonts w:ascii="Times New Roman" w:hAnsi="Times New Roman" w:cs="Times New Roman"/>
          <w:sz w:val="24"/>
          <w:szCs w:val="24"/>
        </w:rPr>
      </w:pPr>
    </w:p>
    <w:p w14:paraId="028C27C6" w14:textId="0E7B8C05" w:rsidR="00543FFD" w:rsidRDefault="00FA3D57" w:rsidP="00E53C77">
      <w:pPr>
        <w:rPr>
          <w:lang w:bidi="en-US"/>
        </w:rPr>
      </w:pPr>
      <w:r w:rsidRPr="0070637D">
        <w:rPr>
          <w:rFonts w:ascii="Times New Roman" w:hAnsi="Times New Roman" w:cs="Times New Roman"/>
          <w:b/>
          <w:bCs/>
          <w:sz w:val="28"/>
          <w:szCs w:val="28"/>
        </w:rPr>
        <w:t>Current wording</w:t>
      </w:r>
    </w:p>
    <w:p w14:paraId="55DE84A3" w14:textId="01F93C11" w:rsidR="00543FFD" w:rsidRDefault="00543FFD" w:rsidP="00933F26">
      <w:pPr>
        <w:spacing w:after="0"/>
        <w:ind w:left="-5"/>
        <w:rPr>
          <w:lang w:bidi="en-US"/>
        </w:rPr>
      </w:pPr>
    </w:p>
    <w:p w14:paraId="37FFADE3" w14:textId="2414EEB5" w:rsidR="002C6E6B" w:rsidRPr="00C92C4B" w:rsidRDefault="00543FFD" w:rsidP="00C92C4B">
      <w:pPr>
        <w:spacing w:after="5"/>
        <w:ind w:left="-29" w:right="-29"/>
        <w:rPr>
          <w:lang w:bidi="en-US"/>
        </w:rPr>
      </w:pPr>
      <w:r>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064C0294"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44A82FAC" w14:textId="0C04E84D" w:rsidR="002C6E6B" w:rsidRPr="003A4C3A" w:rsidRDefault="008B2406" w:rsidP="008D4A50">
      <w:pPr>
        <w:spacing w:after="0"/>
        <w:ind w:left="-5"/>
        <w:rPr>
          <w:rFonts w:ascii="Times New Roman" w:hAnsi="Times New Roman" w:cs="Times New Roman"/>
          <w:sz w:val="24"/>
          <w:szCs w:val="24"/>
          <w:lang w:bidi="en-US"/>
        </w:rPr>
      </w:pPr>
      <w:r w:rsidRPr="003A4C3A">
        <w:rPr>
          <w:rFonts w:ascii="Times New Roman" w:hAnsi="Times New Roman" w:cs="Times New Roman"/>
          <w:b/>
          <w:bCs/>
          <w:sz w:val="24"/>
          <w:szCs w:val="24"/>
          <w:lang w:bidi="en-US"/>
        </w:rPr>
        <w:t>Cannabis Production Establishment</w:t>
      </w:r>
      <w:r w:rsidRPr="003A4C3A">
        <w:rPr>
          <w:rFonts w:ascii="Times New Roman" w:hAnsi="Times New Roman" w:cs="Times New Roman"/>
          <w:sz w:val="24"/>
          <w:szCs w:val="24"/>
          <w:lang w:bidi="en-US"/>
        </w:rPr>
        <w:t>.  As defined in section 4-41a-102 of the Utah Code, and includes a cannabis cultivation facility, a cannabis processing facility, or an independent cannabis testing laboratory.</w:t>
      </w:r>
    </w:p>
    <w:p w14:paraId="33508A82" w14:textId="33DE65B9" w:rsidR="008B2406" w:rsidRPr="003A4C3A" w:rsidRDefault="008B2406" w:rsidP="008D4A50">
      <w:pPr>
        <w:spacing w:after="0"/>
        <w:ind w:left="-5"/>
        <w:rPr>
          <w:rFonts w:ascii="Times New Roman" w:hAnsi="Times New Roman" w:cs="Times New Roman"/>
          <w:sz w:val="24"/>
          <w:szCs w:val="24"/>
          <w:lang w:bidi="en-US"/>
        </w:rPr>
      </w:pPr>
    </w:p>
    <w:p w14:paraId="75F126C9" w14:textId="2BBA22B2" w:rsidR="008B2406" w:rsidRPr="003A4C3A" w:rsidRDefault="00133FCA" w:rsidP="008D4A50">
      <w:pPr>
        <w:spacing w:after="0"/>
        <w:ind w:left="-5"/>
        <w:rPr>
          <w:rFonts w:ascii="Times New Roman" w:hAnsi="Times New Roman" w:cs="Times New Roman"/>
          <w:sz w:val="24"/>
          <w:szCs w:val="24"/>
          <w:lang w:bidi="en-US"/>
        </w:rPr>
      </w:pPr>
      <w:r w:rsidRPr="003A4C3A">
        <w:rPr>
          <w:rFonts w:ascii="Times New Roman" w:hAnsi="Times New Roman" w:cs="Times New Roman"/>
          <w:b/>
          <w:bCs/>
          <w:sz w:val="24"/>
          <w:szCs w:val="24"/>
          <w:lang w:bidi="en-US"/>
        </w:rPr>
        <w:t>Medical Cannabis Pharmacy</w:t>
      </w:r>
      <w:r w:rsidRPr="003A4C3A">
        <w:rPr>
          <w:rFonts w:ascii="Times New Roman" w:hAnsi="Times New Roman" w:cs="Times New Roman"/>
          <w:sz w:val="24"/>
          <w:szCs w:val="24"/>
          <w:lang w:bidi="en-US"/>
        </w:rPr>
        <w:t>.  An entity that acquires or intends to acquire, possesses, and sells or intends to sell cannabis in a medicinal dosage form, a cannabis product in a medicinal dosage form, or a medical cannabis device, to a medical cannabis cardholder, as defined under section 26-61a-102 of the Utah Code.</w:t>
      </w:r>
    </w:p>
    <w:p w14:paraId="1ED1C9F4" w14:textId="713D4D76" w:rsidR="005319BE" w:rsidRPr="003A4C3A" w:rsidRDefault="005319BE" w:rsidP="008D4A50">
      <w:pPr>
        <w:spacing w:after="0"/>
        <w:ind w:left="-5"/>
        <w:rPr>
          <w:rFonts w:ascii="Times New Roman" w:hAnsi="Times New Roman" w:cs="Times New Roman"/>
          <w:sz w:val="24"/>
          <w:szCs w:val="24"/>
          <w:lang w:bidi="en-US"/>
        </w:rPr>
      </w:pPr>
    </w:p>
    <w:p w14:paraId="6C149C7B" w14:textId="2D7D9170" w:rsidR="005319BE" w:rsidRDefault="00700B35" w:rsidP="005319BE">
      <w:pPr>
        <w:spacing w:after="0"/>
        <w:ind w:left="-5"/>
        <w:rPr>
          <w:rFonts w:ascii="Times New Roman" w:hAnsi="Times New Roman" w:cs="Times New Roman"/>
          <w:sz w:val="24"/>
          <w:szCs w:val="24"/>
          <w:lang w:bidi="en-US"/>
        </w:rPr>
      </w:pPr>
      <w:r w:rsidRPr="003A4C3A">
        <w:rPr>
          <w:rFonts w:ascii="Times New Roman" w:hAnsi="Times New Roman" w:cs="Times New Roman"/>
          <w:b/>
          <w:bCs/>
          <w:sz w:val="24"/>
          <w:szCs w:val="24"/>
          <w:lang w:bidi="en-US"/>
        </w:rPr>
        <w:t xml:space="preserve">Conditional Use. </w:t>
      </w:r>
      <w:r w:rsidR="005319BE" w:rsidRPr="003A4C3A">
        <w:rPr>
          <w:rFonts w:ascii="Times New Roman" w:hAnsi="Times New Roman" w:cs="Times New Roman"/>
          <w:sz w:val="24"/>
          <w:szCs w:val="24"/>
          <w:lang w:bidi="en-US"/>
        </w:rPr>
        <w:t xml:space="preserve"> </w:t>
      </w:r>
      <w:r w:rsidR="003A4C3A">
        <w:rPr>
          <w:rFonts w:ascii="Times New Roman" w:hAnsi="Times New Roman" w:cs="Times New Roman"/>
          <w:sz w:val="24"/>
          <w:szCs w:val="24"/>
          <w:lang w:bidi="en-US"/>
        </w:rPr>
        <w:t xml:space="preserve">A </w:t>
      </w:r>
      <w:r w:rsidR="005319BE" w:rsidRPr="003A4C3A">
        <w:rPr>
          <w:rFonts w:ascii="Times New Roman" w:hAnsi="Times New Roman" w:cs="Times New Roman"/>
          <w:sz w:val="24"/>
          <w:szCs w:val="24"/>
          <w:lang w:bidi="en-US"/>
        </w:rPr>
        <w:t>land use that, because of its unique characteristics or potential impact on the municipality, surrounding neighbors, or adjacent land uses, may not be compatible in some areas or may be compatible only with certain conditions that mitigate or eliminate the detrimental impacts.</w:t>
      </w:r>
    </w:p>
    <w:p w14:paraId="454146C3" w14:textId="77777777" w:rsidR="003A4C3A" w:rsidRPr="003A4C3A" w:rsidRDefault="003A4C3A" w:rsidP="005319BE">
      <w:pPr>
        <w:spacing w:after="0"/>
        <w:ind w:left="-5"/>
        <w:rPr>
          <w:rFonts w:ascii="Times New Roman" w:hAnsi="Times New Roman" w:cs="Times New Roman"/>
          <w:sz w:val="24"/>
          <w:szCs w:val="24"/>
          <w:lang w:bidi="en-US"/>
        </w:rPr>
      </w:pPr>
    </w:p>
    <w:p w14:paraId="57D18E11" w14:textId="5CD27B76" w:rsidR="005319BE" w:rsidRPr="003A4C3A" w:rsidRDefault="00F94682" w:rsidP="008D4A50">
      <w:pPr>
        <w:spacing w:after="0"/>
        <w:ind w:left="-5"/>
        <w:rPr>
          <w:rFonts w:ascii="Times New Roman" w:hAnsi="Times New Roman" w:cs="Times New Roman"/>
          <w:sz w:val="24"/>
          <w:szCs w:val="24"/>
          <w:lang w:bidi="en-US"/>
        </w:rPr>
      </w:pPr>
      <w:r w:rsidRPr="003A4C3A">
        <w:rPr>
          <w:rFonts w:ascii="Times New Roman" w:hAnsi="Times New Roman" w:cs="Times New Roman"/>
          <w:sz w:val="24"/>
          <w:szCs w:val="24"/>
          <w:lang w:bidi="en-US"/>
        </w:rPr>
        <w:t xml:space="preserve"> </w:t>
      </w:r>
      <w:r w:rsidR="00A6583C">
        <w:rPr>
          <w:rFonts w:ascii="Times New Roman" w:hAnsi="Times New Roman" w:cs="Times New Roman"/>
          <w:b/>
          <w:bCs/>
          <w:sz w:val="24"/>
          <w:szCs w:val="24"/>
          <w:lang w:bidi="en-US"/>
        </w:rPr>
        <w:t xml:space="preserve">Conditional Use Permit (CUP). </w:t>
      </w:r>
      <w:r w:rsidR="003A4C3A" w:rsidRPr="003A4C3A">
        <w:rPr>
          <w:rFonts w:ascii="Times New Roman" w:hAnsi="Times New Roman" w:cs="Times New Roman"/>
          <w:sz w:val="24"/>
          <w:szCs w:val="24"/>
          <w:lang w:bidi="en-US"/>
        </w:rPr>
        <w:t xml:space="preserve"> </w:t>
      </w:r>
      <w:r w:rsidR="00A6583C">
        <w:rPr>
          <w:rFonts w:ascii="Times New Roman" w:hAnsi="Times New Roman" w:cs="Times New Roman"/>
          <w:sz w:val="24"/>
          <w:szCs w:val="24"/>
          <w:lang w:bidi="en-US"/>
        </w:rPr>
        <w:t>A</w:t>
      </w:r>
      <w:r w:rsidR="003A4C3A" w:rsidRPr="003A4C3A">
        <w:rPr>
          <w:rFonts w:ascii="Times New Roman" w:hAnsi="Times New Roman" w:cs="Times New Roman"/>
          <w:sz w:val="24"/>
          <w:szCs w:val="24"/>
          <w:lang w:bidi="en-US"/>
        </w:rPr>
        <w:t xml:space="preserve"> permit issued by the Town allowing a use or set of uses with conditions upon real property.</w:t>
      </w:r>
      <w:r w:rsidR="005319BE" w:rsidRPr="003A4C3A">
        <w:rPr>
          <w:rFonts w:ascii="Times New Roman" w:hAnsi="Times New Roman" w:cs="Times New Roman"/>
          <w:sz w:val="24"/>
          <w:szCs w:val="24"/>
          <w:lang w:bidi="en-US"/>
        </w:rPr>
        <w:t>Permit” or “CUP” means the permit issued by the Town allowing a use or set of uses with conditions upon real property.</w:t>
      </w:r>
    </w:p>
    <w:p w14:paraId="31D6851E" w14:textId="77777777" w:rsidR="009106D8" w:rsidRPr="008526AE" w:rsidRDefault="009106D8" w:rsidP="008D4A50">
      <w:pPr>
        <w:spacing w:after="0"/>
        <w:ind w:left="-5"/>
        <w:rPr>
          <w:rFonts w:ascii="Times New Roman" w:hAnsi="Times New Roman" w:cs="Times New Roman"/>
          <w:lang w:bidi="en-US"/>
        </w:rPr>
      </w:pPr>
    </w:p>
    <w:p w14:paraId="0339BF51" w14:textId="77777777" w:rsidR="002C6E6B" w:rsidRDefault="002C6E6B" w:rsidP="00933F26">
      <w:pPr>
        <w:spacing w:after="5"/>
        <w:ind w:left="-29" w:right="-29"/>
        <w:rPr>
          <w:lang w:bidi="en-US"/>
        </w:rPr>
      </w:pPr>
      <w:r>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393F4DB6" w14:textId="3B0BE636" w:rsidR="002B4984" w:rsidRPr="008526AE" w:rsidRDefault="00144201" w:rsidP="001240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Definition</w:t>
      </w:r>
      <w:r w:rsidR="00EA5EE7">
        <w:rPr>
          <w:rFonts w:ascii="Times New Roman" w:hAnsi="Times New Roman" w:cs="Times New Roman"/>
          <w:sz w:val="24"/>
          <w:szCs w:val="24"/>
        </w:rPr>
        <w:t xml:space="preserve"> additions</w:t>
      </w:r>
      <w:bookmarkStart w:id="0" w:name="_GoBack"/>
      <w:bookmarkEnd w:id="0"/>
    </w:p>
    <w:p w14:paraId="0D6AE882" w14:textId="4287BE6A" w:rsidR="00E70C70" w:rsidRPr="00E70C70" w:rsidRDefault="00E70C70" w:rsidP="00E70C70">
      <w:pPr>
        <w:rPr>
          <w:rFonts w:ascii="Times New Roman" w:hAnsi="Times New Roman" w:cs="Times New Roman"/>
          <w:sz w:val="20"/>
          <w:szCs w:val="20"/>
        </w:rPr>
      </w:pPr>
    </w:p>
    <w:sectPr w:rsidR="00E70C70" w:rsidRPr="00E7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93E67"/>
    <w:rsid w:val="000951F3"/>
    <w:rsid w:val="000A4A75"/>
    <w:rsid w:val="00133FCA"/>
    <w:rsid w:val="00144201"/>
    <w:rsid w:val="001A1FE9"/>
    <w:rsid w:val="001E161E"/>
    <w:rsid w:val="001E2BF1"/>
    <w:rsid w:val="0025254A"/>
    <w:rsid w:val="002B4984"/>
    <w:rsid w:val="002C6E6B"/>
    <w:rsid w:val="00301631"/>
    <w:rsid w:val="00335403"/>
    <w:rsid w:val="003A4C3A"/>
    <w:rsid w:val="003C7FE2"/>
    <w:rsid w:val="0047690D"/>
    <w:rsid w:val="004B5C6A"/>
    <w:rsid w:val="005319BE"/>
    <w:rsid w:val="00543FFD"/>
    <w:rsid w:val="006015C1"/>
    <w:rsid w:val="006D31D2"/>
    <w:rsid w:val="006F04D9"/>
    <w:rsid w:val="00700519"/>
    <w:rsid w:val="00700B35"/>
    <w:rsid w:val="0070637D"/>
    <w:rsid w:val="007205E0"/>
    <w:rsid w:val="00786ECE"/>
    <w:rsid w:val="007F42D1"/>
    <w:rsid w:val="007F5230"/>
    <w:rsid w:val="00813E94"/>
    <w:rsid w:val="008526AE"/>
    <w:rsid w:val="00893530"/>
    <w:rsid w:val="008B2406"/>
    <w:rsid w:val="008C5B3A"/>
    <w:rsid w:val="008D4A50"/>
    <w:rsid w:val="009106D8"/>
    <w:rsid w:val="009B4167"/>
    <w:rsid w:val="00A34149"/>
    <w:rsid w:val="00A6583C"/>
    <w:rsid w:val="00AA3FC3"/>
    <w:rsid w:val="00AB2289"/>
    <w:rsid w:val="00AD716A"/>
    <w:rsid w:val="00B77D66"/>
    <w:rsid w:val="00BB05F9"/>
    <w:rsid w:val="00BC0DCD"/>
    <w:rsid w:val="00BD32DE"/>
    <w:rsid w:val="00BD345D"/>
    <w:rsid w:val="00BF1458"/>
    <w:rsid w:val="00C03249"/>
    <w:rsid w:val="00C55D17"/>
    <w:rsid w:val="00C616CC"/>
    <w:rsid w:val="00C86018"/>
    <w:rsid w:val="00C92C4B"/>
    <w:rsid w:val="00CC2429"/>
    <w:rsid w:val="00D13CF9"/>
    <w:rsid w:val="00D17C39"/>
    <w:rsid w:val="00D35F16"/>
    <w:rsid w:val="00DF02F9"/>
    <w:rsid w:val="00E51E58"/>
    <w:rsid w:val="00E53C77"/>
    <w:rsid w:val="00E70C70"/>
    <w:rsid w:val="00EA5EE7"/>
    <w:rsid w:val="00EE06CF"/>
    <w:rsid w:val="00F257EB"/>
    <w:rsid w:val="00F840A7"/>
    <w:rsid w:val="00F94682"/>
    <w:rsid w:val="00FA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8</cp:revision>
  <dcterms:created xsi:type="dcterms:W3CDTF">2019-11-22T12:03:00Z</dcterms:created>
  <dcterms:modified xsi:type="dcterms:W3CDTF">2019-11-23T18:38:00Z</dcterms:modified>
</cp:coreProperties>
</file>