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75C" w:rsidRDefault="00C72532">
      <w:pPr>
        <w:rPr>
          <w:color w:val="538135" w:themeColor="accent6" w:themeShade="BF"/>
        </w:rPr>
      </w:pPr>
      <w:bookmarkStart w:id="0" w:name="_GoBack"/>
      <w:bookmarkEnd w:id="0"/>
      <w:r>
        <w:t xml:space="preserve">L. </w:t>
      </w:r>
      <w:r w:rsidRPr="00C84050">
        <w:rPr>
          <w:strike/>
          <w:color w:val="FF0000"/>
        </w:rPr>
        <w:t>Irrigation Ditches and Distribution Systems</w:t>
      </w:r>
      <w:r w:rsidR="0059375C">
        <w:t xml:space="preserve"> </w:t>
      </w:r>
      <w:r w:rsidR="0059375C">
        <w:rPr>
          <w:color w:val="538135" w:themeColor="accent6" w:themeShade="BF"/>
        </w:rPr>
        <w:t>Culinary and Secondary Water System Design</w:t>
      </w:r>
      <w:r w:rsidRPr="00C72532">
        <w:t xml:space="preserve">. </w:t>
      </w:r>
    </w:p>
    <w:p w:rsidR="0059375C" w:rsidRDefault="0059375C">
      <w:pPr>
        <w:rPr>
          <w:color w:val="538135" w:themeColor="accent6" w:themeShade="BF"/>
        </w:rPr>
      </w:pPr>
      <w:r>
        <w:rPr>
          <w:color w:val="538135" w:themeColor="accent6" w:themeShade="BF"/>
        </w:rPr>
        <w:t xml:space="preserve">As condition of approval of a subdivision the developer shall be required </w:t>
      </w:r>
      <w:r w:rsidR="00335056">
        <w:rPr>
          <w:color w:val="538135" w:themeColor="accent6" w:themeShade="BF"/>
        </w:rPr>
        <w:t>to provide appropriate acre-feet of usable water per dwelling unit, residential lot, or separate parcel created by the subdivision whichever is greatest, to the city. See table below for appropriate acre-feet:</w:t>
      </w:r>
    </w:p>
    <w:tbl>
      <w:tblPr>
        <w:tblStyle w:val="TableGrid"/>
        <w:tblW w:w="0" w:type="auto"/>
        <w:jc w:val="center"/>
        <w:tblLook w:val="04A0" w:firstRow="1" w:lastRow="0" w:firstColumn="1" w:lastColumn="0" w:noHBand="0" w:noVBand="1"/>
      </w:tblPr>
      <w:tblGrid>
        <w:gridCol w:w="2245"/>
        <w:gridCol w:w="1585"/>
        <w:gridCol w:w="1915"/>
        <w:gridCol w:w="1915"/>
        <w:gridCol w:w="1916"/>
      </w:tblGrid>
      <w:tr w:rsidR="00335056" w:rsidTr="00335056">
        <w:trPr>
          <w:jc w:val="center"/>
        </w:trPr>
        <w:tc>
          <w:tcPr>
            <w:tcW w:w="9576" w:type="dxa"/>
            <w:gridSpan w:val="5"/>
          </w:tcPr>
          <w:p w:rsidR="00335056" w:rsidRPr="00335056" w:rsidRDefault="00335056" w:rsidP="00D22BE8">
            <w:pPr>
              <w:jc w:val="center"/>
              <w:rPr>
                <w:color w:val="538135" w:themeColor="accent6" w:themeShade="BF"/>
              </w:rPr>
            </w:pPr>
            <w:r w:rsidRPr="00335056">
              <w:rPr>
                <w:color w:val="538135" w:themeColor="accent6" w:themeShade="BF"/>
              </w:rPr>
              <w:t>Residential Water Right Requirements (Acre Feet)</w:t>
            </w:r>
          </w:p>
        </w:tc>
      </w:tr>
      <w:tr w:rsidR="00335056" w:rsidTr="00FB7EC9">
        <w:trPr>
          <w:jc w:val="center"/>
        </w:trPr>
        <w:tc>
          <w:tcPr>
            <w:tcW w:w="2245" w:type="dxa"/>
            <w:vAlign w:val="center"/>
          </w:tcPr>
          <w:p w:rsidR="00335056" w:rsidRPr="00335056" w:rsidRDefault="00335056" w:rsidP="00D22BE8">
            <w:pPr>
              <w:jc w:val="center"/>
              <w:rPr>
                <w:color w:val="538135" w:themeColor="accent6" w:themeShade="BF"/>
              </w:rPr>
            </w:pPr>
            <w:r w:rsidRPr="00335056">
              <w:rPr>
                <w:color w:val="538135" w:themeColor="accent6" w:themeShade="BF"/>
              </w:rPr>
              <w:t>Zone</w:t>
            </w:r>
          </w:p>
        </w:tc>
        <w:tc>
          <w:tcPr>
            <w:tcW w:w="1585" w:type="dxa"/>
            <w:vAlign w:val="center"/>
          </w:tcPr>
          <w:p w:rsidR="00335056" w:rsidRPr="00335056" w:rsidRDefault="00335056" w:rsidP="00D22BE8">
            <w:pPr>
              <w:jc w:val="center"/>
              <w:rPr>
                <w:color w:val="538135" w:themeColor="accent6" w:themeShade="BF"/>
              </w:rPr>
            </w:pPr>
            <w:r w:rsidRPr="00335056">
              <w:rPr>
                <w:color w:val="538135" w:themeColor="accent6" w:themeShade="BF"/>
              </w:rPr>
              <w:t xml:space="preserve">Indoor Water Requirement </w:t>
            </w:r>
          </w:p>
        </w:tc>
        <w:tc>
          <w:tcPr>
            <w:tcW w:w="1915" w:type="dxa"/>
            <w:vAlign w:val="center"/>
          </w:tcPr>
          <w:p w:rsidR="00335056" w:rsidRPr="00335056" w:rsidRDefault="00335056" w:rsidP="00D22BE8">
            <w:pPr>
              <w:jc w:val="center"/>
              <w:rPr>
                <w:color w:val="538135" w:themeColor="accent6" w:themeShade="BF"/>
              </w:rPr>
            </w:pPr>
            <w:r w:rsidRPr="00335056">
              <w:rPr>
                <w:color w:val="538135" w:themeColor="accent6" w:themeShade="BF"/>
              </w:rPr>
              <w:t>Outdoor Water Requirement</w:t>
            </w:r>
          </w:p>
        </w:tc>
        <w:tc>
          <w:tcPr>
            <w:tcW w:w="1915" w:type="dxa"/>
            <w:vAlign w:val="center"/>
          </w:tcPr>
          <w:p w:rsidR="00335056" w:rsidRPr="00335056" w:rsidRDefault="00335056" w:rsidP="00D22BE8">
            <w:pPr>
              <w:jc w:val="center"/>
              <w:rPr>
                <w:color w:val="538135" w:themeColor="accent6" w:themeShade="BF"/>
              </w:rPr>
            </w:pPr>
            <w:r w:rsidRPr="00335056">
              <w:rPr>
                <w:color w:val="538135" w:themeColor="accent6" w:themeShade="BF"/>
              </w:rPr>
              <w:t>Total Water Right Per Lot Requirement</w:t>
            </w:r>
          </w:p>
        </w:tc>
        <w:tc>
          <w:tcPr>
            <w:tcW w:w="1916" w:type="dxa"/>
            <w:vAlign w:val="center"/>
          </w:tcPr>
          <w:p w:rsidR="00335056" w:rsidRPr="00335056" w:rsidRDefault="00335056" w:rsidP="00D22BE8">
            <w:pPr>
              <w:jc w:val="center"/>
              <w:rPr>
                <w:color w:val="538135" w:themeColor="accent6" w:themeShade="BF"/>
              </w:rPr>
            </w:pPr>
            <w:r w:rsidRPr="00335056">
              <w:rPr>
                <w:color w:val="538135" w:themeColor="accent6" w:themeShade="BF"/>
              </w:rPr>
              <w:t>Total Water Right Per Acre Requirement</w:t>
            </w:r>
          </w:p>
        </w:tc>
      </w:tr>
      <w:tr w:rsidR="00335056" w:rsidTr="00FB7EC9">
        <w:trPr>
          <w:jc w:val="center"/>
        </w:trPr>
        <w:tc>
          <w:tcPr>
            <w:tcW w:w="2245" w:type="dxa"/>
            <w:vAlign w:val="center"/>
          </w:tcPr>
          <w:p w:rsidR="00335056" w:rsidRPr="00335056" w:rsidRDefault="00335056" w:rsidP="00D22BE8">
            <w:pPr>
              <w:rPr>
                <w:color w:val="538135" w:themeColor="accent6" w:themeShade="BF"/>
              </w:rPr>
            </w:pPr>
            <w:r>
              <w:rPr>
                <w:color w:val="538135" w:themeColor="accent6" w:themeShade="BF"/>
              </w:rPr>
              <w:t xml:space="preserve">A1 </w:t>
            </w:r>
          </w:p>
        </w:tc>
        <w:tc>
          <w:tcPr>
            <w:tcW w:w="1585" w:type="dxa"/>
            <w:vAlign w:val="center"/>
          </w:tcPr>
          <w:p w:rsidR="00335056" w:rsidRPr="00335056" w:rsidRDefault="00335056" w:rsidP="00D22BE8">
            <w:pPr>
              <w:jc w:val="center"/>
              <w:rPr>
                <w:color w:val="538135" w:themeColor="accent6" w:themeShade="BF"/>
              </w:rPr>
            </w:pPr>
            <w:r w:rsidRPr="00335056">
              <w:rPr>
                <w:color w:val="538135" w:themeColor="accent6" w:themeShade="BF"/>
              </w:rPr>
              <w:t>0.45</w:t>
            </w:r>
          </w:p>
        </w:tc>
        <w:tc>
          <w:tcPr>
            <w:tcW w:w="1915" w:type="dxa"/>
            <w:vAlign w:val="center"/>
          </w:tcPr>
          <w:p w:rsidR="00335056" w:rsidRPr="00335056" w:rsidRDefault="00335056" w:rsidP="00D22BE8">
            <w:pPr>
              <w:jc w:val="center"/>
              <w:rPr>
                <w:color w:val="538135" w:themeColor="accent6" w:themeShade="BF"/>
              </w:rPr>
            </w:pPr>
            <w:r w:rsidRPr="00335056">
              <w:rPr>
                <w:color w:val="538135" w:themeColor="accent6" w:themeShade="BF"/>
              </w:rPr>
              <w:t>0.56</w:t>
            </w:r>
          </w:p>
        </w:tc>
        <w:tc>
          <w:tcPr>
            <w:tcW w:w="1915" w:type="dxa"/>
            <w:vAlign w:val="center"/>
          </w:tcPr>
          <w:p w:rsidR="00335056" w:rsidRPr="00335056" w:rsidRDefault="00335056" w:rsidP="00D22BE8">
            <w:pPr>
              <w:jc w:val="center"/>
              <w:rPr>
                <w:color w:val="538135" w:themeColor="accent6" w:themeShade="BF"/>
              </w:rPr>
            </w:pPr>
            <w:r w:rsidRPr="00335056">
              <w:rPr>
                <w:color w:val="538135" w:themeColor="accent6" w:themeShade="BF"/>
              </w:rPr>
              <w:t>1.01</w:t>
            </w:r>
          </w:p>
        </w:tc>
        <w:tc>
          <w:tcPr>
            <w:tcW w:w="1916" w:type="dxa"/>
            <w:vAlign w:val="center"/>
          </w:tcPr>
          <w:p w:rsidR="00335056" w:rsidRPr="00335056" w:rsidRDefault="00FB7EC9" w:rsidP="00D22BE8">
            <w:pPr>
              <w:jc w:val="center"/>
              <w:rPr>
                <w:color w:val="538135" w:themeColor="accent6" w:themeShade="BF"/>
              </w:rPr>
            </w:pPr>
            <w:r>
              <w:rPr>
                <w:color w:val="538135" w:themeColor="accent6" w:themeShade="BF"/>
              </w:rPr>
              <w:t>1.01</w:t>
            </w:r>
          </w:p>
        </w:tc>
      </w:tr>
      <w:tr w:rsidR="00335056" w:rsidTr="00FB7EC9">
        <w:trPr>
          <w:jc w:val="center"/>
        </w:trPr>
        <w:tc>
          <w:tcPr>
            <w:tcW w:w="2245" w:type="dxa"/>
            <w:vAlign w:val="center"/>
          </w:tcPr>
          <w:p w:rsidR="00335056" w:rsidRPr="00335056" w:rsidRDefault="00335056" w:rsidP="00D22BE8">
            <w:pPr>
              <w:rPr>
                <w:color w:val="538135" w:themeColor="accent6" w:themeShade="BF"/>
              </w:rPr>
            </w:pPr>
            <w:r>
              <w:rPr>
                <w:color w:val="538135" w:themeColor="accent6" w:themeShade="BF"/>
              </w:rPr>
              <w:t>A1</w:t>
            </w:r>
            <w:r w:rsidRPr="00335056">
              <w:rPr>
                <w:color w:val="538135" w:themeColor="accent6" w:themeShade="BF"/>
              </w:rPr>
              <w:t xml:space="preserve"> (Bonus Density)</w:t>
            </w:r>
          </w:p>
        </w:tc>
        <w:tc>
          <w:tcPr>
            <w:tcW w:w="1585" w:type="dxa"/>
            <w:vAlign w:val="center"/>
          </w:tcPr>
          <w:p w:rsidR="00335056" w:rsidRPr="00335056" w:rsidRDefault="00335056" w:rsidP="00D22BE8">
            <w:pPr>
              <w:jc w:val="center"/>
              <w:rPr>
                <w:color w:val="538135" w:themeColor="accent6" w:themeShade="BF"/>
              </w:rPr>
            </w:pPr>
            <w:r w:rsidRPr="00335056">
              <w:rPr>
                <w:color w:val="538135" w:themeColor="accent6" w:themeShade="BF"/>
              </w:rPr>
              <w:t>0.45</w:t>
            </w:r>
          </w:p>
        </w:tc>
        <w:tc>
          <w:tcPr>
            <w:tcW w:w="1915" w:type="dxa"/>
            <w:vAlign w:val="center"/>
          </w:tcPr>
          <w:p w:rsidR="00335056" w:rsidRPr="00335056" w:rsidRDefault="00335056" w:rsidP="00D22BE8">
            <w:pPr>
              <w:jc w:val="center"/>
              <w:rPr>
                <w:color w:val="538135" w:themeColor="accent6" w:themeShade="BF"/>
              </w:rPr>
            </w:pPr>
            <w:r w:rsidRPr="00335056">
              <w:rPr>
                <w:color w:val="538135" w:themeColor="accent6" w:themeShade="BF"/>
              </w:rPr>
              <w:t>0.3</w:t>
            </w:r>
            <w:r w:rsidR="00FB7EC9">
              <w:rPr>
                <w:color w:val="538135" w:themeColor="accent6" w:themeShade="BF"/>
              </w:rPr>
              <w:t>7</w:t>
            </w:r>
          </w:p>
        </w:tc>
        <w:tc>
          <w:tcPr>
            <w:tcW w:w="1915" w:type="dxa"/>
            <w:vAlign w:val="center"/>
          </w:tcPr>
          <w:p w:rsidR="00335056" w:rsidRPr="00335056" w:rsidRDefault="00335056" w:rsidP="00D22BE8">
            <w:pPr>
              <w:jc w:val="center"/>
              <w:rPr>
                <w:color w:val="538135" w:themeColor="accent6" w:themeShade="BF"/>
              </w:rPr>
            </w:pPr>
            <w:r w:rsidRPr="00335056">
              <w:rPr>
                <w:color w:val="538135" w:themeColor="accent6" w:themeShade="BF"/>
              </w:rPr>
              <w:t>0.</w:t>
            </w:r>
            <w:r w:rsidR="00FB7EC9">
              <w:rPr>
                <w:color w:val="538135" w:themeColor="accent6" w:themeShade="BF"/>
              </w:rPr>
              <w:t>82</w:t>
            </w:r>
          </w:p>
        </w:tc>
        <w:tc>
          <w:tcPr>
            <w:tcW w:w="1916" w:type="dxa"/>
            <w:vAlign w:val="center"/>
          </w:tcPr>
          <w:p w:rsidR="00335056" w:rsidRPr="00335056" w:rsidRDefault="00FB7EC9" w:rsidP="00D22BE8">
            <w:pPr>
              <w:jc w:val="center"/>
              <w:rPr>
                <w:color w:val="538135" w:themeColor="accent6" w:themeShade="BF"/>
              </w:rPr>
            </w:pPr>
            <w:r>
              <w:rPr>
                <w:color w:val="538135" w:themeColor="accent6" w:themeShade="BF"/>
              </w:rPr>
              <w:t>1.79</w:t>
            </w:r>
          </w:p>
        </w:tc>
      </w:tr>
      <w:tr w:rsidR="00335056" w:rsidTr="00FB7EC9">
        <w:trPr>
          <w:jc w:val="center"/>
        </w:trPr>
        <w:tc>
          <w:tcPr>
            <w:tcW w:w="2245" w:type="dxa"/>
            <w:vAlign w:val="center"/>
          </w:tcPr>
          <w:p w:rsidR="00335056" w:rsidRPr="00335056" w:rsidRDefault="00335056" w:rsidP="00D22BE8">
            <w:pPr>
              <w:rPr>
                <w:color w:val="538135" w:themeColor="accent6" w:themeShade="BF"/>
              </w:rPr>
            </w:pPr>
            <w:r>
              <w:rPr>
                <w:color w:val="538135" w:themeColor="accent6" w:themeShade="BF"/>
              </w:rPr>
              <w:t>RE 20</w:t>
            </w:r>
          </w:p>
        </w:tc>
        <w:tc>
          <w:tcPr>
            <w:tcW w:w="1585" w:type="dxa"/>
            <w:vAlign w:val="center"/>
          </w:tcPr>
          <w:p w:rsidR="00335056" w:rsidRPr="00335056" w:rsidRDefault="00335056" w:rsidP="00D22BE8">
            <w:pPr>
              <w:jc w:val="center"/>
              <w:rPr>
                <w:color w:val="538135" w:themeColor="accent6" w:themeShade="BF"/>
              </w:rPr>
            </w:pPr>
            <w:r w:rsidRPr="00335056">
              <w:rPr>
                <w:color w:val="538135" w:themeColor="accent6" w:themeShade="BF"/>
              </w:rPr>
              <w:t>0.45</w:t>
            </w:r>
          </w:p>
        </w:tc>
        <w:tc>
          <w:tcPr>
            <w:tcW w:w="1915" w:type="dxa"/>
            <w:vAlign w:val="center"/>
          </w:tcPr>
          <w:p w:rsidR="00335056" w:rsidRPr="00335056" w:rsidRDefault="00335056" w:rsidP="00D22BE8">
            <w:pPr>
              <w:jc w:val="center"/>
              <w:rPr>
                <w:color w:val="538135" w:themeColor="accent6" w:themeShade="BF"/>
              </w:rPr>
            </w:pPr>
            <w:r w:rsidRPr="00335056">
              <w:rPr>
                <w:color w:val="538135" w:themeColor="accent6" w:themeShade="BF"/>
              </w:rPr>
              <w:t>0.37</w:t>
            </w:r>
          </w:p>
        </w:tc>
        <w:tc>
          <w:tcPr>
            <w:tcW w:w="1915" w:type="dxa"/>
            <w:vAlign w:val="center"/>
          </w:tcPr>
          <w:p w:rsidR="00335056" w:rsidRPr="00335056" w:rsidRDefault="00335056" w:rsidP="00D22BE8">
            <w:pPr>
              <w:jc w:val="center"/>
              <w:rPr>
                <w:color w:val="538135" w:themeColor="accent6" w:themeShade="BF"/>
              </w:rPr>
            </w:pPr>
            <w:r w:rsidRPr="00335056">
              <w:rPr>
                <w:color w:val="538135" w:themeColor="accent6" w:themeShade="BF"/>
              </w:rPr>
              <w:t>0.82</w:t>
            </w:r>
          </w:p>
        </w:tc>
        <w:tc>
          <w:tcPr>
            <w:tcW w:w="1916" w:type="dxa"/>
            <w:vAlign w:val="center"/>
          </w:tcPr>
          <w:p w:rsidR="00335056" w:rsidRPr="00335056" w:rsidRDefault="00FB7EC9" w:rsidP="00D22BE8">
            <w:pPr>
              <w:jc w:val="center"/>
              <w:rPr>
                <w:color w:val="538135" w:themeColor="accent6" w:themeShade="BF"/>
              </w:rPr>
            </w:pPr>
            <w:r>
              <w:rPr>
                <w:color w:val="538135" w:themeColor="accent6" w:themeShade="BF"/>
              </w:rPr>
              <w:t>1.79</w:t>
            </w:r>
          </w:p>
        </w:tc>
      </w:tr>
      <w:tr w:rsidR="00335056" w:rsidTr="00FB7EC9">
        <w:trPr>
          <w:jc w:val="center"/>
        </w:trPr>
        <w:tc>
          <w:tcPr>
            <w:tcW w:w="2245" w:type="dxa"/>
            <w:vAlign w:val="center"/>
          </w:tcPr>
          <w:p w:rsidR="00335056" w:rsidRPr="00335056" w:rsidRDefault="00FB7EC9" w:rsidP="00D22BE8">
            <w:pPr>
              <w:rPr>
                <w:color w:val="538135" w:themeColor="accent6" w:themeShade="BF"/>
              </w:rPr>
            </w:pPr>
            <w:r>
              <w:rPr>
                <w:color w:val="538135" w:themeColor="accent6" w:themeShade="BF"/>
              </w:rPr>
              <w:t>RE 20 (Bonus Density)</w:t>
            </w:r>
          </w:p>
        </w:tc>
        <w:tc>
          <w:tcPr>
            <w:tcW w:w="1585" w:type="dxa"/>
            <w:vAlign w:val="center"/>
          </w:tcPr>
          <w:p w:rsidR="00335056" w:rsidRPr="00335056" w:rsidRDefault="00FB7EC9" w:rsidP="00D22BE8">
            <w:pPr>
              <w:jc w:val="center"/>
              <w:rPr>
                <w:color w:val="538135" w:themeColor="accent6" w:themeShade="BF"/>
              </w:rPr>
            </w:pPr>
            <w:r>
              <w:rPr>
                <w:color w:val="538135" w:themeColor="accent6" w:themeShade="BF"/>
              </w:rPr>
              <w:t>0.45</w:t>
            </w:r>
          </w:p>
        </w:tc>
        <w:tc>
          <w:tcPr>
            <w:tcW w:w="1915" w:type="dxa"/>
            <w:vAlign w:val="center"/>
          </w:tcPr>
          <w:p w:rsidR="00335056" w:rsidRPr="00335056" w:rsidRDefault="00FB7EC9" w:rsidP="00D22BE8">
            <w:pPr>
              <w:jc w:val="center"/>
              <w:rPr>
                <w:color w:val="538135" w:themeColor="accent6" w:themeShade="BF"/>
              </w:rPr>
            </w:pPr>
            <w:r>
              <w:rPr>
                <w:color w:val="538135" w:themeColor="accent6" w:themeShade="BF"/>
              </w:rPr>
              <w:t>0.25</w:t>
            </w:r>
          </w:p>
        </w:tc>
        <w:tc>
          <w:tcPr>
            <w:tcW w:w="1915" w:type="dxa"/>
            <w:vAlign w:val="center"/>
          </w:tcPr>
          <w:p w:rsidR="00335056" w:rsidRPr="00335056" w:rsidRDefault="00FB7EC9" w:rsidP="00D22BE8">
            <w:pPr>
              <w:jc w:val="center"/>
              <w:rPr>
                <w:color w:val="538135" w:themeColor="accent6" w:themeShade="BF"/>
              </w:rPr>
            </w:pPr>
            <w:r>
              <w:rPr>
                <w:color w:val="538135" w:themeColor="accent6" w:themeShade="BF"/>
              </w:rPr>
              <w:t>0.70</w:t>
            </w:r>
          </w:p>
        </w:tc>
        <w:tc>
          <w:tcPr>
            <w:tcW w:w="1916" w:type="dxa"/>
            <w:vAlign w:val="center"/>
          </w:tcPr>
          <w:p w:rsidR="00335056" w:rsidRPr="00335056" w:rsidRDefault="00FB7EC9" w:rsidP="00D22BE8">
            <w:pPr>
              <w:jc w:val="center"/>
              <w:rPr>
                <w:color w:val="538135" w:themeColor="accent6" w:themeShade="BF"/>
              </w:rPr>
            </w:pPr>
            <w:r>
              <w:rPr>
                <w:color w:val="538135" w:themeColor="accent6" w:themeShade="BF"/>
              </w:rPr>
              <w:t>2.54</w:t>
            </w:r>
          </w:p>
        </w:tc>
      </w:tr>
      <w:tr w:rsidR="00335056" w:rsidTr="00FB7EC9">
        <w:trPr>
          <w:jc w:val="center"/>
        </w:trPr>
        <w:tc>
          <w:tcPr>
            <w:tcW w:w="2245" w:type="dxa"/>
            <w:vAlign w:val="center"/>
          </w:tcPr>
          <w:p w:rsidR="00335056" w:rsidRPr="00335056" w:rsidRDefault="00335056" w:rsidP="00D22BE8">
            <w:pPr>
              <w:rPr>
                <w:color w:val="538135" w:themeColor="accent6" w:themeShade="BF"/>
              </w:rPr>
            </w:pPr>
            <w:r w:rsidRPr="00335056">
              <w:rPr>
                <w:color w:val="538135" w:themeColor="accent6" w:themeShade="BF"/>
              </w:rPr>
              <w:t>Senior PUD</w:t>
            </w:r>
          </w:p>
        </w:tc>
        <w:tc>
          <w:tcPr>
            <w:tcW w:w="1585" w:type="dxa"/>
            <w:vAlign w:val="center"/>
          </w:tcPr>
          <w:p w:rsidR="00335056" w:rsidRPr="00335056" w:rsidRDefault="00335056" w:rsidP="00D22BE8">
            <w:pPr>
              <w:jc w:val="center"/>
              <w:rPr>
                <w:color w:val="538135" w:themeColor="accent6" w:themeShade="BF"/>
              </w:rPr>
            </w:pPr>
            <w:r w:rsidRPr="00335056">
              <w:rPr>
                <w:color w:val="538135" w:themeColor="accent6" w:themeShade="BF"/>
              </w:rPr>
              <w:t>0.38</w:t>
            </w:r>
          </w:p>
        </w:tc>
        <w:tc>
          <w:tcPr>
            <w:tcW w:w="1915" w:type="dxa"/>
            <w:vAlign w:val="center"/>
          </w:tcPr>
          <w:p w:rsidR="00335056" w:rsidRPr="00335056" w:rsidRDefault="00FB7EC9" w:rsidP="00D22BE8">
            <w:pPr>
              <w:jc w:val="center"/>
              <w:rPr>
                <w:color w:val="538135" w:themeColor="accent6" w:themeShade="BF"/>
              </w:rPr>
            </w:pPr>
            <w:r>
              <w:rPr>
                <w:color w:val="538135" w:themeColor="accent6" w:themeShade="BF"/>
              </w:rPr>
              <w:t>0.12</w:t>
            </w:r>
          </w:p>
        </w:tc>
        <w:tc>
          <w:tcPr>
            <w:tcW w:w="1915" w:type="dxa"/>
            <w:vAlign w:val="center"/>
          </w:tcPr>
          <w:p w:rsidR="00335056" w:rsidRPr="00335056" w:rsidRDefault="00FB7EC9" w:rsidP="00D22BE8">
            <w:pPr>
              <w:jc w:val="center"/>
              <w:rPr>
                <w:color w:val="538135" w:themeColor="accent6" w:themeShade="BF"/>
              </w:rPr>
            </w:pPr>
            <w:r>
              <w:rPr>
                <w:color w:val="538135" w:themeColor="accent6" w:themeShade="BF"/>
              </w:rPr>
              <w:t>0.50</w:t>
            </w:r>
          </w:p>
        </w:tc>
        <w:tc>
          <w:tcPr>
            <w:tcW w:w="1916" w:type="dxa"/>
            <w:vAlign w:val="center"/>
          </w:tcPr>
          <w:p w:rsidR="00335056" w:rsidRPr="00335056" w:rsidRDefault="00FB7EC9" w:rsidP="00D22BE8">
            <w:pPr>
              <w:jc w:val="center"/>
              <w:rPr>
                <w:color w:val="538135" w:themeColor="accent6" w:themeShade="BF"/>
              </w:rPr>
            </w:pPr>
            <w:r>
              <w:rPr>
                <w:color w:val="538135" w:themeColor="accent6" w:themeShade="BF"/>
              </w:rPr>
              <w:t>2.50</w:t>
            </w:r>
          </w:p>
        </w:tc>
      </w:tr>
    </w:tbl>
    <w:p w:rsidR="00335056" w:rsidRDefault="00335056" w:rsidP="00335056">
      <w:pPr>
        <w:rPr>
          <w:color w:val="538135" w:themeColor="accent6" w:themeShade="BF"/>
        </w:rPr>
      </w:pPr>
    </w:p>
    <w:p w:rsidR="00FC45CE" w:rsidRDefault="00FC45CE">
      <w:pPr>
        <w:rPr>
          <w:color w:val="538135" w:themeColor="accent6" w:themeShade="BF"/>
        </w:rPr>
      </w:pPr>
      <w:r>
        <w:rPr>
          <w:color w:val="538135" w:themeColor="accent6" w:themeShade="BF"/>
        </w:rPr>
        <w:t>The requirement for usable water may be satisfied through the application of one or a combination of the following options:</w:t>
      </w:r>
    </w:p>
    <w:p w:rsidR="00FC45CE" w:rsidRDefault="00FC45CE" w:rsidP="00FC45CE">
      <w:pPr>
        <w:pStyle w:val="ListParagraph"/>
        <w:numPr>
          <w:ilvl w:val="0"/>
          <w:numId w:val="1"/>
        </w:numPr>
        <w:rPr>
          <w:color w:val="538135" w:themeColor="accent6" w:themeShade="BF"/>
        </w:rPr>
      </w:pPr>
      <w:r>
        <w:rPr>
          <w:color w:val="538135" w:themeColor="accent6" w:themeShade="BF"/>
        </w:rPr>
        <w:t xml:space="preserve">Culinary </w:t>
      </w:r>
      <w:r w:rsidRPr="00FC45CE">
        <w:rPr>
          <w:color w:val="538135" w:themeColor="accent6" w:themeShade="BF"/>
        </w:rPr>
        <w:t>quality water which, in the opinion of the city, would qualify for conversion to a municipal use with a point of diversion residing in an existing city diversion point or that may be transferrable to an existing city diversion point.</w:t>
      </w:r>
    </w:p>
    <w:p w:rsidR="00FC45CE" w:rsidRPr="00FC45CE" w:rsidRDefault="00FC45CE" w:rsidP="00FC45CE">
      <w:pPr>
        <w:numPr>
          <w:ilvl w:val="0"/>
          <w:numId w:val="1"/>
        </w:numPr>
        <w:rPr>
          <w:color w:val="538135" w:themeColor="accent6" w:themeShade="BF"/>
        </w:rPr>
      </w:pPr>
      <w:r w:rsidRPr="00FC45CE">
        <w:rPr>
          <w:color w:val="538135" w:themeColor="accent6" w:themeShade="BF"/>
        </w:rPr>
        <w:t xml:space="preserve">Secondary or irrigation quality water from a canal or irrigation company operating within the corporate limits of </w:t>
      </w:r>
      <w:r>
        <w:rPr>
          <w:color w:val="538135" w:themeColor="accent6" w:themeShade="BF"/>
        </w:rPr>
        <w:t>Hyde Park</w:t>
      </w:r>
      <w:r w:rsidRPr="00FC45CE">
        <w:rPr>
          <w:color w:val="538135" w:themeColor="accent6" w:themeShade="BF"/>
        </w:rPr>
        <w:t xml:space="preserve"> City. </w:t>
      </w:r>
      <w:r w:rsidRPr="00FC45CE">
        <w:rPr>
          <w:color w:val="538135" w:themeColor="accent6" w:themeShade="BF"/>
          <w:highlight w:val="yellow"/>
        </w:rPr>
        <w:t>Insert canal company conversions here.</w:t>
      </w:r>
      <w:r w:rsidRPr="00FC45CE">
        <w:rPr>
          <w:color w:val="538135" w:themeColor="accent6" w:themeShade="BF"/>
        </w:rPr>
        <w:t xml:space="preserve"> High water or partial season water will not be accepted.</w:t>
      </w:r>
      <w:r w:rsidR="0008732F">
        <w:rPr>
          <w:color w:val="538135" w:themeColor="accent6" w:themeShade="BF"/>
        </w:rPr>
        <w:t xml:space="preserve"> </w:t>
      </w:r>
      <w:r w:rsidR="0008732F" w:rsidRPr="00C72532">
        <w:t>Secondary water shares that are dedicated to the subdivision property as required by the ordinance must remain with the property. It is recommended that appropriate notice be given to the Canal Company for any unused shares to prevent loss of excess water shares. The development agreement will specify the actual</w:t>
      </w:r>
      <w:r w:rsidR="0008732F" w:rsidRPr="0008732F">
        <w:rPr>
          <w:strike/>
          <w:color w:val="FF0000"/>
        </w:rPr>
        <w:t xml:space="preserve">ly </w:t>
      </w:r>
      <w:r w:rsidR="0008732F" w:rsidRPr="00C72532">
        <w:t>number of shares that will be dedicated to the lots within the subdivision.</w:t>
      </w:r>
    </w:p>
    <w:p w:rsidR="00FC45CE" w:rsidRPr="00FC45CE" w:rsidRDefault="00FC45CE" w:rsidP="00FC45CE">
      <w:pPr>
        <w:numPr>
          <w:ilvl w:val="0"/>
          <w:numId w:val="1"/>
        </w:numPr>
        <w:rPr>
          <w:color w:val="538135" w:themeColor="accent6" w:themeShade="BF"/>
        </w:rPr>
      </w:pPr>
      <w:r w:rsidRPr="00FC45CE">
        <w:rPr>
          <w:color w:val="538135" w:themeColor="accent6" w:themeShade="BF"/>
        </w:rPr>
        <w:t xml:space="preserve">If the city engineer determines the city has an adequate existing water supply and a sufficient water right to meet the foreseeable future needs of the city, a </w:t>
      </w:r>
      <w:proofErr w:type="spellStart"/>
      <w:r w:rsidRPr="00FC45CE">
        <w:rPr>
          <w:color w:val="538135" w:themeColor="accent6" w:themeShade="BF"/>
        </w:rPr>
        <w:t>subdivider</w:t>
      </w:r>
      <w:proofErr w:type="spellEnd"/>
      <w:r w:rsidRPr="00FC45CE">
        <w:rPr>
          <w:color w:val="538135" w:themeColor="accent6" w:themeShade="BF"/>
        </w:rPr>
        <w:t xml:space="preserve"> or developer may in lieu of providing water, pay the amount identified in the most current "prevailing fee schedule" as set forth by the city council. Fees collected by the city shall be earmarked for the purpose of obtaining additional water rights or developing existing water resources. The city may refund any fees received in accordance with this option if the </w:t>
      </w:r>
      <w:proofErr w:type="spellStart"/>
      <w:r w:rsidRPr="00FC45CE">
        <w:rPr>
          <w:color w:val="538135" w:themeColor="accent6" w:themeShade="BF"/>
        </w:rPr>
        <w:t>subdivider</w:t>
      </w:r>
      <w:proofErr w:type="spellEnd"/>
      <w:r w:rsidRPr="00FC45CE">
        <w:rPr>
          <w:color w:val="538135" w:themeColor="accent6" w:themeShade="BF"/>
        </w:rPr>
        <w:t xml:space="preserve"> or developer provides water in accordance with A or B of this section.</w:t>
      </w:r>
    </w:p>
    <w:p w:rsidR="00FC45CE" w:rsidRPr="00FC45CE" w:rsidRDefault="00FC45CE" w:rsidP="00FC45CE">
      <w:pPr>
        <w:numPr>
          <w:ilvl w:val="0"/>
          <w:numId w:val="1"/>
        </w:numPr>
        <w:rPr>
          <w:color w:val="538135" w:themeColor="accent6" w:themeShade="BF"/>
        </w:rPr>
      </w:pPr>
      <w:r w:rsidRPr="00FC45CE">
        <w:rPr>
          <w:color w:val="538135" w:themeColor="accent6" w:themeShade="BF"/>
        </w:rPr>
        <w:t xml:space="preserve">In the event the </w:t>
      </w:r>
      <w:proofErr w:type="spellStart"/>
      <w:r w:rsidRPr="00FC45CE">
        <w:rPr>
          <w:color w:val="538135" w:themeColor="accent6" w:themeShade="BF"/>
        </w:rPr>
        <w:t>subdivider</w:t>
      </w:r>
      <w:proofErr w:type="spellEnd"/>
      <w:r w:rsidRPr="00FC45CE">
        <w:rPr>
          <w:color w:val="538135" w:themeColor="accent6" w:themeShade="BF"/>
        </w:rPr>
        <w:t xml:space="preserve"> or developer should choose the option identified in C of this section and in doing so constructs a secondary distribution system within the development or a portion of the development, the city may, at its discretion, rebate up to seventy-five percent (75%) of the fee paid for each lot served. Qualification for rebate will only be considered for those lots with adequate capital water stock available to them and provided the sale or transfer of that capital water stock to another individual or lot without the consent of the city is restricted. The means by which the sale or transfer of the capital water stock is restricted shall be at the discretion of the city. </w:t>
      </w:r>
    </w:p>
    <w:p w:rsidR="005B137E" w:rsidRPr="00FC45CE" w:rsidRDefault="00C72532" w:rsidP="00FC45CE">
      <w:pPr>
        <w:pStyle w:val="ListParagraph"/>
        <w:numPr>
          <w:ilvl w:val="0"/>
          <w:numId w:val="3"/>
        </w:numPr>
        <w:rPr>
          <w:color w:val="538135" w:themeColor="accent6" w:themeShade="BF"/>
        </w:rPr>
      </w:pPr>
      <w:r w:rsidRPr="00C72532">
        <w:t>A distribution system shall be installed so that secondary water is used for watering on each building lot created</w:t>
      </w:r>
      <w:r w:rsidR="00FC45CE" w:rsidRPr="00FC45CE">
        <w:rPr>
          <w:strike/>
          <w:color w:val="FF0000"/>
        </w:rPr>
        <w:t>.</w:t>
      </w:r>
      <w:r w:rsidRPr="00FC45CE">
        <w:rPr>
          <w:strike/>
          <w:color w:val="FF0000"/>
        </w:rPr>
        <w:t>, all open space or other landscaped areas within the subdivision. Hyde Park City requires that adequate water shares as shown in Schedule A be obtained or an agreed upon substitution provided to supply sufficient water for the irrigation needs within the subdivision.</w:t>
      </w:r>
      <w:r w:rsidRPr="00FC45CE">
        <w:rPr>
          <w:color w:val="FF0000"/>
        </w:rPr>
        <w:t xml:space="preserve"> </w:t>
      </w:r>
      <w:r w:rsidRPr="00C72532">
        <w:t>The developer is required to create a water entity whose ownership and management is to be turned over to the subdivision’s residents at the earliest possible point in the development timeline, unless title to the require</w:t>
      </w:r>
      <w:r w:rsidR="00FC45CE">
        <w:rPr>
          <w:color w:val="538135" w:themeColor="accent6" w:themeShade="BF"/>
        </w:rPr>
        <w:t>d</w:t>
      </w:r>
      <w:r w:rsidRPr="00C72532">
        <w:t xml:space="preserve"> water share(s) can be transferred directly to each lot owner entitled to and responsible for the same. The </w:t>
      </w:r>
      <w:r w:rsidRPr="00C72532">
        <w:lastRenderedPageBreak/>
        <w:t xml:space="preserve">purpose of the entity is to provide management of the business requirements related to the water share(s) (pay bills, make assessments, etc.), hold title to the water shares owned and used by the entity for the benefit of the lot owners and other subdivision property, and to maintain the delivery system. </w:t>
      </w:r>
      <w:r w:rsidRPr="0008732F">
        <w:rPr>
          <w:strike/>
          <w:color w:val="FF0000"/>
        </w:rPr>
        <w:t>Secondary water shares that are dedicated to the subdivision property as required by the ordinance must remain with the property. It is recommended that appropriate notice be given to the Canal Company for any unused shares to prevent loss of excess water shares. The development agreement will specify the actually number of shares that will be dedicated to the lots within the subdivision. Schedule A also includes sample wording for the transfer of water stock certificates.</w:t>
      </w:r>
      <w:r w:rsidRPr="0008732F">
        <w:rPr>
          <w:strike/>
          <w:color w:val="FF0000"/>
        </w:rPr>
        <w:br/>
      </w:r>
      <w:r w:rsidRPr="00C72532">
        <w:br/>
      </w:r>
      <w:r w:rsidRPr="0008732F">
        <w:rPr>
          <w:strike/>
          <w:color w:val="FF0000"/>
        </w:rPr>
        <w:t>In the event that the developer is unable to provide a delivery system for secondary water or unable to obtain water shares for the subdivision and has provided proof to Hyde Park City that they have done due diligence: Hyde Park City Land Use Authority Level 4 may waive this requirement.</w:t>
      </w:r>
      <w:r w:rsidRPr="0008732F">
        <w:rPr>
          <w:strike/>
          <w:color w:val="FF0000"/>
        </w:rPr>
        <w:br/>
      </w:r>
      <w:r w:rsidRPr="00C72532">
        <w:br/>
        <w:t xml:space="preserve">The water entity is required to provide a method for ensuring the timely payment of assessments to the canal company or otherwise, for the water dedicated to the subdivision and for payment of assessments in the event the assessments become delinquent and/or are not paid. The development agreement shall provide for and allow payment of delinquent and/or unpaid assessments by the City and upon such payment by the City, the canal company shall transfer the water shares to the City, to hold as security for the repayment of all assessments paid by the City from the delinquent water share owner(s) or other person(s) responsible for the payment of such assessments. Upon payment of back assessments to the City, the shares will be returned to the applicant (owner). The water distribution system may not include open ditches or newly constructed open canals within or adjoining a subdivision except along rear or side lot lines. The </w:t>
      </w:r>
      <w:proofErr w:type="spellStart"/>
      <w:r w:rsidRPr="00C72532">
        <w:t>subdivider</w:t>
      </w:r>
      <w:proofErr w:type="spellEnd"/>
      <w:r w:rsidRPr="00C72532">
        <w:t xml:space="preserve"> shall work with irrigation, drainage or ditch companies to determine:</w:t>
      </w:r>
      <w:r w:rsidRPr="00C72532">
        <w:br/>
      </w:r>
      <w:r w:rsidRPr="00C72532">
        <w:br/>
        <w:t>Methods of covering, realigning or eliminating ditches or canals within or adjoining the subdivision.</w:t>
      </w:r>
      <w:r w:rsidRPr="00C72532">
        <w:br/>
      </w:r>
      <w:r w:rsidRPr="00C72532">
        <w:br/>
        <w:t>Methods of distributing available secondary water to each lot and irrigated open space in the subdivision.</w:t>
      </w:r>
      <w:r w:rsidRPr="00C72532">
        <w:br/>
      </w:r>
      <w:r w:rsidRPr="00C72532">
        <w:br/>
        <w:t>The size of pipe and culverts required.</w:t>
      </w:r>
      <w:r w:rsidRPr="00C72532">
        <w:br/>
      </w:r>
      <w:r w:rsidRPr="00C72532">
        <w:br/>
        <w:t>The responsibility for the periodic inspection, cleaning and maintenance of such ditches, pipes and culverts. In cases where canals or ditches cross public roads or proposed public roads, specifications and grades for pipe or culvert must be approved by the public works personnel in cooperation with the DRC and/or the City engineer.</w:t>
      </w:r>
    </w:p>
    <w:sectPr w:rsidR="005B137E" w:rsidRPr="00FC45CE" w:rsidSect="00C725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A78FB"/>
    <w:multiLevelType w:val="hybridMultilevel"/>
    <w:tmpl w:val="03B23C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D896BE0"/>
    <w:multiLevelType w:val="multilevel"/>
    <w:tmpl w:val="5EA447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B25965"/>
    <w:multiLevelType w:val="hybridMultilevel"/>
    <w:tmpl w:val="6A54B7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32"/>
    <w:rsid w:val="0008732F"/>
    <w:rsid w:val="00335056"/>
    <w:rsid w:val="0059375C"/>
    <w:rsid w:val="005B137E"/>
    <w:rsid w:val="00C72532"/>
    <w:rsid w:val="00C84050"/>
    <w:rsid w:val="00E03A64"/>
    <w:rsid w:val="00FB7EC9"/>
    <w:rsid w:val="00FC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Buck</dc:creator>
  <cp:lastModifiedBy>CARLENE</cp:lastModifiedBy>
  <cp:revision>2</cp:revision>
  <dcterms:created xsi:type="dcterms:W3CDTF">2019-09-17T21:39:00Z</dcterms:created>
  <dcterms:modified xsi:type="dcterms:W3CDTF">2019-09-17T21:39:00Z</dcterms:modified>
</cp:coreProperties>
</file>