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C96" w:rsidRDefault="008A0C96" w:rsidP="0079315D">
      <w:pPr>
        <w:rPr>
          <w:rFonts w:cs="Aharoni"/>
          <w:b/>
          <w:bCs/>
          <w:sz w:val="28"/>
          <w:szCs w:val="28"/>
        </w:rPr>
      </w:pPr>
      <w:bookmarkStart w:id="0" w:name="_GoBack"/>
      <w:bookmarkEnd w:id="0"/>
      <w:r w:rsidRPr="008A0C96">
        <w:rPr>
          <w:rFonts w:cs="Aharoni"/>
          <w:b/>
          <w:bCs/>
          <w:noProof/>
          <w:sz w:val="28"/>
          <w:szCs w:val="28"/>
        </w:rPr>
        <w:drawing>
          <wp:inline distT="0" distB="0" distL="0" distR="0">
            <wp:extent cx="1882302" cy="1254868"/>
            <wp:effectExtent l="0" t="0" r="0" b="0"/>
            <wp:docPr id="1" name="Picture 1" descr="C:\Users\davids\Desktop\DCHD logo fix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s\Desktop\DCHD logo fixe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567" cy="127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15D" w:rsidRDefault="0079315D" w:rsidP="0079315D">
      <w:pPr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Board of Health Notes for August 13, 2019 Meeting</w:t>
      </w:r>
    </w:p>
    <w:p w:rsidR="0079315D" w:rsidRDefault="0079315D" w:rsidP="0079315D">
      <w:pPr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Adjudicative Hearing Procedures Reg</w:t>
      </w:r>
      <w:r w:rsidRPr="00BD3731">
        <w:rPr>
          <w:rFonts w:cs="Aharoni"/>
          <w:b/>
          <w:bCs/>
          <w:sz w:val="28"/>
          <w:szCs w:val="28"/>
        </w:rPr>
        <w:t>ulation</w:t>
      </w:r>
    </w:p>
    <w:p w:rsidR="0079315D" w:rsidRPr="00D51D95" w:rsidRDefault="0079315D" w:rsidP="0079315D">
      <w:pPr>
        <w:rPr>
          <w:rFonts w:cs="Aharoni"/>
          <w:bCs/>
          <w:sz w:val="24"/>
          <w:szCs w:val="24"/>
        </w:rPr>
      </w:pPr>
      <w:r w:rsidRPr="00D51D95">
        <w:rPr>
          <w:rFonts w:cs="Aharoni"/>
          <w:bCs/>
          <w:sz w:val="24"/>
          <w:szCs w:val="24"/>
        </w:rPr>
        <w:t xml:space="preserve">The Davis County Board of Health adopted </w:t>
      </w:r>
      <w:r>
        <w:rPr>
          <w:rFonts w:cs="Aharoni"/>
          <w:bCs/>
          <w:sz w:val="24"/>
          <w:szCs w:val="24"/>
        </w:rPr>
        <w:t xml:space="preserve">the </w:t>
      </w:r>
      <w:r w:rsidR="008A0C96">
        <w:rPr>
          <w:rFonts w:cs="Aharoni"/>
          <w:bCs/>
          <w:sz w:val="24"/>
          <w:szCs w:val="24"/>
        </w:rPr>
        <w:t xml:space="preserve">original </w:t>
      </w:r>
      <w:r>
        <w:rPr>
          <w:rFonts w:cs="Aharoni"/>
          <w:bCs/>
          <w:sz w:val="24"/>
          <w:szCs w:val="24"/>
        </w:rPr>
        <w:t xml:space="preserve">Adjudicative Hearing Procedures Regulation in May 2012.  The regulation was revised in February 2014 to be inclusive of programs throughout the Department.  </w:t>
      </w:r>
      <w:r w:rsidRPr="00D51D95">
        <w:rPr>
          <w:rFonts w:cs="Aharoni"/>
          <w:bCs/>
          <w:sz w:val="24"/>
          <w:szCs w:val="24"/>
        </w:rPr>
        <w:t xml:space="preserve">The regulation has been an </w:t>
      </w:r>
      <w:r>
        <w:rPr>
          <w:rFonts w:cs="Aharoni"/>
          <w:bCs/>
          <w:sz w:val="24"/>
          <w:szCs w:val="24"/>
        </w:rPr>
        <w:t xml:space="preserve">important tool for resolving disputes between the Department and other parties alleged to have violated laws under our jurisdiction.  </w:t>
      </w:r>
      <w:r w:rsidRPr="00D51D95">
        <w:rPr>
          <w:rFonts w:cs="Aharoni"/>
          <w:bCs/>
          <w:sz w:val="24"/>
          <w:szCs w:val="24"/>
        </w:rPr>
        <w:t xml:space="preserve">The proposed changes to the existing Regulation </w:t>
      </w:r>
      <w:r>
        <w:rPr>
          <w:rFonts w:cs="Aharoni"/>
          <w:bCs/>
          <w:sz w:val="24"/>
          <w:szCs w:val="24"/>
        </w:rPr>
        <w:t>include</w:t>
      </w:r>
      <w:r w:rsidRPr="00D51D95">
        <w:rPr>
          <w:rFonts w:cs="Aharoni"/>
          <w:bCs/>
          <w:sz w:val="24"/>
          <w:szCs w:val="24"/>
        </w:rPr>
        <w:t xml:space="preserve">: </w:t>
      </w:r>
    </w:p>
    <w:p w:rsidR="00A82A59" w:rsidRDefault="00D80C44" w:rsidP="00D01B02">
      <w:pPr>
        <w:pStyle w:val="ListParagraph"/>
        <w:numPr>
          <w:ilvl w:val="0"/>
          <w:numId w:val="1"/>
        </w:numPr>
        <w:spacing w:line="360" w:lineRule="auto"/>
      </w:pPr>
      <w:r>
        <w:t>Standardiz</w:t>
      </w:r>
      <w:r w:rsidR="0079315D">
        <w:t xml:space="preserve">ing </w:t>
      </w:r>
      <w:r>
        <w:t>Department formatting.</w:t>
      </w:r>
    </w:p>
    <w:p w:rsidR="00D80C44" w:rsidRDefault="00C666E9" w:rsidP="00D01B02">
      <w:pPr>
        <w:pStyle w:val="ListParagraph"/>
        <w:numPr>
          <w:ilvl w:val="0"/>
          <w:numId w:val="1"/>
        </w:numPr>
        <w:spacing w:line="360" w:lineRule="auto"/>
      </w:pPr>
      <w:r>
        <w:t>Correct</w:t>
      </w:r>
      <w:r w:rsidR="0079315D">
        <w:t>ing</w:t>
      </w:r>
      <w:r>
        <w:t xml:space="preserve"> grammar and misspellings</w:t>
      </w:r>
      <w:r w:rsidR="00F97777">
        <w:t>.</w:t>
      </w:r>
    </w:p>
    <w:p w:rsidR="0079315D" w:rsidRDefault="00C666E9" w:rsidP="00D01B02">
      <w:pPr>
        <w:pStyle w:val="ListParagraph"/>
        <w:numPr>
          <w:ilvl w:val="0"/>
          <w:numId w:val="1"/>
        </w:numPr>
        <w:spacing w:line="360" w:lineRule="auto"/>
      </w:pPr>
      <w:r>
        <w:t>Remov</w:t>
      </w:r>
      <w:r w:rsidR="0079315D">
        <w:t xml:space="preserve">ing </w:t>
      </w:r>
      <w:r w:rsidR="000359B7">
        <w:t>“</w:t>
      </w:r>
      <w:r>
        <w:t>Immediate Compliance Order (IC)</w:t>
      </w:r>
      <w:r w:rsidR="000359B7">
        <w:t>”</w:t>
      </w:r>
      <w:r>
        <w:t xml:space="preserve"> definition</w:t>
      </w:r>
      <w:r w:rsidR="008A0C96">
        <w:t>.  The Department has moved away from this nomenclature and refers to these items as a type of N</w:t>
      </w:r>
      <w:r w:rsidR="0079315D">
        <w:t>otice of Violation.</w:t>
      </w:r>
    </w:p>
    <w:p w:rsidR="00C666E9" w:rsidRDefault="00090C41" w:rsidP="00D01B02">
      <w:pPr>
        <w:pStyle w:val="ListParagraph"/>
        <w:numPr>
          <w:ilvl w:val="0"/>
          <w:numId w:val="1"/>
        </w:numPr>
        <w:spacing w:line="360" w:lineRule="auto"/>
      </w:pPr>
      <w:r>
        <w:t>Formally recognizing and number</w:t>
      </w:r>
      <w:r w:rsidR="00D01B02">
        <w:t>ing</w:t>
      </w:r>
      <w:r>
        <w:t xml:space="preserve"> “Settlement Agreements” as a type of Adjudicative Proceeding.  Settlement Agreements have been the staple of this regulation</w:t>
      </w:r>
      <w:r w:rsidR="00D01B02">
        <w:t xml:space="preserve"> and the preferred proceedings for fair and quick resolutions to disputes.  </w:t>
      </w:r>
    </w:p>
    <w:sectPr w:rsidR="00C66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E54427"/>
    <w:multiLevelType w:val="hybridMultilevel"/>
    <w:tmpl w:val="C12C3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44"/>
    <w:rsid w:val="000359B7"/>
    <w:rsid w:val="00090C41"/>
    <w:rsid w:val="004462AB"/>
    <w:rsid w:val="0079315D"/>
    <w:rsid w:val="008A0C96"/>
    <w:rsid w:val="009D14DA"/>
    <w:rsid w:val="00A82A59"/>
    <w:rsid w:val="00C666E9"/>
    <w:rsid w:val="00D01B02"/>
    <w:rsid w:val="00D80C44"/>
    <w:rsid w:val="00F9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85943-E5C1-45EE-92E3-F64DDBFE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Spence</dc:creator>
  <cp:keywords/>
  <dc:description/>
  <cp:lastModifiedBy>Elizabeth Carlisle</cp:lastModifiedBy>
  <cp:revision>2</cp:revision>
  <dcterms:created xsi:type="dcterms:W3CDTF">2019-08-07T15:37:00Z</dcterms:created>
  <dcterms:modified xsi:type="dcterms:W3CDTF">2019-08-07T15:37:00Z</dcterms:modified>
</cp:coreProperties>
</file>