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725B1" w:rsidRPr="001725B1" w:rsidRDefault="001725B1" w:rsidP="001725B1">
      <w:pPr>
        <w:spacing w:after="0" w:line="240" w:lineRule="auto"/>
        <w:jc w:val="both"/>
        <w:rPr>
          <w:rFonts w:ascii="&amp;quot" w:eastAsia="Times New Roman" w:hAnsi="&amp;quot" w:cs="Times New Roman"/>
          <w:b/>
          <w:bCs/>
          <w:color w:val="515967"/>
        </w:rPr>
      </w:pPr>
      <w:r w:rsidRPr="001725B1">
        <w:rPr>
          <w:rFonts w:ascii="&amp;quot" w:eastAsia="Times New Roman" w:hAnsi="&amp;quot" w:cs="Times New Roman"/>
          <w:b/>
          <w:bCs/>
          <w:color w:val="515967"/>
        </w:rPr>
        <w:fldChar w:fldCharType="begin"/>
      </w:r>
      <w:r w:rsidRPr="001725B1">
        <w:rPr>
          <w:rFonts w:ascii="&amp;quot" w:eastAsia="Times New Roman" w:hAnsi="&amp;quot" w:cs="Times New Roman"/>
          <w:b/>
          <w:bCs/>
          <w:color w:val="515967"/>
        </w:rPr>
        <w:instrText xml:space="preserve"> HYPERLINK "https://hydepark.municipalcodeonline.com/book?type=ordinances" \l "name=12.150_Senior_Citizen_Housing_Planned_Unit_Development_(PUD)" </w:instrText>
      </w:r>
      <w:r w:rsidRPr="001725B1">
        <w:rPr>
          <w:rFonts w:ascii="&amp;quot" w:eastAsia="Times New Roman" w:hAnsi="&amp;quot" w:cs="Times New Roman"/>
          <w:b/>
          <w:bCs/>
          <w:color w:val="515967"/>
        </w:rPr>
        <w:fldChar w:fldCharType="separate"/>
      </w:r>
      <w:r w:rsidRPr="001725B1">
        <w:rPr>
          <w:rFonts w:ascii="&amp;quot" w:eastAsia="Times New Roman" w:hAnsi="&amp;quot" w:cs="Times New Roman"/>
          <w:b/>
          <w:bCs/>
          <w:color w:val="0000EE"/>
          <w:u w:val="single"/>
          <w:shd w:val="clear" w:color="auto" w:fill="FFD800"/>
        </w:rPr>
        <w:t>12.150</w:t>
      </w:r>
      <w:r w:rsidRPr="001725B1">
        <w:rPr>
          <w:rFonts w:ascii="&amp;quot" w:eastAsia="Times New Roman" w:hAnsi="&amp;quot" w:cs="Times New Roman"/>
          <w:b/>
          <w:bCs/>
          <w:color w:val="0000EE"/>
          <w:u w:val="single"/>
        </w:rPr>
        <w:t xml:space="preserve"> Senior Citizen Housing Planned Unit Development (PUD)</w:t>
      </w:r>
      <w:r w:rsidRPr="001725B1">
        <w:rPr>
          <w:rFonts w:ascii="&amp;quot" w:eastAsia="Times New Roman" w:hAnsi="&amp;quot" w:cs="Times New Roman"/>
          <w:b/>
          <w:bCs/>
          <w:color w:val="515967"/>
        </w:rPr>
        <w:fldChar w:fldCharType="end"/>
      </w:r>
    </w:p>
    <w:p w:rsidR="001725B1" w:rsidRPr="001725B1" w:rsidRDefault="000F7CC8" w:rsidP="001725B1">
      <w:pPr>
        <w:spacing w:after="0" w:line="240" w:lineRule="auto"/>
        <w:jc w:val="both"/>
        <w:rPr>
          <w:rFonts w:ascii="&amp;quot" w:eastAsia="Times New Roman" w:hAnsi="&amp;quot" w:cs="Times New Roman"/>
          <w:color w:val="515967"/>
        </w:rPr>
      </w:pPr>
      <w:hyperlink r:id="rId6" w:anchor="name=12.150.010_Purpose" w:history="1">
        <w:r w:rsidR="001725B1" w:rsidRPr="001725B1">
          <w:rPr>
            <w:rFonts w:ascii="&amp;quot" w:eastAsia="Times New Roman" w:hAnsi="&amp;quot" w:cs="Times New Roman"/>
            <w:color w:val="0000EE"/>
            <w:u w:val="single"/>
          </w:rPr>
          <w:t>12.150.010 Purpose</w:t>
        </w:r>
      </w:hyperlink>
      <w:r w:rsidR="001725B1" w:rsidRPr="001725B1">
        <w:rPr>
          <w:rFonts w:ascii="&amp;quot" w:eastAsia="Times New Roman" w:hAnsi="&amp;quot" w:cs="Times New Roman"/>
          <w:color w:val="515967"/>
        </w:rPr>
        <w:br/>
      </w:r>
      <w:hyperlink r:id="rId7" w:anchor="name=12.150.020_Definitions" w:history="1">
        <w:r w:rsidR="001725B1" w:rsidRPr="001725B1">
          <w:rPr>
            <w:rFonts w:ascii="&amp;quot" w:eastAsia="Times New Roman" w:hAnsi="&amp;quot" w:cs="Times New Roman"/>
            <w:color w:val="0000EE"/>
            <w:u w:val="single"/>
          </w:rPr>
          <w:t>12.150.020 Definitions</w:t>
        </w:r>
      </w:hyperlink>
      <w:r w:rsidR="001725B1" w:rsidRPr="001725B1">
        <w:rPr>
          <w:rFonts w:ascii="&amp;quot" w:eastAsia="Times New Roman" w:hAnsi="&amp;quot" w:cs="Times New Roman"/>
          <w:color w:val="515967"/>
        </w:rPr>
        <w:br/>
      </w:r>
      <w:hyperlink r:id="rId8" w:anchor="name=12.150.030_Conditional_Use" w:history="1">
        <w:r w:rsidR="001725B1" w:rsidRPr="001725B1">
          <w:rPr>
            <w:rFonts w:ascii="&amp;quot" w:eastAsia="Times New Roman" w:hAnsi="&amp;quot" w:cs="Times New Roman"/>
            <w:color w:val="0000EE"/>
            <w:u w:val="single"/>
          </w:rPr>
          <w:t>12.150.030 Conditional Use</w:t>
        </w:r>
      </w:hyperlink>
      <w:r w:rsidR="001725B1" w:rsidRPr="001725B1">
        <w:rPr>
          <w:rFonts w:ascii="&amp;quot" w:eastAsia="Times New Roman" w:hAnsi="&amp;quot" w:cs="Times New Roman"/>
          <w:color w:val="515967"/>
        </w:rPr>
        <w:br/>
      </w:r>
      <w:hyperlink r:id="rId9" w:anchor="name=12.150.040_Location" w:history="1">
        <w:r w:rsidR="001725B1" w:rsidRPr="001725B1">
          <w:rPr>
            <w:rFonts w:ascii="&amp;quot" w:eastAsia="Times New Roman" w:hAnsi="&amp;quot" w:cs="Times New Roman"/>
            <w:color w:val="0000EE"/>
            <w:u w:val="single"/>
          </w:rPr>
          <w:t>12.150.040 Location</w:t>
        </w:r>
      </w:hyperlink>
      <w:r w:rsidR="001725B1" w:rsidRPr="001725B1">
        <w:rPr>
          <w:rFonts w:ascii="&amp;quot" w:eastAsia="Times New Roman" w:hAnsi="&amp;quot" w:cs="Times New Roman"/>
          <w:color w:val="515967"/>
        </w:rPr>
        <w:br/>
      </w:r>
      <w:hyperlink r:id="rId10" w:anchor="name=12.150.050_Unified_Control" w:history="1">
        <w:r w:rsidR="001725B1" w:rsidRPr="001725B1">
          <w:rPr>
            <w:rFonts w:ascii="&amp;quot" w:eastAsia="Times New Roman" w:hAnsi="&amp;quot" w:cs="Times New Roman"/>
            <w:color w:val="0000EE"/>
            <w:u w:val="single"/>
          </w:rPr>
          <w:t>12.150.050 Unified Control</w:t>
        </w:r>
      </w:hyperlink>
      <w:r w:rsidR="001725B1" w:rsidRPr="001725B1">
        <w:rPr>
          <w:rFonts w:ascii="&amp;quot" w:eastAsia="Times New Roman" w:hAnsi="&amp;quot" w:cs="Times New Roman"/>
          <w:color w:val="515967"/>
        </w:rPr>
        <w:br/>
      </w:r>
      <w:hyperlink r:id="rId11" w:anchor="name=12.150.060_Standards_And_Conditions" w:history="1">
        <w:r w:rsidR="001725B1" w:rsidRPr="001725B1">
          <w:rPr>
            <w:rFonts w:ascii="&amp;quot" w:eastAsia="Times New Roman" w:hAnsi="&amp;quot" w:cs="Times New Roman"/>
            <w:color w:val="0000EE"/>
            <w:u w:val="single"/>
          </w:rPr>
          <w:t>12.150.060 Standards And Conditions</w:t>
        </w:r>
      </w:hyperlink>
      <w:r w:rsidR="001725B1" w:rsidRPr="001725B1">
        <w:rPr>
          <w:rFonts w:ascii="&amp;quot" w:eastAsia="Times New Roman" w:hAnsi="&amp;quot" w:cs="Times New Roman"/>
          <w:color w:val="515967"/>
        </w:rPr>
        <w:br/>
      </w:r>
      <w:hyperlink r:id="rId12" w:anchor="name=12.150.070_Time_Limit" w:history="1">
        <w:r w:rsidR="001725B1" w:rsidRPr="001725B1">
          <w:rPr>
            <w:rFonts w:ascii="&amp;quot" w:eastAsia="Times New Roman" w:hAnsi="&amp;quot" w:cs="Times New Roman"/>
            <w:color w:val="0000EE"/>
            <w:u w:val="single"/>
          </w:rPr>
          <w:t>12.150.070 Time Limit</w:t>
        </w:r>
      </w:hyperlink>
      <w:r w:rsidR="001725B1" w:rsidRPr="001725B1">
        <w:rPr>
          <w:rFonts w:ascii="&amp;quot" w:eastAsia="Times New Roman" w:hAnsi="&amp;quot" w:cs="Times New Roman"/>
          <w:color w:val="515967"/>
        </w:rPr>
        <w:br/>
      </w:r>
      <w:hyperlink r:id="rId13" w:anchor="name=12.150.080_Procedures" w:history="1">
        <w:r w:rsidR="001725B1" w:rsidRPr="001725B1">
          <w:rPr>
            <w:rFonts w:ascii="&amp;quot" w:eastAsia="Times New Roman" w:hAnsi="&amp;quot" w:cs="Times New Roman"/>
            <w:color w:val="0000EE"/>
            <w:u w:val="single"/>
          </w:rPr>
          <w:t>12.150.080 Procedures</w:t>
        </w:r>
      </w:hyperlink>
      <w:r w:rsidR="001725B1" w:rsidRPr="001725B1">
        <w:rPr>
          <w:rFonts w:ascii="&amp;quot" w:eastAsia="Times New Roman" w:hAnsi="&amp;quot" w:cs="Times New Roman"/>
          <w:color w:val="515967"/>
        </w:rPr>
        <w:br/>
      </w:r>
    </w:p>
    <w:p w:rsidR="001725B1" w:rsidRPr="001725B1" w:rsidRDefault="000F7CC8" w:rsidP="001725B1">
      <w:pPr>
        <w:spacing w:after="0" w:line="240" w:lineRule="auto"/>
        <w:jc w:val="both"/>
        <w:rPr>
          <w:rFonts w:ascii="&amp;quot" w:eastAsia="Times New Roman" w:hAnsi="&amp;quot" w:cs="Times New Roman"/>
          <w:b/>
          <w:bCs/>
          <w:color w:val="515967"/>
        </w:rPr>
      </w:pPr>
      <w:hyperlink r:id="rId14" w:anchor="name=12.150.010_Purpose" w:history="1">
        <w:r w:rsidR="001725B1" w:rsidRPr="001725B1">
          <w:rPr>
            <w:rFonts w:ascii="&amp;quot" w:eastAsia="Times New Roman" w:hAnsi="&amp;quot" w:cs="Times New Roman"/>
            <w:b/>
            <w:bCs/>
            <w:color w:val="000000"/>
            <w:u w:val="single"/>
            <w:shd w:val="clear" w:color="auto" w:fill="FFD800"/>
          </w:rPr>
          <w:t>12.150</w:t>
        </w:r>
        <w:r w:rsidR="001725B1" w:rsidRPr="001725B1">
          <w:rPr>
            <w:rFonts w:ascii="&amp;quot" w:eastAsia="Times New Roman" w:hAnsi="&amp;quot" w:cs="Times New Roman"/>
            <w:b/>
            <w:bCs/>
            <w:color w:val="000000"/>
            <w:u w:val="single"/>
          </w:rPr>
          <w:t>.010 Purpose</w:t>
        </w:r>
      </w:hyperlink>
    </w:p>
    <w:p w:rsidR="001725B1" w:rsidRPr="001725B1" w:rsidRDefault="001725B1" w:rsidP="001725B1">
      <w:pPr>
        <w:spacing w:after="150"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 xml:space="preserve">In accordance with the General Plan of Hyde Park City the housing needs of senior citizens are a priority. It is the intent of this ordinance to allow development in a unified and coordinated manner for the benefit of senior citizens, including higher density and increased availability. Tracts of land suitable in size, location, and character for the uses and structures proposed can be planned and developed as units. </w:t>
      </w:r>
    </w:p>
    <w:p w:rsidR="001725B1" w:rsidRPr="001725B1" w:rsidRDefault="001725B1" w:rsidP="001725B1">
      <w:pPr>
        <w:spacing w:after="150"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In such circumstances where municipal planning and development may effectively proceed together, it is necessary and appropriate that there be requirements and regulations other than lot-to-lot or subdivision basis so as to provide flexibility and innovation in site planning and land use relationships while also insuring substantial compliance with the intent, objectives and purpose of this ordinance and the City’s General Plan—2000.</w:t>
      </w:r>
    </w:p>
    <w:p w:rsidR="001725B1" w:rsidRPr="001725B1" w:rsidRDefault="001725B1" w:rsidP="001725B1">
      <w:pPr>
        <w:spacing w:line="240" w:lineRule="auto"/>
        <w:jc w:val="both"/>
        <w:rPr>
          <w:rFonts w:ascii="&amp;quot" w:eastAsia="Times New Roman" w:hAnsi="&amp;quot" w:cs="Times New Roman"/>
          <w:color w:val="515967"/>
          <w:sz w:val="20"/>
          <w:szCs w:val="20"/>
        </w:rPr>
      </w:pPr>
      <w:r w:rsidRPr="001725B1">
        <w:rPr>
          <w:rFonts w:ascii="&amp;quot" w:eastAsia="Times New Roman" w:hAnsi="&amp;quot" w:cs="Times New Roman"/>
          <w:color w:val="515967"/>
          <w:sz w:val="20"/>
          <w:szCs w:val="20"/>
        </w:rPr>
        <w:t>HISTORY</w:t>
      </w:r>
      <w:r w:rsidRPr="001725B1">
        <w:rPr>
          <w:rFonts w:ascii="&amp;quot" w:eastAsia="Times New Roman" w:hAnsi="&amp;quot" w:cs="Times New Roman"/>
          <w:color w:val="515967"/>
          <w:sz w:val="20"/>
          <w:szCs w:val="20"/>
        </w:rPr>
        <w:br/>
      </w:r>
      <w:r w:rsidRPr="001725B1">
        <w:rPr>
          <w:rFonts w:ascii="&amp;quot" w:eastAsia="Times New Roman" w:hAnsi="&amp;quot" w:cs="Times New Roman"/>
          <w:i/>
          <w:iCs/>
          <w:color w:val="515967"/>
          <w:sz w:val="20"/>
          <w:szCs w:val="20"/>
        </w:rPr>
        <w:t xml:space="preserve">Adopted by Ord. </w:t>
      </w:r>
      <w:hyperlink r:id="rId15" w:tgtFrame="_blank" w:history="1">
        <w:r w:rsidRPr="001725B1">
          <w:rPr>
            <w:rFonts w:ascii="&amp;quot" w:eastAsia="Times New Roman" w:hAnsi="&amp;quot" w:cs="Times New Roman"/>
            <w:i/>
            <w:iCs/>
            <w:color w:val="0000EE"/>
            <w:sz w:val="20"/>
            <w:szCs w:val="20"/>
            <w:u w:val="single"/>
          </w:rPr>
          <w:t>2015-03</w:t>
        </w:r>
      </w:hyperlink>
      <w:r w:rsidRPr="001725B1">
        <w:rPr>
          <w:rFonts w:ascii="&amp;quot" w:eastAsia="Times New Roman" w:hAnsi="&amp;quot" w:cs="Times New Roman"/>
          <w:i/>
          <w:iCs/>
          <w:color w:val="515967"/>
          <w:sz w:val="20"/>
          <w:szCs w:val="20"/>
        </w:rPr>
        <w:t xml:space="preserve"> on 5/13/2015</w:t>
      </w:r>
    </w:p>
    <w:p w:rsidR="001725B1" w:rsidRPr="001725B1" w:rsidRDefault="000F7CC8" w:rsidP="001725B1">
      <w:pPr>
        <w:spacing w:after="0" w:line="240" w:lineRule="auto"/>
        <w:jc w:val="both"/>
        <w:rPr>
          <w:rFonts w:ascii="&amp;quot" w:eastAsia="Times New Roman" w:hAnsi="&amp;quot" w:cs="Times New Roman"/>
          <w:b/>
          <w:bCs/>
          <w:color w:val="515967"/>
        </w:rPr>
      </w:pPr>
      <w:hyperlink r:id="rId16" w:anchor="name=12.150.020_Definitions" w:history="1">
        <w:r w:rsidR="001725B1" w:rsidRPr="001725B1">
          <w:rPr>
            <w:rFonts w:ascii="&amp;quot" w:eastAsia="Times New Roman" w:hAnsi="&amp;quot" w:cs="Times New Roman"/>
            <w:b/>
            <w:bCs/>
            <w:color w:val="000000"/>
            <w:u w:val="single"/>
            <w:shd w:val="clear" w:color="auto" w:fill="FFD800"/>
          </w:rPr>
          <w:t>12.150</w:t>
        </w:r>
        <w:r w:rsidR="001725B1" w:rsidRPr="001725B1">
          <w:rPr>
            <w:rFonts w:ascii="&amp;quot" w:eastAsia="Times New Roman" w:hAnsi="&amp;quot" w:cs="Times New Roman"/>
            <w:b/>
            <w:bCs/>
            <w:color w:val="000000"/>
            <w:u w:val="single"/>
          </w:rPr>
          <w:t>.020 Definitions</w:t>
        </w:r>
      </w:hyperlink>
    </w:p>
    <w:p w:rsidR="001725B1" w:rsidRPr="001725B1" w:rsidRDefault="001725B1" w:rsidP="001725B1">
      <w:pPr>
        <w:spacing w:after="150"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For the purpose of this ordinance:</w:t>
      </w:r>
    </w:p>
    <w:p w:rsidR="001725B1" w:rsidRPr="001725B1" w:rsidRDefault="001725B1" w:rsidP="001725B1">
      <w:pPr>
        <w:spacing w:after="150"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Planned Unit Development (PUD) means a development based upon integrated design in which one or more of the regulations of the zone in which the development is to be situated is waived, substituted or varied for development of higher densities in accordance with an approved plan and imposed general requirements as specified in this ordinance. A PUD may be:</w:t>
      </w:r>
    </w:p>
    <w:p w:rsidR="001725B1" w:rsidRPr="001725B1" w:rsidRDefault="001725B1" w:rsidP="001725B1">
      <w:pPr>
        <w:numPr>
          <w:ilvl w:val="0"/>
          <w:numId w:val="1"/>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The development of compatible land uses arranged in such a way as to provide desirable senior citizen living environments that may include private open spaces for access, recreation, aesthetic or other uses;</w:t>
      </w:r>
    </w:p>
    <w:p w:rsidR="001725B1" w:rsidRPr="001725B1" w:rsidRDefault="001725B1" w:rsidP="001725B1">
      <w:pPr>
        <w:numPr>
          <w:ilvl w:val="0"/>
          <w:numId w:val="1"/>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The development of desirable amenities associated with senior housing not otherwise possible by typical or lot-to-lot development standards.</w:t>
      </w:r>
    </w:p>
    <w:p w:rsidR="001725B1" w:rsidRPr="001725B1" w:rsidRDefault="001725B1" w:rsidP="001725B1">
      <w:pPr>
        <w:spacing w:after="150"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Common areas means:</w:t>
      </w:r>
    </w:p>
    <w:p w:rsidR="001725B1" w:rsidRPr="001725B1" w:rsidRDefault="001725B1" w:rsidP="001725B1">
      <w:pPr>
        <w:numPr>
          <w:ilvl w:val="0"/>
          <w:numId w:val="2"/>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All land, other than individual units or lots, within the PUD boundaries;</w:t>
      </w:r>
    </w:p>
    <w:p w:rsidR="001725B1" w:rsidRPr="001725B1" w:rsidRDefault="001725B1" w:rsidP="001725B1">
      <w:pPr>
        <w:numPr>
          <w:ilvl w:val="0"/>
          <w:numId w:val="2"/>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Any buildings or structures intended or reserved for the common use of the residents and owners of the PUD;</w:t>
      </w:r>
    </w:p>
    <w:p w:rsidR="001725B1" w:rsidRPr="001725B1" w:rsidRDefault="001725B1" w:rsidP="001725B1">
      <w:pPr>
        <w:numPr>
          <w:ilvl w:val="0"/>
          <w:numId w:val="2"/>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Installations of/or easements for central utility services or streets;</w:t>
      </w:r>
    </w:p>
    <w:p w:rsidR="001725B1" w:rsidRPr="001725B1" w:rsidRDefault="001725B1" w:rsidP="001725B1">
      <w:pPr>
        <w:numPr>
          <w:ilvl w:val="0"/>
          <w:numId w:val="2"/>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Such community and commercial facilities as may be provided for in the declaration of the PUD;</w:t>
      </w:r>
    </w:p>
    <w:p w:rsidR="001725B1" w:rsidRPr="001725B1" w:rsidRDefault="001725B1" w:rsidP="001725B1">
      <w:pPr>
        <w:numPr>
          <w:ilvl w:val="0"/>
          <w:numId w:val="2"/>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All other parts of the PUD necessary for or normally in common use</w:t>
      </w:r>
    </w:p>
    <w:p w:rsidR="001725B1" w:rsidRPr="001725B1" w:rsidRDefault="001725B1" w:rsidP="001725B1">
      <w:pPr>
        <w:spacing w:after="150"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Senior citizen means citizens over the age of fifty-five (55). One resident of a PUD must be a senior citizen.</w:t>
      </w:r>
    </w:p>
    <w:p w:rsidR="001725B1" w:rsidRPr="001725B1" w:rsidRDefault="001725B1" w:rsidP="001725B1">
      <w:pPr>
        <w:spacing w:line="240" w:lineRule="auto"/>
        <w:jc w:val="both"/>
        <w:rPr>
          <w:rFonts w:ascii="&amp;quot" w:eastAsia="Times New Roman" w:hAnsi="&amp;quot" w:cs="Times New Roman"/>
          <w:color w:val="515967"/>
          <w:sz w:val="20"/>
          <w:szCs w:val="20"/>
        </w:rPr>
      </w:pPr>
      <w:r w:rsidRPr="001725B1">
        <w:rPr>
          <w:rFonts w:ascii="&amp;quot" w:eastAsia="Times New Roman" w:hAnsi="&amp;quot" w:cs="Times New Roman"/>
          <w:color w:val="515967"/>
          <w:sz w:val="20"/>
          <w:szCs w:val="20"/>
        </w:rPr>
        <w:lastRenderedPageBreak/>
        <w:t>HISTORY</w:t>
      </w:r>
      <w:r w:rsidRPr="001725B1">
        <w:rPr>
          <w:rFonts w:ascii="&amp;quot" w:eastAsia="Times New Roman" w:hAnsi="&amp;quot" w:cs="Times New Roman"/>
          <w:color w:val="515967"/>
          <w:sz w:val="20"/>
          <w:szCs w:val="20"/>
        </w:rPr>
        <w:br/>
      </w:r>
      <w:r w:rsidRPr="001725B1">
        <w:rPr>
          <w:rFonts w:ascii="&amp;quot" w:eastAsia="Times New Roman" w:hAnsi="&amp;quot" w:cs="Times New Roman"/>
          <w:i/>
          <w:iCs/>
          <w:color w:val="515967"/>
          <w:sz w:val="20"/>
          <w:szCs w:val="20"/>
        </w:rPr>
        <w:t xml:space="preserve">Adopted by Ord. </w:t>
      </w:r>
      <w:hyperlink r:id="rId17" w:tgtFrame="_blank" w:history="1">
        <w:r w:rsidRPr="001725B1">
          <w:rPr>
            <w:rFonts w:ascii="&amp;quot" w:eastAsia="Times New Roman" w:hAnsi="&amp;quot" w:cs="Times New Roman"/>
            <w:i/>
            <w:iCs/>
            <w:color w:val="0000EE"/>
            <w:sz w:val="20"/>
            <w:szCs w:val="20"/>
            <w:u w:val="single"/>
          </w:rPr>
          <w:t>2015-03</w:t>
        </w:r>
      </w:hyperlink>
      <w:r w:rsidRPr="001725B1">
        <w:rPr>
          <w:rFonts w:ascii="&amp;quot" w:eastAsia="Times New Roman" w:hAnsi="&amp;quot" w:cs="Times New Roman"/>
          <w:i/>
          <w:iCs/>
          <w:color w:val="515967"/>
          <w:sz w:val="20"/>
          <w:szCs w:val="20"/>
        </w:rPr>
        <w:t xml:space="preserve"> on 5/13/2015</w:t>
      </w:r>
      <w:r w:rsidRPr="001725B1">
        <w:rPr>
          <w:rFonts w:ascii="&amp;quot" w:eastAsia="Times New Roman" w:hAnsi="&amp;quot" w:cs="Times New Roman"/>
          <w:i/>
          <w:iCs/>
          <w:color w:val="515967"/>
          <w:sz w:val="20"/>
          <w:szCs w:val="20"/>
        </w:rPr>
        <w:br/>
        <w:t xml:space="preserve">Amended by Ord. </w:t>
      </w:r>
      <w:hyperlink r:id="rId18" w:tgtFrame="_blank" w:history="1">
        <w:r w:rsidRPr="001725B1">
          <w:rPr>
            <w:rFonts w:ascii="&amp;quot" w:eastAsia="Times New Roman" w:hAnsi="&amp;quot" w:cs="Times New Roman"/>
            <w:i/>
            <w:iCs/>
            <w:color w:val="0000EE"/>
            <w:sz w:val="20"/>
            <w:szCs w:val="20"/>
            <w:u w:val="single"/>
          </w:rPr>
          <w:t>2017-02</w:t>
        </w:r>
      </w:hyperlink>
      <w:r w:rsidRPr="001725B1">
        <w:rPr>
          <w:rFonts w:ascii="&amp;quot" w:eastAsia="Times New Roman" w:hAnsi="&amp;quot" w:cs="Times New Roman"/>
          <w:i/>
          <w:iCs/>
          <w:color w:val="515967"/>
          <w:sz w:val="20"/>
          <w:szCs w:val="20"/>
        </w:rPr>
        <w:t xml:space="preserve"> on 5/10/2017</w:t>
      </w:r>
    </w:p>
    <w:p w:rsidR="001725B1" w:rsidRPr="001725B1" w:rsidRDefault="000F7CC8" w:rsidP="001725B1">
      <w:pPr>
        <w:spacing w:after="0" w:line="240" w:lineRule="auto"/>
        <w:jc w:val="both"/>
        <w:rPr>
          <w:rFonts w:ascii="&amp;quot" w:eastAsia="Times New Roman" w:hAnsi="&amp;quot" w:cs="Times New Roman"/>
          <w:b/>
          <w:bCs/>
          <w:color w:val="515967"/>
        </w:rPr>
      </w:pPr>
      <w:hyperlink r:id="rId19" w:anchor="name=12.150.030_Conditional_Use" w:history="1">
        <w:r w:rsidR="001725B1" w:rsidRPr="001725B1">
          <w:rPr>
            <w:rFonts w:ascii="&amp;quot" w:eastAsia="Times New Roman" w:hAnsi="&amp;quot" w:cs="Times New Roman"/>
            <w:b/>
            <w:bCs/>
            <w:color w:val="000000"/>
            <w:u w:val="single"/>
            <w:shd w:val="clear" w:color="auto" w:fill="FFD800"/>
          </w:rPr>
          <w:t>12.150</w:t>
        </w:r>
        <w:r w:rsidR="001725B1" w:rsidRPr="001725B1">
          <w:rPr>
            <w:rFonts w:ascii="&amp;quot" w:eastAsia="Times New Roman" w:hAnsi="&amp;quot" w:cs="Times New Roman"/>
            <w:b/>
            <w:bCs/>
            <w:color w:val="000000"/>
            <w:u w:val="single"/>
          </w:rPr>
          <w:t>.030 Conditional Use</w:t>
        </w:r>
      </w:hyperlink>
    </w:p>
    <w:p w:rsidR="001725B1" w:rsidRPr="001725B1" w:rsidRDefault="001725B1" w:rsidP="001725B1">
      <w:pPr>
        <w:numPr>
          <w:ilvl w:val="0"/>
          <w:numId w:val="3"/>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Senior citizen PUD’s shall be allowed as a conditional use in all residential zones.</w:t>
      </w:r>
    </w:p>
    <w:p w:rsidR="001725B1" w:rsidRPr="001725B1" w:rsidRDefault="001725B1" w:rsidP="001725B1">
      <w:pPr>
        <w:numPr>
          <w:ilvl w:val="0"/>
          <w:numId w:val="3"/>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 xml:space="preserve">Accessory uses may be included in PUD’s to provide necessary services to the occupants of the development as determined by the Planning Commission, provided that agreements and restrictive covenants controlling the proposed uses, ownership, characteristics and design are filed by and entered into by the developer and approved by the Planning Commission and City Council to assure that the approved necessary services are maintained. </w:t>
      </w:r>
    </w:p>
    <w:p w:rsidR="001725B1" w:rsidRPr="001725B1" w:rsidRDefault="001725B1" w:rsidP="001725B1">
      <w:pPr>
        <w:spacing w:line="240" w:lineRule="auto"/>
        <w:jc w:val="both"/>
        <w:rPr>
          <w:rFonts w:ascii="&amp;quot" w:eastAsia="Times New Roman" w:hAnsi="&amp;quot" w:cs="Times New Roman"/>
          <w:color w:val="515967"/>
          <w:sz w:val="20"/>
          <w:szCs w:val="20"/>
        </w:rPr>
      </w:pPr>
      <w:r w:rsidRPr="001725B1">
        <w:rPr>
          <w:rFonts w:ascii="&amp;quot" w:eastAsia="Times New Roman" w:hAnsi="&amp;quot" w:cs="Times New Roman"/>
          <w:color w:val="515967"/>
          <w:sz w:val="20"/>
          <w:szCs w:val="20"/>
        </w:rPr>
        <w:t>HISTORY</w:t>
      </w:r>
      <w:r w:rsidRPr="001725B1">
        <w:rPr>
          <w:rFonts w:ascii="&amp;quot" w:eastAsia="Times New Roman" w:hAnsi="&amp;quot" w:cs="Times New Roman"/>
          <w:color w:val="515967"/>
          <w:sz w:val="20"/>
          <w:szCs w:val="20"/>
        </w:rPr>
        <w:br/>
      </w:r>
      <w:r w:rsidRPr="001725B1">
        <w:rPr>
          <w:rFonts w:ascii="&amp;quot" w:eastAsia="Times New Roman" w:hAnsi="&amp;quot" w:cs="Times New Roman"/>
          <w:i/>
          <w:iCs/>
          <w:color w:val="515967"/>
          <w:sz w:val="20"/>
          <w:szCs w:val="20"/>
        </w:rPr>
        <w:t xml:space="preserve">Adopted by Ord. </w:t>
      </w:r>
      <w:hyperlink r:id="rId20" w:tgtFrame="_blank" w:history="1">
        <w:r w:rsidRPr="001725B1">
          <w:rPr>
            <w:rFonts w:ascii="&amp;quot" w:eastAsia="Times New Roman" w:hAnsi="&amp;quot" w:cs="Times New Roman"/>
            <w:i/>
            <w:iCs/>
            <w:color w:val="0000EE"/>
            <w:sz w:val="20"/>
            <w:szCs w:val="20"/>
            <w:u w:val="single"/>
          </w:rPr>
          <w:t>2015-03</w:t>
        </w:r>
      </w:hyperlink>
      <w:r w:rsidRPr="001725B1">
        <w:rPr>
          <w:rFonts w:ascii="&amp;quot" w:eastAsia="Times New Roman" w:hAnsi="&amp;quot" w:cs="Times New Roman"/>
          <w:i/>
          <w:iCs/>
          <w:color w:val="515967"/>
          <w:sz w:val="20"/>
          <w:szCs w:val="20"/>
        </w:rPr>
        <w:t xml:space="preserve"> on 5/13/2015</w:t>
      </w:r>
    </w:p>
    <w:p w:rsidR="001725B1" w:rsidRPr="001725B1" w:rsidRDefault="000F7CC8" w:rsidP="001725B1">
      <w:pPr>
        <w:spacing w:after="0" w:line="240" w:lineRule="auto"/>
        <w:jc w:val="both"/>
        <w:rPr>
          <w:rFonts w:ascii="&amp;quot" w:eastAsia="Times New Roman" w:hAnsi="&amp;quot" w:cs="Times New Roman"/>
          <w:b/>
          <w:bCs/>
          <w:color w:val="515967"/>
        </w:rPr>
      </w:pPr>
      <w:hyperlink r:id="rId21" w:anchor="name=12.150.040_Location" w:history="1">
        <w:r w:rsidR="001725B1" w:rsidRPr="001725B1">
          <w:rPr>
            <w:rFonts w:ascii="&amp;quot" w:eastAsia="Times New Roman" w:hAnsi="&amp;quot" w:cs="Times New Roman"/>
            <w:b/>
            <w:bCs/>
            <w:color w:val="000000"/>
            <w:u w:val="single"/>
            <w:shd w:val="clear" w:color="auto" w:fill="FFD800"/>
          </w:rPr>
          <w:t>12.150</w:t>
        </w:r>
        <w:r w:rsidR="001725B1" w:rsidRPr="001725B1">
          <w:rPr>
            <w:rFonts w:ascii="&amp;quot" w:eastAsia="Times New Roman" w:hAnsi="&amp;quot" w:cs="Times New Roman"/>
            <w:b/>
            <w:bCs/>
            <w:color w:val="000000"/>
            <w:u w:val="single"/>
          </w:rPr>
          <w:t>.040 Location</w:t>
        </w:r>
      </w:hyperlink>
    </w:p>
    <w:p w:rsidR="001725B1" w:rsidRPr="001725B1" w:rsidRDefault="001725B1" w:rsidP="001725B1">
      <w:pPr>
        <w:spacing w:after="150"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In making decisions and/or recommendations as to the approval of a senior citizen PUD, the Land Use Authority, Planning Commission and City Council shall apply the following standards for location:</w:t>
      </w:r>
    </w:p>
    <w:p w:rsidR="001725B1" w:rsidRPr="001725B1" w:rsidRDefault="001725B1" w:rsidP="001725B1">
      <w:pPr>
        <w:numPr>
          <w:ilvl w:val="0"/>
          <w:numId w:val="4"/>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The concept of the PUD is an important factor in the implementation of the City’s General Plan—2000.</w:t>
      </w:r>
    </w:p>
    <w:p w:rsidR="001725B1" w:rsidRPr="001725B1" w:rsidRDefault="001725B1" w:rsidP="001725B1">
      <w:pPr>
        <w:numPr>
          <w:ilvl w:val="0"/>
          <w:numId w:val="4"/>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The PUD should be so located with respect to streets and public ways as to provide easy access to the senior citizen occupants, their visitors and public transportation.</w:t>
      </w:r>
    </w:p>
    <w:p w:rsidR="001725B1" w:rsidRPr="001725B1" w:rsidRDefault="001725B1" w:rsidP="001725B1">
      <w:pPr>
        <w:numPr>
          <w:ilvl w:val="0"/>
          <w:numId w:val="4"/>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The site should be suitable for development without hazards to persons or property, on or off the tract, from flooding, erosion, or other dangers nor annoyances.</w:t>
      </w:r>
    </w:p>
    <w:p w:rsidR="001725B1" w:rsidRPr="001725B1" w:rsidRDefault="001725B1" w:rsidP="001725B1">
      <w:pPr>
        <w:numPr>
          <w:ilvl w:val="0"/>
          <w:numId w:val="4"/>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A slopes report and a preliminary title report shall be required.</w:t>
      </w:r>
    </w:p>
    <w:p w:rsidR="001725B1" w:rsidRPr="001725B1" w:rsidRDefault="001725B1" w:rsidP="001725B1">
      <w:pPr>
        <w:numPr>
          <w:ilvl w:val="0"/>
          <w:numId w:val="4"/>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Planned Unit Developments must be a minimum of 1800 feet apart from each other. (Straight-line distance from each other)</w:t>
      </w:r>
    </w:p>
    <w:p w:rsidR="001725B1" w:rsidRPr="006A6864" w:rsidRDefault="001725B1" w:rsidP="006A6864">
      <w:pPr>
        <w:pStyle w:val="ListParagraph"/>
        <w:numPr>
          <w:ilvl w:val="2"/>
          <w:numId w:val="4"/>
        </w:numPr>
        <w:spacing w:before="100" w:beforeAutospacing="1" w:after="100" w:afterAutospacing="1" w:line="240" w:lineRule="auto"/>
        <w:ind w:left="1170"/>
        <w:jc w:val="both"/>
        <w:rPr>
          <w:rFonts w:ascii="&amp;quot" w:eastAsia="Times New Roman" w:hAnsi="&amp;quot" w:cs="Times New Roman"/>
          <w:color w:val="515967"/>
        </w:rPr>
      </w:pPr>
      <w:r w:rsidRPr="006A6864">
        <w:rPr>
          <w:rFonts w:ascii="&amp;quot" w:eastAsia="Times New Roman" w:hAnsi="&amp;quot" w:cs="Times New Roman"/>
          <w:color w:val="515967"/>
        </w:rPr>
        <w:t>The purpose of these guidelines is to create a PUD that enhances that area of the City.</w:t>
      </w:r>
    </w:p>
    <w:p w:rsidR="001725B1" w:rsidRPr="001725B1" w:rsidRDefault="001725B1" w:rsidP="001725B1">
      <w:pPr>
        <w:spacing w:line="240" w:lineRule="auto"/>
        <w:jc w:val="both"/>
        <w:rPr>
          <w:rFonts w:ascii="&amp;quot" w:eastAsia="Times New Roman" w:hAnsi="&amp;quot" w:cs="Times New Roman"/>
          <w:color w:val="515967"/>
          <w:sz w:val="20"/>
          <w:szCs w:val="20"/>
        </w:rPr>
      </w:pPr>
      <w:r w:rsidRPr="001725B1">
        <w:rPr>
          <w:rFonts w:ascii="&amp;quot" w:eastAsia="Times New Roman" w:hAnsi="&amp;quot" w:cs="Times New Roman"/>
          <w:color w:val="515967"/>
          <w:sz w:val="20"/>
          <w:szCs w:val="20"/>
        </w:rPr>
        <w:t>HISTORY</w:t>
      </w:r>
      <w:r w:rsidRPr="001725B1">
        <w:rPr>
          <w:rFonts w:ascii="&amp;quot" w:eastAsia="Times New Roman" w:hAnsi="&amp;quot" w:cs="Times New Roman"/>
          <w:color w:val="515967"/>
          <w:sz w:val="20"/>
          <w:szCs w:val="20"/>
        </w:rPr>
        <w:br/>
      </w:r>
      <w:r w:rsidRPr="001725B1">
        <w:rPr>
          <w:rFonts w:ascii="&amp;quot" w:eastAsia="Times New Roman" w:hAnsi="&amp;quot" w:cs="Times New Roman"/>
          <w:i/>
          <w:iCs/>
          <w:color w:val="515967"/>
          <w:sz w:val="20"/>
          <w:szCs w:val="20"/>
        </w:rPr>
        <w:t xml:space="preserve">Adopted by Ord. </w:t>
      </w:r>
      <w:hyperlink r:id="rId22" w:tgtFrame="_blank" w:history="1">
        <w:r w:rsidRPr="001725B1">
          <w:rPr>
            <w:rFonts w:ascii="&amp;quot" w:eastAsia="Times New Roman" w:hAnsi="&amp;quot" w:cs="Times New Roman"/>
            <w:i/>
            <w:iCs/>
            <w:color w:val="0000EE"/>
            <w:sz w:val="20"/>
            <w:szCs w:val="20"/>
            <w:u w:val="single"/>
          </w:rPr>
          <w:t>2015-03</w:t>
        </w:r>
      </w:hyperlink>
      <w:r w:rsidRPr="001725B1">
        <w:rPr>
          <w:rFonts w:ascii="&amp;quot" w:eastAsia="Times New Roman" w:hAnsi="&amp;quot" w:cs="Times New Roman"/>
          <w:i/>
          <w:iCs/>
          <w:color w:val="515967"/>
          <w:sz w:val="20"/>
          <w:szCs w:val="20"/>
        </w:rPr>
        <w:t xml:space="preserve"> on 5/13/2015</w:t>
      </w:r>
    </w:p>
    <w:p w:rsidR="001725B1" w:rsidRPr="001725B1" w:rsidRDefault="000F7CC8" w:rsidP="001725B1">
      <w:pPr>
        <w:spacing w:after="0" w:line="240" w:lineRule="auto"/>
        <w:jc w:val="both"/>
        <w:rPr>
          <w:rFonts w:ascii="&amp;quot" w:eastAsia="Times New Roman" w:hAnsi="&amp;quot" w:cs="Times New Roman"/>
          <w:b/>
          <w:bCs/>
          <w:color w:val="515967"/>
        </w:rPr>
      </w:pPr>
      <w:hyperlink r:id="rId23" w:anchor="name=12.150.050_Unified_Control" w:history="1">
        <w:r w:rsidR="001725B1" w:rsidRPr="001725B1">
          <w:rPr>
            <w:rFonts w:ascii="&amp;quot" w:eastAsia="Times New Roman" w:hAnsi="&amp;quot" w:cs="Times New Roman"/>
            <w:b/>
            <w:bCs/>
            <w:color w:val="000000"/>
            <w:u w:val="single"/>
            <w:shd w:val="clear" w:color="auto" w:fill="FFD800"/>
          </w:rPr>
          <w:t>12.150</w:t>
        </w:r>
        <w:r w:rsidR="001725B1" w:rsidRPr="001725B1">
          <w:rPr>
            <w:rFonts w:ascii="&amp;quot" w:eastAsia="Times New Roman" w:hAnsi="&amp;quot" w:cs="Times New Roman"/>
            <w:b/>
            <w:bCs/>
            <w:color w:val="000000"/>
            <w:u w:val="single"/>
          </w:rPr>
          <w:t>.050 Unified Control</w:t>
        </w:r>
      </w:hyperlink>
    </w:p>
    <w:p w:rsidR="001725B1" w:rsidRPr="001725B1" w:rsidRDefault="001725B1" w:rsidP="001725B1">
      <w:pPr>
        <w:spacing w:after="150"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 xml:space="preserve">All land included in the development shall be under the legal control of the applicant, whether the applicant is an individual, partnership, corporation or a group; such control to be in the form of ownership or the option to purchase dependent on project approval. Evidence of unified control of the entire tract comprising the development in written legal form establishing that applicant has the unrestricted right to impose all of the covenants; conditions and restrictions (CC&amp;R’s) upon the land as are contemplated by the provisions of this ordinance shall be delivered to the City prior to approval. Any future changes to the CC&amp;R’s must be approved by the City Council. </w:t>
      </w:r>
    </w:p>
    <w:p w:rsidR="001725B1" w:rsidRPr="001725B1" w:rsidRDefault="001725B1" w:rsidP="001725B1">
      <w:pPr>
        <w:spacing w:after="150"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One resident of each PUD unit shall be fifty-five (55) years of age or older.</w:t>
      </w:r>
    </w:p>
    <w:p w:rsidR="001725B1" w:rsidRPr="001725B1" w:rsidRDefault="001725B1" w:rsidP="001725B1">
      <w:pPr>
        <w:spacing w:line="240" w:lineRule="auto"/>
        <w:jc w:val="both"/>
        <w:rPr>
          <w:rFonts w:ascii="&amp;quot" w:eastAsia="Times New Roman" w:hAnsi="&amp;quot" w:cs="Times New Roman"/>
          <w:color w:val="515967"/>
          <w:sz w:val="20"/>
          <w:szCs w:val="20"/>
        </w:rPr>
      </w:pPr>
      <w:r w:rsidRPr="001725B1">
        <w:rPr>
          <w:rFonts w:ascii="&amp;quot" w:eastAsia="Times New Roman" w:hAnsi="&amp;quot" w:cs="Times New Roman"/>
          <w:color w:val="515967"/>
          <w:sz w:val="20"/>
          <w:szCs w:val="20"/>
        </w:rPr>
        <w:t>HISTORY</w:t>
      </w:r>
      <w:r w:rsidRPr="001725B1">
        <w:rPr>
          <w:rFonts w:ascii="&amp;quot" w:eastAsia="Times New Roman" w:hAnsi="&amp;quot" w:cs="Times New Roman"/>
          <w:color w:val="515967"/>
          <w:sz w:val="20"/>
          <w:szCs w:val="20"/>
        </w:rPr>
        <w:br/>
      </w:r>
      <w:r w:rsidRPr="001725B1">
        <w:rPr>
          <w:rFonts w:ascii="&amp;quot" w:eastAsia="Times New Roman" w:hAnsi="&amp;quot" w:cs="Times New Roman"/>
          <w:i/>
          <w:iCs/>
          <w:color w:val="515967"/>
          <w:sz w:val="20"/>
          <w:szCs w:val="20"/>
        </w:rPr>
        <w:t xml:space="preserve">Adopted by Ord. </w:t>
      </w:r>
      <w:hyperlink r:id="rId24" w:tgtFrame="_blank" w:history="1">
        <w:r w:rsidRPr="001725B1">
          <w:rPr>
            <w:rFonts w:ascii="&amp;quot" w:eastAsia="Times New Roman" w:hAnsi="&amp;quot" w:cs="Times New Roman"/>
            <w:i/>
            <w:iCs/>
            <w:color w:val="0000EE"/>
            <w:sz w:val="20"/>
            <w:szCs w:val="20"/>
            <w:u w:val="single"/>
          </w:rPr>
          <w:t>2015-03</w:t>
        </w:r>
      </w:hyperlink>
      <w:r w:rsidRPr="001725B1">
        <w:rPr>
          <w:rFonts w:ascii="&amp;quot" w:eastAsia="Times New Roman" w:hAnsi="&amp;quot" w:cs="Times New Roman"/>
          <w:i/>
          <w:iCs/>
          <w:color w:val="515967"/>
          <w:sz w:val="20"/>
          <w:szCs w:val="20"/>
        </w:rPr>
        <w:t xml:space="preserve"> on 5/13/2015</w:t>
      </w:r>
    </w:p>
    <w:p w:rsidR="001725B1" w:rsidRPr="001725B1" w:rsidRDefault="000F7CC8" w:rsidP="001725B1">
      <w:pPr>
        <w:spacing w:after="0" w:line="240" w:lineRule="auto"/>
        <w:jc w:val="both"/>
        <w:rPr>
          <w:rFonts w:ascii="&amp;quot" w:eastAsia="Times New Roman" w:hAnsi="&amp;quot" w:cs="Times New Roman"/>
          <w:b/>
          <w:bCs/>
          <w:color w:val="515967"/>
        </w:rPr>
      </w:pPr>
      <w:hyperlink r:id="rId25" w:anchor="name=12.150.060_Standards_And_Conditions" w:history="1">
        <w:r w:rsidR="001725B1" w:rsidRPr="001725B1">
          <w:rPr>
            <w:rFonts w:ascii="&amp;quot" w:eastAsia="Times New Roman" w:hAnsi="&amp;quot" w:cs="Times New Roman"/>
            <w:b/>
            <w:bCs/>
            <w:color w:val="000000"/>
            <w:u w:val="single"/>
            <w:shd w:val="clear" w:color="auto" w:fill="FFD800"/>
          </w:rPr>
          <w:t>12.150</w:t>
        </w:r>
        <w:r w:rsidR="001725B1" w:rsidRPr="001725B1">
          <w:rPr>
            <w:rFonts w:ascii="&amp;quot" w:eastAsia="Times New Roman" w:hAnsi="&amp;quot" w:cs="Times New Roman"/>
            <w:b/>
            <w:bCs/>
            <w:color w:val="000000"/>
            <w:u w:val="single"/>
          </w:rPr>
          <w:t>.060 Standards And Conditions</w:t>
        </w:r>
      </w:hyperlink>
    </w:p>
    <w:p w:rsidR="001725B1" w:rsidRPr="001725B1" w:rsidRDefault="001725B1" w:rsidP="001725B1">
      <w:pPr>
        <w:numPr>
          <w:ilvl w:val="0"/>
          <w:numId w:val="5"/>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Area. A tract of land proposed for development as a senior citizen PUD shall contain acreage in accordance with the following table:</w:t>
      </w:r>
      <w:r w:rsidRPr="001725B1">
        <w:rPr>
          <w:rFonts w:ascii="&amp;quot" w:eastAsia="Times New Roman" w:hAnsi="&amp;quot" w:cs="Times New Roman"/>
          <w:color w:val="515967"/>
        </w:rPr>
        <w:br/>
      </w:r>
    </w:p>
    <w:tbl>
      <w:tblPr>
        <w:tblW w:w="13500" w:type="dxa"/>
        <w:tblInd w:w="720" w:type="dxa"/>
        <w:tblCellMar>
          <w:top w:w="15" w:type="dxa"/>
          <w:left w:w="15" w:type="dxa"/>
          <w:bottom w:w="15" w:type="dxa"/>
          <w:right w:w="15" w:type="dxa"/>
        </w:tblCellMar>
        <w:tblLook w:val="04A0" w:firstRow="1" w:lastRow="0" w:firstColumn="1" w:lastColumn="0" w:noHBand="0" w:noVBand="1"/>
      </w:tblPr>
      <w:tblGrid>
        <w:gridCol w:w="4492"/>
        <w:gridCol w:w="4504"/>
        <w:gridCol w:w="4504"/>
      </w:tblGrid>
      <w:tr w:rsidR="001725B1" w:rsidRPr="001725B1" w:rsidTr="001725B1">
        <w:trPr>
          <w:trHeight w:val="396"/>
        </w:trPr>
        <w:tc>
          <w:tcPr>
            <w:tcW w:w="4344" w:type="dxa"/>
            <w:tcBorders>
              <w:top w:val="single" w:sz="2" w:space="0" w:color="000000"/>
              <w:left w:val="single" w:sz="2" w:space="0" w:color="000000"/>
              <w:bottom w:val="single" w:sz="2" w:space="0" w:color="000000"/>
              <w:right w:val="single" w:sz="2" w:space="0" w:color="000000"/>
            </w:tcBorders>
            <w:shd w:val="clear" w:color="auto" w:fill="auto"/>
            <w:tcMar>
              <w:top w:w="44" w:type="dxa"/>
              <w:left w:w="66" w:type="dxa"/>
              <w:bottom w:w="44" w:type="dxa"/>
              <w:right w:w="66" w:type="dxa"/>
            </w:tcMar>
            <w:vAlign w:val="center"/>
            <w:hideMark/>
          </w:tcPr>
          <w:p w:rsidR="001725B1" w:rsidRPr="001725B1" w:rsidRDefault="001725B1" w:rsidP="001725B1">
            <w:pPr>
              <w:spacing w:after="220" w:line="240" w:lineRule="auto"/>
              <w:rPr>
                <w:rFonts w:ascii="Times New Roman" w:eastAsia="Times New Roman" w:hAnsi="Times New Roman" w:cs="Times New Roman"/>
                <w:sz w:val="24"/>
                <w:szCs w:val="24"/>
              </w:rPr>
            </w:pPr>
            <w:r w:rsidRPr="001725B1">
              <w:rPr>
                <w:rFonts w:ascii="Times New Roman" w:eastAsia="Times New Roman" w:hAnsi="Times New Roman" w:cs="Times New Roman"/>
                <w:b/>
                <w:bCs/>
                <w:sz w:val="24"/>
                <w:szCs w:val="24"/>
              </w:rPr>
              <w:lastRenderedPageBreak/>
              <w:t>Minimum Acreage</w:t>
            </w:r>
          </w:p>
        </w:tc>
        <w:tc>
          <w:tcPr>
            <w:tcW w:w="4357" w:type="dxa"/>
            <w:tcBorders>
              <w:top w:val="single" w:sz="2" w:space="0" w:color="000000"/>
              <w:left w:val="single" w:sz="2" w:space="0" w:color="000000"/>
              <w:bottom w:val="single" w:sz="2" w:space="0" w:color="000000"/>
              <w:right w:val="single" w:sz="2" w:space="0" w:color="000000"/>
            </w:tcBorders>
            <w:shd w:val="clear" w:color="auto" w:fill="auto"/>
            <w:tcMar>
              <w:top w:w="44" w:type="dxa"/>
              <w:left w:w="66" w:type="dxa"/>
              <w:bottom w:w="44" w:type="dxa"/>
              <w:right w:w="66" w:type="dxa"/>
            </w:tcMar>
            <w:vAlign w:val="center"/>
            <w:hideMark/>
          </w:tcPr>
          <w:p w:rsidR="001725B1" w:rsidRPr="001725B1" w:rsidRDefault="001725B1" w:rsidP="001725B1">
            <w:pPr>
              <w:spacing w:after="220" w:line="240" w:lineRule="auto"/>
              <w:rPr>
                <w:rFonts w:ascii="Times New Roman" w:eastAsia="Times New Roman" w:hAnsi="Times New Roman" w:cs="Times New Roman"/>
                <w:sz w:val="24"/>
                <w:szCs w:val="24"/>
              </w:rPr>
            </w:pPr>
            <w:r w:rsidRPr="001725B1">
              <w:rPr>
                <w:rFonts w:ascii="Times New Roman" w:eastAsia="Times New Roman" w:hAnsi="Times New Roman" w:cs="Times New Roman"/>
                <w:b/>
                <w:bCs/>
                <w:sz w:val="24"/>
                <w:szCs w:val="24"/>
              </w:rPr>
              <w:t>Maximum Acreage</w:t>
            </w:r>
          </w:p>
        </w:tc>
        <w:tc>
          <w:tcPr>
            <w:tcW w:w="4357" w:type="dxa"/>
            <w:tcBorders>
              <w:top w:val="single" w:sz="6" w:space="0" w:color="000000"/>
              <w:left w:val="single" w:sz="6" w:space="0" w:color="000000"/>
              <w:bottom w:val="single" w:sz="6" w:space="0" w:color="000000"/>
              <w:right w:val="single" w:sz="6" w:space="0" w:color="000000"/>
            </w:tcBorders>
            <w:shd w:val="clear" w:color="auto" w:fill="auto"/>
            <w:tcMar>
              <w:top w:w="44" w:type="dxa"/>
              <w:left w:w="66" w:type="dxa"/>
              <w:bottom w:w="44" w:type="dxa"/>
              <w:right w:w="66" w:type="dxa"/>
            </w:tcMar>
            <w:vAlign w:val="center"/>
            <w:hideMark/>
          </w:tcPr>
          <w:p w:rsidR="001725B1" w:rsidRPr="001725B1" w:rsidRDefault="001725B1" w:rsidP="001725B1">
            <w:pPr>
              <w:spacing w:after="220" w:line="240" w:lineRule="auto"/>
              <w:rPr>
                <w:rFonts w:ascii="Times New Roman" w:eastAsia="Times New Roman" w:hAnsi="Times New Roman" w:cs="Times New Roman"/>
                <w:sz w:val="24"/>
                <w:szCs w:val="24"/>
              </w:rPr>
            </w:pPr>
          </w:p>
        </w:tc>
      </w:tr>
      <w:tr w:rsidR="001725B1" w:rsidRPr="001725B1" w:rsidTr="001725B1">
        <w:trPr>
          <w:trHeight w:val="396"/>
        </w:trPr>
        <w:tc>
          <w:tcPr>
            <w:tcW w:w="4344" w:type="dxa"/>
            <w:tcBorders>
              <w:top w:val="single" w:sz="2" w:space="0" w:color="000000"/>
              <w:left w:val="single" w:sz="2" w:space="0" w:color="000000"/>
              <w:bottom w:val="single" w:sz="2" w:space="0" w:color="000000"/>
              <w:right w:val="single" w:sz="2" w:space="0" w:color="000000"/>
            </w:tcBorders>
            <w:shd w:val="clear" w:color="auto" w:fill="auto"/>
            <w:tcMar>
              <w:top w:w="44" w:type="dxa"/>
              <w:left w:w="66" w:type="dxa"/>
              <w:bottom w:w="44" w:type="dxa"/>
              <w:right w:w="66" w:type="dxa"/>
            </w:tcMar>
            <w:vAlign w:val="center"/>
            <w:hideMark/>
          </w:tcPr>
          <w:p w:rsidR="001725B1" w:rsidRPr="001725B1" w:rsidRDefault="001725B1" w:rsidP="001725B1">
            <w:pPr>
              <w:spacing w:after="220" w:line="240" w:lineRule="auto"/>
              <w:rPr>
                <w:rFonts w:ascii="Times New Roman" w:eastAsia="Times New Roman" w:hAnsi="Times New Roman" w:cs="Times New Roman"/>
                <w:sz w:val="24"/>
                <w:szCs w:val="24"/>
              </w:rPr>
            </w:pPr>
            <w:r w:rsidRPr="001725B1">
              <w:rPr>
                <w:rFonts w:ascii="Times New Roman" w:eastAsia="Times New Roman" w:hAnsi="Times New Roman" w:cs="Times New Roman"/>
                <w:sz w:val="24"/>
                <w:szCs w:val="24"/>
              </w:rPr>
              <w:t>4 Acres</w:t>
            </w:r>
          </w:p>
        </w:tc>
        <w:tc>
          <w:tcPr>
            <w:tcW w:w="4357" w:type="dxa"/>
            <w:tcBorders>
              <w:top w:val="single" w:sz="2" w:space="0" w:color="000000"/>
              <w:left w:val="single" w:sz="2" w:space="0" w:color="000000"/>
              <w:bottom w:val="single" w:sz="2" w:space="0" w:color="000000"/>
              <w:right w:val="single" w:sz="2" w:space="0" w:color="000000"/>
            </w:tcBorders>
            <w:shd w:val="clear" w:color="auto" w:fill="auto"/>
            <w:tcMar>
              <w:top w:w="44" w:type="dxa"/>
              <w:left w:w="66" w:type="dxa"/>
              <w:bottom w:w="44" w:type="dxa"/>
              <w:right w:w="66" w:type="dxa"/>
            </w:tcMar>
            <w:vAlign w:val="center"/>
            <w:hideMark/>
          </w:tcPr>
          <w:p w:rsidR="001725B1" w:rsidRPr="001725B1" w:rsidRDefault="001725B1" w:rsidP="001725B1">
            <w:pPr>
              <w:spacing w:after="220" w:line="240" w:lineRule="auto"/>
              <w:rPr>
                <w:rFonts w:ascii="Times New Roman" w:eastAsia="Times New Roman" w:hAnsi="Times New Roman" w:cs="Times New Roman"/>
                <w:sz w:val="24"/>
                <w:szCs w:val="24"/>
              </w:rPr>
            </w:pPr>
            <w:r w:rsidRPr="001725B1">
              <w:rPr>
                <w:rFonts w:ascii="Times New Roman" w:eastAsia="Times New Roman" w:hAnsi="Times New Roman" w:cs="Times New Roman"/>
                <w:sz w:val="24"/>
                <w:szCs w:val="24"/>
              </w:rPr>
              <w:t>7 Acres</w:t>
            </w:r>
          </w:p>
        </w:tc>
        <w:tc>
          <w:tcPr>
            <w:tcW w:w="4357" w:type="dxa"/>
            <w:tcBorders>
              <w:top w:val="single" w:sz="2" w:space="0" w:color="000000"/>
              <w:left w:val="single" w:sz="2" w:space="0" w:color="000000"/>
              <w:bottom w:val="single" w:sz="2" w:space="0" w:color="000000"/>
              <w:right w:val="single" w:sz="2" w:space="0" w:color="000000"/>
            </w:tcBorders>
            <w:shd w:val="clear" w:color="auto" w:fill="auto"/>
            <w:tcMar>
              <w:top w:w="44" w:type="dxa"/>
              <w:left w:w="66" w:type="dxa"/>
              <w:bottom w:w="44" w:type="dxa"/>
              <w:right w:w="66" w:type="dxa"/>
            </w:tcMar>
            <w:vAlign w:val="center"/>
            <w:hideMark/>
          </w:tcPr>
          <w:p w:rsidR="001725B1" w:rsidRPr="001725B1" w:rsidRDefault="001725B1" w:rsidP="001725B1">
            <w:pPr>
              <w:spacing w:after="220" w:line="240" w:lineRule="auto"/>
              <w:rPr>
                <w:rFonts w:ascii="Times New Roman" w:eastAsia="Times New Roman" w:hAnsi="Times New Roman" w:cs="Times New Roman"/>
                <w:sz w:val="24"/>
                <w:szCs w:val="24"/>
              </w:rPr>
            </w:pPr>
            <w:r w:rsidRPr="001725B1">
              <w:rPr>
                <w:rFonts w:ascii="Times New Roman" w:eastAsia="Times New Roman" w:hAnsi="Times New Roman" w:cs="Times New Roman"/>
                <w:sz w:val="24"/>
                <w:szCs w:val="24"/>
              </w:rPr>
              <w:t>All Zones</w:t>
            </w:r>
          </w:p>
        </w:tc>
      </w:tr>
    </w:tbl>
    <w:p w:rsidR="001725B1" w:rsidRPr="001725B1" w:rsidRDefault="001725B1" w:rsidP="001725B1">
      <w:pPr>
        <w:numPr>
          <w:ilvl w:val="0"/>
          <w:numId w:val="5"/>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Density. The maximum number of lots and/or units shall not exceed five (5) units per acre.</w:t>
      </w:r>
    </w:p>
    <w:p w:rsidR="001725B1" w:rsidRPr="001725B1" w:rsidRDefault="001725B1" w:rsidP="001725B1">
      <w:pPr>
        <w:numPr>
          <w:ilvl w:val="0"/>
          <w:numId w:val="5"/>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Occupancy. One resident of each living unit must be a senior citizen age fifty-five (55) or older. No more than two (2) persons may occupy each living unit unless all such persons are a family and are related by blood, marriage, or adoption, and then no more than four (4) such persons may occupy each living unit. Of those who are so related, no more than two (2) of those persons may be children of one or both of the other said persons. This restriction is to be understood to limit the occupancy of each home to four (4) persons. A person shall be deemed a resident for purposes of this section upon residing within the development for a period of fourteen (14) days in any thirty (30) day period. Renters are considered to be residents and are subject to these same restrictions.</w:t>
      </w:r>
    </w:p>
    <w:p w:rsidR="001725B1" w:rsidRPr="001725B1" w:rsidRDefault="001725B1" w:rsidP="001725B1">
      <w:pPr>
        <w:numPr>
          <w:ilvl w:val="0"/>
          <w:numId w:val="5"/>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Lot Requirements. Lot area, width, setback, yard coverage and building height and location requirements shall be determined by the standards outlined in item J; (Arrangements) of this section along with approval of the site plan.</w:t>
      </w:r>
      <w:r w:rsidRPr="001725B1">
        <w:rPr>
          <w:rFonts w:ascii="&amp;quot" w:eastAsia="Times New Roman" w:hAnsi="&amp;quot" w:cs="Times New Roman"/>
          <w:color w:val="515967"/>
        </w:rPr>
        <w:br/>
      </w:r>
    </w:p>
    <w:tbl>
      <w:tblPr>
        <w:tblW w:w="13500" w:type="dxa"/>
        <w:tblInd w:w="720" w:type="dxa"/>
        <w:tblCellMar>
          <w:top w:w="15" w:type="dxa"/>
          <w:left w:w="15" w:type="dxa"/>
          <w:bottom w:w="15" w:type="dxa"/>
          <w:right w:w="15" w:type="dxa"/>
        </w:tblCellMar>
        <w:tblLook w:val="04A0" w:firstRow="1" w:lastRow="0" w:firstColumn="1" w:lastColumn="0" w:noHBand="0" w:noVBand="1"/>
      </w:tblPr>
      <w:tblGrid>
        <w:gridCol w:w="4312"/>
        <w:gridCol w:w="9188"/>
      </w:tblGrid>
      <w:tr w:rsidR="001725B1" w:rsidRPr="001725B1" w:rsidTr="001725B1">
        <w:trPr>
          <w:trHeight w:val="396"/>
        </w:trPr>
        <w:tc>
          <w:tcPr>
            <w:tcW w:w="4218" w:type="dxa"/>
            <w:tcBorders>
              <w:top w:val="single" w:sz="2" w:space="0" w:color="000000"/>
              <w:left w:val="single" w:sz="2" w:space="0" w:color="000000"/>
              <w:bottom w:val="single" w:sz="2" w:space="0" w:color="000000"/>
              <w:right w:val="single" w:sz="2" w:space="0" w:color="000000"/>
            </w:tcBorders>
            <w:shd w:val="clear" w:color="auto" w:fill="auto"/>
            <w:tcMar>
              <w:top w:w="44" w:type="dxa"/>
              <w:left w:w="66" w:type="dxa"/>
              <w:bottom w:w="44" w:type="dxa"/>
              <w:right w:w="66" w:type="dxa"/>
            </w:tcMar>
            <w:vAlign w:val="center"/>
            <w:hideMark/>
          </w:tcPr>
          <w:p w:rsidR="001725B1" w:rsidRPr="001725B1" w:rsidRDefault="001725B1" w:rsidP="001725B1">
            <w:pPr>
              <w:spacing w:after="220" w:line="240" w:lineRule="auto"/>
              <w:rPr>
                <w:rFonts w:ascii="Times New Roman" w:eastAsia="Times New Roman" w:hAnsi="Times New Roman" w:cs="Times New Roman"/>
                <w:sz w:val="24"/>
                <w:szCs w:val="24"/>
              </w:rPr>
            </w:pPr>
            <w:r w:rsidRPr="001725B1">
              <w:rPr>
                <w:rFonts w:ascii="Times New Roman" w:eastAsia="Times New Roman" w:hAnsi="Times New Roman" w:cs="Times New Roman"/>
                <w:b/>
                <w:bCs/>
                <w:sz w:val="24"/>
                <w:szCs w:val="24"/>
              </w:rPr>
              <w:t>Setback</w:t>
            </w:r>
          </w:p>
        </w:tc>
        <w:tc>
          <w:tcPr>
            <w:tcW w:w="8988" w:type="dxa"/>
            <w:tcBorders>
              <w:top w:val="single" w:sz="2" w:space="0" w:color="000000"/>
              <w:left w:val="single" w:sz="2" w:space="0" w:color="000000"/>
              <w:bottom w:val="single" w:sz="2" w:space="0" w:color="000000"/>
              <w:right w:val="single" w:sz="2" w:space="0" w:color="000000"/>
            </w:tcBorders>
            <w:shd w:val="clear" w:color="auto" w:fill="auto"/>
            <w:tcMar>
              <w:top w:w="44" w:type="dxa"/>
              <w:left w:w="66" w:type="dxa"/>
              <w:bottom w:w="44" w:type="dxa"/>
              <w:right w:w="66" w:type="dxa"/>
            </w:tcMar>
            <w:vAlign w:val="center"/>
            <w:hideMark/>
          </w:tcPr>
          <w:p w:rsidR="001725B1" w:rsidRPr="001725B1" w:rsidRDefault="001725B1" w:rsidP="001725B1">
            <w:pPr>
              <w:spacing w:after="220" w:line="240" w:lineRule="auto"/>
              <w:rPr>
                <w:rFonts w:ascii="Times New Roman" w:eastAsia="Times New Roman" w:hAnsi="Times New Roman" w:cs="Times New Roman"/>
                <w:sz w:val="24"/>
                <w:szCs w:val="24"/>
              </w:rPr>
            </w:pPr>
            <w:r w:rsidRPr="001725B1">
              <w:rPr>
                <w:rFonts w:ascii="Times New Roman" w:eastAsia="Times New Roman" w:hAnsi="Times New Roman" w:cs="Times New Roman"/>
                <w:b/>
                <w:bCs/>
                <w:sz w:val="24"/>
                <w:szCs w:val="24"/>
              </w:rPr>
              <w:t>Minimum</w:t>
            </w:r>
          </w:p>
        </w:tc>
      </w:tr>
      <w:tr w:rsidR="001725B1" w:rsidRPr="001725B1" w:rsidTr="001725B1">
        <w:trPr>
          <w:trHeight w:val="396"/>
        </w:trPr>
        <w:tc>
          <w:tcPr>
            <w:tcW w:w="4218" w:type="dxa"/>
            <w:tcBorders>
              <w:top w:val="single" w:sz="2" w:space="0" w:color="000000"/>
              <w:left w:val="single" w:sz="2" w:space="0" w:color="000000"/>
              <w:bottom w:val="single" w:sz="2" w:space="0" w:color="000000"/>
              <w:right w:val="single" w:sz="2" w:space="0" w:color="000000"/>
            </w:tcBorders>
            <w:shd w:val="clear" w:color="auto" w:fill="auto"/>
            <w:tcMar>
              <w:top w:w="44" w:type="dxa"/>
              <w:left w:w="66" w:type="dxa"/>
              <w:bottom w:w="44" w:type="dxa"/>
              <w:right w:w="66" w:type="dxa"/>
            </w:tcMar>
            <w:vAlign w:val="center"/>
            <w:hideMark/>
          </w:tcPr>
          <w:p w:rsidR="001725B1" w:rsidRPr="001725B1" w:rsidRDefault="001725B1" w:rsidP="001725B1">
            <w:pPr>
              <w:spacing w:after="220" w:line="240" w:lineRule="auto"/>
              <w:rPr>
                <w:rFonts w:ascii="Times New Roman" w:eastAsia="Times New Roman" w:hAnsi="Times New Roman" w:cs="Times New Roman"/>
                <w:sz w:val="24"/>
                <w:szCs w:val="24"/>
              </w:rPr>
            </w:pPr>
            <w:r w:rsidRPr="001725B1">
              <w:rPr>
                <w:rFonts w:ascii="Times New Roman" w:eastAsia="Times New Roman" w:hAnsi="Times New Roman" w:cs="Times New Roman"/>
                <w:sz w:val="24"/>
                <w:szCs w:val="24"/>
              </w:rPr>
              <w:t>Side yard</w:t>
            </w:r>
          </w:p>
        </w:tc>
        <w:tc>
          <w:tcPr>
            <w:tcW w:w="8988" w:type="dxa"/>
            <w:tcBorders>
              <w:top w:val="single" w:sz="2" w:space="0" w:color="000000"/>
              <w:left w:val="single" w:sz="2" w:space="0" w:color="000000"/>
              <w:bottom w:val="single" w:sz="2" w:space="0" w:color="000000"/>
              <w:right w:val="single" w:sz="2" w:space="0" w:color="000000"/>
            </w:tcBorders>
            <w:shd w:val="clear" w:color="auto" w:fill="auto"/>
            <w:tcMar>
              <w:top w:w="44" w:type="dxa"/>
              <w:left w:w="66" w:type="dxa"/>
              <w:bottom w:w="44" w:type="dxa"/>
              <w:right w:w="66" w:type="dxa"/>
            </w:tcMar>
            <w:vAlign w:val="center"/>
            <w:hideMark/>
          </w:tcPr>
          <w:p w:rsidR="001725B1" w:rsidRPr="001725B1" w:rsidRDefault="001725B1" w:rsidP="001725B1">
            <w:pPr>
              <w:spacing w:after="220" w:line="240" w:lineRule="auto"/>
              <w:rPr>
                <w:rFonts w:ascii="Times New Roman" w:eastAsia="Times New Roman" w:hAnsi="Times New Roman" w:cs="Times New Roman"/>
                <w:sz w:val="24"/>
                <w:szCs w:val="24"/>
              </w:rPr>
            </w:pPr>
            <w:r w:rsidRPr="001725B1">
              <w:rPr>
                <w:rFonts w:ascii="Times New Roman" w:eastAsia="Times New Roman" w:hAnsi="Times New Roman" w:cs="Times New Roman"/>
                <w:sz w:val="24"/>
                <w:szCs w:val="24"/>
              </w:rPr>
              <w:t>8 feet, or</w:t>
            </w:r>
          </w:p>
        </w:tc>
      </w:tr>
      <w:tr w:rsidR="001725B1" w:rsidRPr="001725B1" w:rsidTr="001725B1">
        <w:trPr>
          <w:trHeight w:val="396"/>
        </w:trPr>
        <w:tc>
          <w:tcPr>
            <w:tcW w:w="4218" w:type="dxa"/>
            <w:tcBorders>
              <w:top w:val="single" w:sz="6" w:space="0" w:color="000000"/>
              <w:left w:val="single" w:sz="6" w:space="0" w:color="000000"/>
              <w:bottom w:val="single" w:sz="6" w:space="0" w:color="000000"/>
              <w:right w:val="single" w:sz="6" w:space="0" w:color="000000"/>
            </w:tcBorders>
            <w:shd w:val="clear" w:color="auto" w:fill="auto"/>
            <w:tcMar>
              <w:top w:w="44" w:type="dxa"/>
              <w:left w:w="66" w:type="dxa"/>
              <w:bottom w:w="44" w:type="dxa"/>
              <w:right w:w="66" w:type="dxa"/>
            </w:tcMar>
            <w:vAlign w:val="center"/>
            <w:hideMark/>
          </w:tcPr>
          <w:p w:rsidR="001725B1" w:rsidRPr="001725B1" w:rsidRDefault="001725B1" w:rsidP="001725B1">
            <w:pPr>
              <w:spacing w:after="220" w:line="240" w:lineRule="auto"/>
              <w:rPr>
                <w:rFonts w:ascii="Times New Roman" w:eastAsia="Times New Roman" w:hAnsi="Times New Roman" w:cs="Times New Roman"/>
                <w:sz w:val="24"/>
                <w:szCs w:val="24"/>
              </w:rPr>
            </w:pPr>
          </w:p>
        </w:tc>
        <w:tc>
          <w:tcPr>
            <w:tcW w:w="8988" w:type="dxa"/>
            <w:tcBorders>
              <w:top w:val="single" w:sz="2" w:space="0" w:color="000000"/>
              <w:left w:val="single" w:sz="2" w:space="0" w:color="000000"/>
              <w:bottom w:val="single" w:sz="2" w:space="0" w:color="000000"/>
              <w:right w:val="single" w:sz="2" w:space="0" w:color="000000"/>
            </w:tcBorders>
            <w:shd w:val="clear" w:color="auto" w:fill="auto"/>
            <w:tcMar>
              <w:top w:w="44" w:type="dxa"/>
              <w:left w:w="66" w:type="dxa"/>
              <w:bottom w:w="44" w:type="dxa"/>
              <w:right w:w="66" w:type="dxa"/>
            </w:tcMar>
            <w:vAlign w:val="center"/>
            <w:hideMark/>
          </w:tcPr>
          <w:p w:rsidR="001725B1" w:rsidRPr="001725B1" w:rsidRDefault="001725B1" w:rsidP="001725B1">
            <w:pPr>
              <w:spacing w:after="220" w:line="240" w:lineRule="auto"/>
              <w:rPr>
                <w:rFonts w:ascii="Times New Roman" w:eastAsia="Times New Roman" w:hAnsi="Times New Roman" w:cs="Times New Roman"/>
                <w:sz w:val="24"/>
                <w:szCs w:val="24"/>
              </w:rPr>
            </w:pPr>
            <w:r w:rsidRPr="001725B1">
              <w:rPr>
                <w:rFonts w:ascii="Times New Roman" w:eastAsia="Times New Roman" w:hAnsi="Times New Roman" w:cs="Times New Roman"/>
                <w:sz w:val="24"/>
                <w:szCs w:val="24"/>
              </w:rPr>
              <w:t>zero lot line on one side, with 16 feet between each single family dwelling</w:t>
            </w:r>
          </w:p>
        </w:tc>
      </w:tr>
      <w:tr w:rsidR="001725B1" w:rsidRPr="001725B1" w:rsidTr="001725B1">
        <w:trPr>
          <w:trHeight w:val="396"/>
        </w:trPr>
        <w:tc>
          <w:tcPr>
            <w:tcW w:w="4218" w:type="dxa"/>
            <w:tcBorders>
              <w:top w:val="single" w:sz="2" w:space="0" w:color="000000"/>
              <w:left w:val="single" w:sz="2" w:space="0" w:color="000000"/>
              <w:bottom w:val="single" w:sz="2" w:space="0" w:color="000000"/>
              <w:right w:val="single" w:sz="2" w:space="0" w:color="000000"/>
            </w:tcBorders>
            <w:shd w:val="clear" w:color="auto" w:fill="auto"/>
            <w:tcMar>
              <w:top w:w="44" w:type="dxa"/>
              <w:left w:w="66" w:type="dxa"/>
              <w:bottom w:w="44" w:type="dxa"/>
              <w:right w:w="66" w:type="dxa"/>
            </w:tcMar>
            <w:vAlign w:val="center"/>
            <w:hideMark/>
          </w:tcPr>
          <w:p w:rsidR="001725B1" w:rsidRPr="001725B1" w:rsidRDefault="001725B1" w:rsidP="001725B1">
            <w:pPr>
              <w:spacing w:after="220" w:line="240" w:lineRule="auto"/>
              <w:rPr>
                <w:rFonts w:ascii="Times New Roman" w:eastAsia="Times New Roman" w:hAnsi="Times New Roman" w:cs="Times New Roman"/>
                <w:sz w:val="24"/>
                <w:szCs w:val="24"/>
              </w:rPr>
            </w:pPr>
            <w:r w:rsidRPr="001725B1">
              <w:rPr>
                <w:rFonts w:ascii="Times New Roman" w:eastAsia="Times New Roman" w:hAnsi="Times New Roman" w:cs="Times New Roman"/>
                <w:sz w:val="24"/>
                <w:szCs w:val="24"/>
              </w:rPr>
              <w:t>Rear</w:t>
            </w:r>
          </w:p>
        </w:tc>
        <w:tc>
          <w:tcPr>
            <w:tcW w:w="8988" w:type="dxa"/>
            <w:tcBorders>
              <w:top w:val="single" w:sz="2" w:space="0" w:color="000000"/>
              <w:left w:val="single" w:sz="2" w:space="0" w:color="000000"/>
              <w:bottom w:val="single" w:sz="2" w:space="0" w:color="000000"/>
              <w:right w:val="single" w:sz="2" w:space="0" w:color="000000"/>
            </w:tcBorders>
            <w:shd w:val="clear" w:color="auto" w:fill="auto"/>
            <w:tcMar>
              <w:top w:w="44" w:type="dxa"/>
              <w:left w:w="66" w:type="dxa"/>
              <w:bottom w:w="44" w:type="dxa"/>
              <w:right w:w="66" w:type="dxa"/>
            </w:tcMar>
            <w:vAlign w:val="center"/>
            <w:hideMark/>
          </w:tcPr>
          <w:p w:rsidR="001725B1" w:rsidRPr="001725B1" w:rsidRDefault="001725B1" w:rsidP="001725B1">
            <w:pPr>
              <w:spacing w:after="220" w:line="240" w:lineRule="auto"/>
              <w:rPr>
                <w:rFonts w:ascii="Times New Roman" w:eastAsia="Times New Roman" w:hAnsi="Times New Roman" w:cs="Times New Roman"/>
                <w:sz w:val="24"/>
                <w:szCs w:val="24"/>
              </w:rPr>
            </w:pPr>
            <w:r w:rsidRPr="001725B1">
              <w:rPr>
                <w:rFonts w:ascii="Times New Roman" w:eastAsia="Times New Roman" w:hAnsi="Times New Roman" w:cs="Times New Roman"/>
                <w:sz w:val="24"/>
                <w:szCs w:val="24"/>
              </w:rPr>
              <w:t>20 feet</w:t>
            </w:r>
          </w:p>
        </w:tc>
      </w:tr>
      <w:tr w:rsidR="001725B1" w:rsidRPr="001725B1" w:rsidTr="001725B1">
        <w:trPr>
          <w:trHeight w:val="396"/>
        </w:trPr>
        <w:tc>
          <w:tcPr>
            <w:tcW w:w="4218" w:type="dxa"/>
            <w:tcBorders>
              <w:top w:val="single" w:sz="2" w:space="0" w:color="000000"/>
              <w:left w:val="single" w:sz="2" w:space="0" w:color="000000"/>
              <w:bottom w:val="single" w:sz="2" w:space="0" w:color="000000"/>
              <w:right w:val="single" w:sz="2" w:space="0" w:color="000000"/>
            </w:tcBorders>
            <w:shd w:val="clear" w:color="auto" w:fill="auto"/>
            <w:tcMar>
              <w:top w:w="44" w:type="dxa"/>
              <w:left w:w="66" w:type="dxa"/>
              <w:bottom w:w="44" w:type="dxa"/>
              <w:right w:w="66" w:type="dxa"/>
            </w:tcMar>
            <w:vAlign w:val="center"/>
            <w:hideMark/>
          </w:tcPr>
          <w:p w:rsidR="001725B1" w:rsidRPr="001725B1" w:rsidRDefault="001725B1" w:rsidP="001725B1">
            <w:pPr>
              <w:spacing w:after="220" w:line="240" w:lineRule="auto"/>
              <w:rPr>
                <w:rFonts w:ascii="Times New Roman" w:eastAsia="Times New Roman" w:hAnsi="Times New Roman" w:cs="Times New Roman"/>
                <w:sz w:val="24"/>
                <w:szCs w:val="24"/>
              </w:rPr>
            </w:pPr>
            <w:r w:rsidRPr="001725B1">
              <w:rPr>
                <w:rFonts w:ascii="Times New Roman" w:eastAsia="Times New Roman" w:hAnsi="Times New Roman" w:cs="Times New Roman"/>
                <w:sz w:val="24"/>
                <w:szCs w:val="24"/>
              </w:rPr>
              <w:t>Front* (see note)</w:t>
            </w:r>
          </w:p>
        </w:tc>
        <w:tc>
          <w:tcPr>
            <w:tcW w:w="8988" w:type="dxa"/>
            <w:tcBorders>
              <w:top w:val="single" w:sz="2" w:space="0" w:color="000000"/>
              <w:left w:val="single" w:sz="2" w:space="0" w:color="000000"/>
              <w:bottom w:val="single" w:sz="2" w:space="0" w:color="000000"/>
              <w:right w:val="single" w:sz="2" w:space="0" w:color="000000"/>
            </w:tcBorders>
            <w:shd w:val="clear" w:color="auto" w:fill="auto"/>
            <w:tcMar>
              <w:top w:w="44" w:type="dxa"/>
              <w:left w:w="66" w:type="dxa"/>
              <w:bottom w:w="44" w:type="dxa"/>
              <w:right w:w="66" w:type="dxa"/>
            </w:tcMar>
            <w:vAlign w:val="center"/>
            <w:hideMark/>
          </w:tcPr>
          <w:p w:rsidR="001725B1" w:rsidRPr="001725B1" w:rsidRDefault="001725B1" w:rsidP="001725B1">
            <w:pPr>
              <w:spacing w:after="220" w:line="240" w:lineRule="auto"/>
              <w:rPr>
                <w:rFonts w:ascii="Times New Roman" w:eastAsia="Times New Roman" w:hAnsi="Times New Roman" w:cs="Times New Roman"/>
                <w:sz w:val="24"/>
                <w:szCs w:val="24"/>
              </w:rPr>
            </w:pPr>
            <w:r w:rsidRPr="001725B1">
              <w:rPr>
                <w:rFonts w:ascii="Times New Roman" w:eastAsia="Times New Roman" w:hAnsi="Times New Roman" w:cs="Times New Roman"/>
                <w:sz w:val="24"/>
                <w:szCs w:val="24"/>
              </w:rPr>
              <w:t>18 feet</w:t>
            </w:r>
          </w:p>
        </w:tc>
      </w:tr>
    </w:tbl>
    <w:p w:rsidR="001725B1" w:rsidRDefault="001725B1" w:rsidP="00476A0F">
      <w:pPr>
        <w:spacing w:after="0" w:line="240" w:lineRule="auto"/>
        <w:ind w:left="1440"/>
        <w:jc w:val="both"/>
        <w:rPr>
          <w:rFonts w:ascii="&amp;quot" w:eastAsia="Times New Roman" w:hAnsi="&amp;quot" w:cs="Times New Roman"/>
          <w:color w:val="515967"/>
        </w:rPr>
      </w:pPr>
      <w:r w:rsidRPr="001725B1">
        <w:rPr>
          <w:rFonts w:ascii="&amp;quot" w:eastAsia="Times New Roman" w:hAnsi="&amp;quot" w:cs="Times New Roman"/>
          <w:color w:val="515967"/>
        </w:rPr>
        <w:t>*No driveway approach shall be less than 18 feet from the garage to the</w:t>
      </w:r>
      <w:r w:rsidR="00476A0F">
        <w:rPr>
          <w:rFonts w:ascii="&amp;quot" w:eastAsia="Times New Roman" w:hAnsi="&amp;quot" w:cs="Times New Roman"/>
          <w:color w:val="515967"/>
        </w:rPr>
        <w:t xml:space="preserve"> sidewalk, for parking purposes</w:t>
      </w:r>
    </w:p>
    <w:p w:rsidR="00476A0F" w:rsidRPr="00F76277" w:rsidRDefault="00476A0F" w:rsidP="00476A0F">
      <w:pPr>
        <w:numPr>
          <w:ilvl w:val="0"/>
          <w:numId w:val="5"/>
        </w:numPr>
        <w:spacing w:before="100" w:beforeAutospacing="1" w:after="100" w:afterAutospacing="1" w:line="240" w:lineRule="auto"/>
        <w:jc w:val="both"/>
        <w:rPr>
          <w:rFonts w:ascii="&amp;quot" w:eastAsia="Times New Roman" w:hAnsi="&amp;quot" w:cs="Times New Roman"/>
          <w:color w:val="FF0000"/>
        </w:rPr>
      </w:pPr>
      <w:r w:rsidRPr="001725B1">
        <w:rPr>
          <w:rFonts w:ascii="&amp;quot" w:eastAsia="Times New Roman" w:hAnsi="&amp;quot" w:cs="Times New Roman"/>
          <w:color w:val="515967"/>
        </w:rPr>
        <w:t>Landscaping. All areas not covered by building, by off-site parking or streets shall be landscaped to be compatible with adjacent properties and the community</w:t>
      </w:r>
      <w:r>
        <w:rPr>
          <w:rFonts w:ascii="&amp;quot" w:eastAsia="Times New Roman" w:hAnsi="&amp;quot" w:cs="Times New Roman"/>
          <w:color w:val="E36C0A" w:themeColor="accent6" w:themeShade="BF"/>
        </w:rPr>
        <w:t xml:space="preserve"> </w:t>
      </w:r>
      <w:r w:rsidRPr="00104AA0">
        <w:rPr>
          <w:rFonts w:ascii="&amp;quot" w:eastAsia="Times New Roman" w:hAnsi="&amp;quot" w:cs="Times New Roman"/>
          <w:color w:val="00CC00"/>
        </w:rPr>
        <w:t>(see landscape Ord.12.160)</w:t>
      </w:r>
      <w:r w:rsidRPr="00104AA0">
        <w:rPr>
          <w:rFonts w:ascii="&amp;quot" w:eastAsia="Times New Roman" w:hAnsi="&amp;quot" w:cs="Times New Roman"/>
          <w:strike/>
          <w:color w:val="00CC00"/>
        </w:rPr>
        <w:t xml:space="preserve">, </w:t>
      </w:r>
      <w:r w:rsidRPr="00F76277">
        <w:rPr>
          <w:rFonts w:ascii="&amp;quot" w:eastAsia="Times New Roman" w:hAnsi="&amp;quot" w:cs="Times New Roman"/>
          <w:strike/>
          <w:color w:val="FF0000"/>
        </w:rPr>
        <w:t>with a minimum of three trees and six shrubs per unit or lot.</w:t>
      </w:r>
    </w:p>
    <w:p w:rsidR="00476A0F" w:rsidRPr="00F76277" w:rsidRDefault="00476A0F" w:rsidP="00476A0F">
      <w:pPr>
        <w:numPr>
          <w:ilvl w:val="0"/>
          <w:numId w:val="5"/>
        </w:numPr>
        <w:spacing w:before="100" w:beforeAutospacing="1" w:after="100" w:afterAutospacing="1" w:line="240" w:lineRule="auto"/>
        <w:jc w:val="both"/>
        <w:rPr>
          <w:rFonts w:ascii="&amp;quot" w:eastAsia="Times New Roman" w:hAnsi="&amp;quot" w:cs="Times New Roman"/>
          <w:strike/>
          <w:color w:val="FF0000"/>
        </w:rPr>
      </w:pPr>
      <w:r w:rsidRPr="001725B1">
        <w:rPr>
          <w:rFonts w:ascii="&amp;quot" w:eastAsia="Times New Roman" w:hAnsi="&amp;quot" w:cs="Times New Roman"/>
          <w:color w:val="515967"/>
        </w:rPr>
        <w:t>Access. Every unit, lot or other permitted use in the PUD shall have access to a public street by an approved</w:t>
      </w:r>
      <w:r w:rsidRPr="00104AA0">
        <w:rPr>
          <w:rFonts w:ascii="&amp;quot" w:eastAsia="Times New Roman" w:hAnsi="&amp;quot" w:cs="Times New Roman"/>
          <w:strike/>
          <w:color w:val="FF0000"/>
        </w:rPr>
        <w:t xml:space="preserve"> private</w:t>
      </w:r>
      <w:r w:rsidRPr="00104AA0">
        <w:rPr>
          <w:rFonts w:ascii="&amp;quot" w:eastAsia="Times New Roman" w:hAnsi="&amp;quot" w:cs="Times New Roman"/>
          <w:color w:val="FF0000"/>
        </w:rPr>
        <w:t xml:space="preserve"> </w:t>
      </w:r>
      <w:r w:rsidRPr="001725B1">
        <w:rPr>
          <w:rFonts w:ascii="&amp;quot" w:eastAsia="Times New Roman" w:hAnsi="&amp;quot" w:cs="Times New Roman"/>
          <w:color w:val="515967"/>
        </w:rPr>
        <w:t>road or area dedicated to public use guaranteeing access. It is the intent of the City, where possible, that all roads and streets within a PUD be built to City construction specifications.</w:t>
      </w:r>
      <w:r>
        <w:rPr>
          <w:rFonts w:ascii="&amp;quot" w:eastAsia="Times New Roman" w:hAnsi="&amp;quot" w:cs="Times New Roman"/>
          <w:color w:val="E36C0A" w:themeColor="accent6" w:themeShade="BF"/>
        </w:rPr>
        <w:t xml:space="preserve"> </w:t>
      </w:r>
      <w:r w:rsidRPr="00104AA0">
        <w:rPr>
          <w:rFonts w:ascii="&amp;quot" w:eastAsia="Times New Roman" w:hAnsi="&amp;quot" w:cs="Times New Roman"/>
          <w:color w:val="00CC00"/>
        </w:rPr>
        <w:t xml:space="preserve">Public streets within the PUD can be developed to a 50’ ROW as long at the street only serves PUD residents and does not tie into an existing city street alignments. Private streets can be use in the design for use such as a common alley for back loaded garages. </w:t>
      </w:r>
      <w:r w:rsidRPr="00F76277">
        <w:rPr>
          <w:rFonts w:ascii="&amp;quot" w:eastAsia="Times New Roman" w:hAnsi="&amp;quot" w:cs="Times New Roman"/>
          <w:strike/>
          <w:color w:val="FF0000"/>
        </w:rPr>
        <w:t>All streets within the PUD will be private and maintained (snow removal, etc.) by the PUD.</w:t>
      </w:r>
    </w:p>
    <w:p w:rsidR="00476A0F" w:rsidRPr="001725B1" w:rsidRDefault="00476A0F" w:rsidP="00476A0F">
      <w:pPr>
        <w:numPr>
          <w:ilvl w:val="0"/>
          <w:numId w:val="5"/>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Parking: Two parking spaces in the garage and two off-street parking spaces shall be provided for each unit. Visitor parking shall be provided at a ratio of 1 space per 2 units.</w:t>
      </w:r>
    </w:p>
    <w:p w:rsidR="00476A0F" w:rsidRPr="001725B1" w:rsidRDefault="00476A0F" w:rsidP="00476A0F">
      <w:pPr>
        <w:numPr>
          <w:ilvl w:val="0"/>
          <w:numId w:val="5"/>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 xml:space="preserve">Open Space. Functional and aesthetic usable open spaces for use by the </w:t>
      </w:r>
      <w:r w:rsidRPr="00F76277">
        <w:rPr>
          <w:rFonts w:ascii="&amp;quot" w:eastAsia="Times New Roman" w:hAnsi="&amp;quot" w:cs="Times New Roman"/>
          <w:strike/>
          <w:color w:val="FF0000"/>
        </w:rPr>
        <w:t>senior citizen</w:t>
      </w:r>
      <w:r w:rsidRPr="00F76277">
        <w:rPr>
          <w:rFonts w:ascii="&amp;quot" w:eastAsia="Times New Roman" w:hAnsi="&amp;quot" w:cs="Times New Roman"/>
          <w:color w:val="FF0000"/>
        </w:rPr>
        <w:t xml:space="preserve"> </w:t>
      </w:r>
      <w:r w:rsidRPr="001725B1">
        <w:rPr>
          <w:rFonts w:ascii="&amp;quot" w:eastAsia="Times New Roman" w:hAnsi="&amp;quot" w:cs="Times New Roman"/>
          <w:color w:val="515967"/>
        </w:rPr>
        <w:t xml:space="preserve">occupants are deemed essential to and </w:t>
      </w:r>
      <w:r w:rsidRPr="00F76277">
        <w:rPr>
          <w:rFonts w:ascii="&amp;quot" w:eastAsia="Times New Roman" w:hAnsi="&amp;quot" w:cs="Times New Roman"/>
          <w:strike/>
          <w:color w:val="FF0000"/>
        </w:rPr>
        <w:t>may</w:t>
      </w:r>
      <w:r w:rsidRPr="00104AA0">
        <w:rPr>
          <w:rFonts w:ascii="&amp;quot" w:eastAsia="Times New Roman" w:hAnsi="&amp;quot" w:cs="Times New Roman"/>
          <w:color w:val="00CC00"/>
        </w:rPr>
        <w:t xml:space="preserve"> must</w:t>
      </w:r>
      <w:r w:rsidRPr="001725B1">
        <w:rPr>
          <w:rFonts w:ascii="&amp;quot" w:eastAsia="Times New Roman" w:hAnsi="&amp;quot" w:cs="Times New Roman"/>
          <w:color w:val="515967"/>
        </w:rPr>
        <w:t xml:space="preserve"> be included within a PUD in accordance with the following:</w:t>
      </w:r>
    </w:p>
    <w:p w:rsidR="00476A0F" w:rsidRPr="00F375B7" w:rsidRDefault="00476A0F" w:rsidP="00F375B7">
      <w:pPr>
        <w:pStyle w:val="ListParagraph"/>
        <w:numPr>
          <w:ilvl w:val="1"/>
          <w:numId w:val="5"/>
        </w:numPr>
        <w:spacing w:before="100" w:beforeAutospacing="1" w:after="100" w:afterAutospacing="1" w:line="240" w:lineRule="auto"/>
        <w:jc w:val="both"/>
        <w:rPr>
          <w:rFonts w:ascii="&amp;quot" w:eastAsia="Times New Roman" w:hAnsi="&amp;quot" w:cs="Times New Roman"/>
          <w:color w:val="515967"/>
        </w:rPr>
      </w:pPr>
      <w:r w:rsidRPr="00F375B7">
        <w:rPr>
          <w:rFonts w:ascii="&amp;quot" w:eastAsia="Times New Roman" w:hAnsi="&amp;quot" w:cs="Times New Roman"/>
          <w:color w:val="515967"/>
        </w:rPr>
        <w:lastRenderedPageBreak/>
        <w:t>There shall be a minimum of usable open space of thirty (30) percent of the total gross area of the PUD, including all walkways, sidewalks and greenways.</w:t>
      </w:r>
    </w:p>
    <w:p w:rsidR="00476A0F" w:rsidRPr="00104AA0" w:rsidRDefault="00476A0F" w:rsidP="00476A0F">
      <w:pPr>
        <w:numPr>
          <w:ilvl w:val="1"/>
          <w:numId w:val="5"/>
        </w:numPr>
        <w:spacing w:before="100" w:beforeAutospacing="1" w:after="100" w:afterAutospacing="1" w:line="240" w:lineRule="auto"/>
        <w:jc w:val="both"/>
        <w:rPr>
          <w:rFonts w:ascii="&amp;quot" w:eastAsia="Times New Roman" w:hAnsi="&amp;quot" w:cs="Times New Roman"/>
          <w:color w:val="00CC00"/>
        </w:rPr>
      </w:pPr>
      <w:r w:rsidRPr="00104AA0">
        <w:rPr>
          <w:rFonts w:ascii="&amp;quot" w:eastAsia="Times New Roman" w:hAnsi="&amp;quot" w:cs="Times New Roman"/>
          <w:color w:val="00CC00"/>
        </w:rPr>
        <w:t>Open space needs to be located as to facilitate snow removal during the winter months.</w:t>
      </w:r>
    </w:p>
    <w:p w:rsidR="00476A0F" w:rsidRPr="001725B1" w:rsidRDefault="00476A0F" w:rsidP="00476A0F">
      <w:pPr>
        <w:numPr>
          <w:ilvl w:val="1"/>
          <w:numId w:val="5"/>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The preservation, maintenance and ownership of usable open space within the PUD must be held by an entity or association that includes all owners within the PUD in a manner evidenced by appropriate legal documentation approved by the City Council and City attorney.</w:t>
      </w:r>
    </w:p>
    <w:p w:rsidR="00476A0F" w:rsidRPr="001725B1" w:rsidRDefault="00476A0F" w:rsidP="00476A0F">
      <w:pPr>
        <w:numPr>
          <w:ilvl w:val="0"/>
          <w:numId w:val="5"/>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 xml:space="preserve">Utilities. All utilities within the PUD shall be installed underground with all appurtenances above ground installed in a manner that will allow adequate screening with natural landscaping. All utilities will be installed in accordance with City standards and will be placed in dedicated Public Utility Easements for City and/or utility supplier maintenance. Water lines to the meter and sewer main lines within the PUD will be maintained by the City once the developer’s warranty period has been completed and inspection demonstrates they have been installed in accordance with City standards. </w:t>
      </w:r>
      <w:r w:rsidRPr="00343A3B">
        <w:rPr>
          <w:rFonts w:ascii="&amp;quot" w:eastAsia="Times New Roman" w:hAnsi="&amp;quot" w:cs="Times New Roman"/>
          <w:strike/>
          <w:color w:val="FF0000"/>
        </w:rPr>
        <w:t>All service lines (water and sewer) will be maintained privately</w:t>
      </w:r>
      <w:r w:rsidRPr="001725B1">
        <w:rPr>
          <w:rFonts w:ascii="&amp;quot" w:eastAsia="Times New Roman" w:hAnsi="&amp;quot" w:cs="Times New Roman"/>
          <w:color w:val="515967"/>
        </w:rPr>
        <w:t>. Each unit will pay water and sewer impact fees and have an individual water meter.</w:t>
      </w:r>
    </w:p>
    <w:p w:rsidR="00476A0F" w:rsidRPr="001725B1" w:rsidRDefault="00476A0F" w:rsidP="00476A0F">
      <w:pPr>
        <w:spacing w:after="0" w:line="240" w:lineRule="auto"/>
        <w:ind w:left="1440"/>
        <w:jc w:val="both"/>
        <w:rPr>
          <w:rFonts w:ascii="&amp;quot" w:eastAsia="Times New Roman" w:hAnsi="&amp;quot" w:cs="Times New Roman"/>
          <w:color w:val="515967"/>
        </w:rPr>
      </w:pPr>
    </w:p>
    <w:p w:rsidR="001725B1" w:rsidRPr="001725B1" w:rsidRDefault="001725B1" w:rsidP="001725B1">
      <w:pPr>
        <w:numPr>
          <w:ilvl w:val="0"/>
          <w:numId w:val="5"/>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Arrangements. Arrangement of structures, lots or units, and usable open space within the PUD shall be such as to assure that adjacent properties and their uses will not be adversely affected. Lots with frontage on a City street must meet the same requirements as adjacent properties and in accordance with a Standard subdivision. Rear and side lots adjacent to existing properties will maintain the setback requirements of those zones.</w:t>
      </w:r>
    </w:p>
    <w:p w:rsidR="001725B1" w:rsidRPr="001725B1" w:rsidRDefault="001725B1" w:rsidP="001725B1">
      <w:pPr>
        <w:numPr>
          <w:ilvl w:val="0"/>
          <w:numId w:val="5"/>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 Changes.</w:t>
      </w:r>
    </w:p>
    <w:p w:rsidR="001725B1" w:rsidRPr="001725B1" w:rsidRDefault="001725B1" w:rsidP="001725B1">
      <w:pPr>
        <w:numPr>
          <w:ilvl w:val="1"/>
          <w:numId w:val="5"/>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Minor changes in the location, sitting or character of buildings and structures may be authorized by the Land Use Authority and / or the City engineer if required by engineering or other circumstances not foreseen at the time of final plan approval.</w:t>
      </w:r>
    </w:p>
    <w:p w:rsidR="001725B1" w:rsidRPr="001725B1" w:rsidRDefault="001725B1" w:rsidP="001725B1">
      <w:pPr>
        <w:numPr>
          <w:ilvl w:val="1"/>
          <w:numId w:val="5"/>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All other changes in the project, including changes in the site plan and in the development schedule must be approved by the Land Use Authority, Planning Commission and City Council.</w:t>
      </w:r>
    </w:p>
    <w:p w:rsidR="001725B1" w:rsidRPr="001725B1" w:rsidRDefault="001725B1" w:rsidP="001725B1">
      <w:pPr>
        <w:numPr>
          <w:ilvl w:val="1"/>
          <w:numId w:val="5"/>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Deviations from the approved plans or failure to comply with any requirements imposed by the Land Use Authority, Planning Commission or City Council in approving the PUD shall constitute a violation of the ordinance.</w:t>
      </w:r>
    </w:p>
    <w:p w:rsidR="001725B1" w:rsidRPr="001725B1" w:rsidRDefault="001725B1" w:rsidP="001725B1">
      <w:pPr>
        <w:numPr>
          <w:ilvl w:val="0"/>
          <w:numId w:val="5"/>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Postal Delivery. All postal mail will be delivered to a common site as agreed with the United States Postal Service.</w:t>
      </w:r>
    </w:p>
    <w:p w:rsidR="001725B1" w:rsidRPr="001725B1" w:rsidRDefault="001725B1" w:rsidP="001725B1">
      <w:pPr>
        <w:numPr>
          <w:ilvl w:val="0"/>
          <w:numId w:val="5"/>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Signage. A sign specifying that the PUD is a Senior Citizen PUD and that at least one resident of each unit must be 55 years of age or older must be posted in a visible area in all approved Planned Unit Developments and as approved by the Land Use Authority. This sign will be the responsibility of the developer or the Homeowners Association.</w:t>
      </w:r>
    </w:p>
    <w:p w:rsidR="001725B1" w:rsidRPr="001725B1" w:rsidRDefault="001725B1" w:rsidP="001725B1">
      <w:pPr>
        <w:spacing w:line="240" w:lineRule="auto"/>
        <w:jc w:val="both"/>
        <w:rPr>
          <w:rFonts w:ascii="&amp;quot" w:eastAsia="Times New Roman" w:hAnsi="&amp;quot" w:cs="Times New Roman"/>
          <w:color w:val="515967"/>
          <w:sz w:val="20"/>
          <w:szCs w:val="20"/>
        </w:rPr>
      </w:pPr>
      <w:r w:rsidRPr="001725B1">
        <w:rPr>
          <w:rFonts w:ascii="&amp;quot" w:eastAsia="Times New Roman" w:hAnsi="&amp;quot" w:cs="Times New Roman"/>
          <w:color w:val="515967"/>
          <w:sz w:val="20"/>
          <w:szCs w:val="20"/>
        </w:rPr>
        <w:t>HISTORY</w:t>
      </w:r>
      <w:r w:rsidRPr="001725B1">
        <w:rPr>
          <w:rFonts w:ascii="&amp;quot" w:eastAsia="Times New Roman" w:hAnsi="&amp;quot" w:cs="Times New Roman"/>
          <w:color w:val="515967"/>
          <w:sz w:val="20"/>
          <w:szCs w:val="20"/>
        </w:rPr>
        <w:br/>
      </w:r>
      <w:r w:rsidRPr="001725B1">
        <w:rPr>
          <w:rFonts w:ascii="&amp;quot" w:eastAsia="Times New Roman" w:hAnsi="&amp;quot" w:cs="Times New Roman"/>
          <w:i/>
          <w:iCs/>
          <w:color w:val="515967"/>
          <w:sz w:val="20"/>
          <w:szCs w:val="20"/>
        </w:rPr>
        <w:t xml:space="preserve">Adopted by Ord. </w:t>
      </w:r>
      <w:hyperlink r:id="rId26" w:tgtFrame="_blank" w:history="1">
        <w:r w:rsidRPr="001725B1">
          <w:rPr>
            <w:rFonts w:ascii="&amp;quot" w:eastAsia="Times New Roman" w:hAnsi="&amp;quot" w:cs="Times New Roman"/>
            <w:i/>
            <w:iCs/>
            <w:color w:val="0000EE"/>
            <w:sz w:val="20"/>
            <w:szCs w:val="20"/>
            <w:u w:val="single"/>
          </w:rPr>
          <w:t>2015-03</w:t>
        </w:r>
      </w:hyperlink>
      <w:r w:rsidRPr="001725B1">
        <w:rPr>
          <w:rFonts w:ascii="&amp;quot" w:eastAsia="Times New Roman" w:hAnsi="&amp;quot" w:cs="Times New Roman"/>
          <w:i/>
          <w:iCs/>
          <w:color w:val="515967"/>
          <w:sz w:val="20"/>
          <w:szCs w:val="20"/>
        </w:rPr>
        <w:t xml:space="preserve"> on 5/13/2015</w:t>
      </w:r>
      <w:r w:rsidRPr="001725B1">
        <w:rPr>
          <w:rFonts w:ascii="&amp;quot" w:eastAsia="Times New Roman" w:hAnsi="&amp;quot" w:cs="Times New Roman"/>
          <w:i/>
          <w:iCs/>
          <w:color w:val="515967"/>
          <w:sz w:val="20"/>
          <w:szCs w:val="20"/>
        </w:rPr>
        <w:br/>
        <w:t xml:space="preserve">Amended by Ord. </w:t>
      </w:r>
      <w:hyperlink r:id="rId27" w:tgtFrame="_blank" w:history="1">
        <w:r w:rsidRPr="001725B1">
          <w:rPr>
            <w:rFonts w:ascii="&amp;quot" w:eastAsia="Times New Roman" w:hAnsi="&amp;quot" w:cs="Times New Roman"/>
            <w:i/>
            <w:iCs/>
            <w:color w:val="0000EE"/>
            <w:sz w:val="20"/>
            <w:szCs w:val="20"/>
            <w:u w:val="single"/>
          </w:rPr>
          <w:t>2016-06</w:t>
        </w:r>
      </w:hyperlink>
      <w:r w:rsidRPr="001725B1">
        <w:rPr>
          <w:rFonts w:ascii="&amp;quot" w:eastAsia="Times New Roman" w:hAnsi="&amp;quot" w:cs="Times New Roman"/>
          <w:i/>
          <w:iCs/>
          <w:color w:val="515967"/>
          <w:sz w:val="20"/>
          <w:szCs w:val="20"/>
        </w:rPr>
        <w:t xml:space="preserve"> on 8/24/2016</w:t>
      </w:r>
      <w:r w:rsidRPr="001725B1">
        <w:rPr>
          <w:rFonts w:ascii="&amp;quot" w:eastAsia="Times New Roman" w:hAnsi="&amp;quot" w:cs="Times New Roman"/>
          <w:i/>
          <w:iCs/>
          <w:color w:val="515967"/>
          <w:sz w:val="20"/>
          <w:szCs w:val="20"/>
        </w:rPr>
        <w:br/>
        <w:t xml:space="preserve">Amended by Ord. </w:t>
      </w:r>
      <w:hyperlink r:id="rId28" w:tgtFrame="_blank" w:history="1">
        <w:r w:rsidRPr="001725B1">
          <w:rPr>
            <w:rFonts w:ascii="&amp;quot" w:eastAsia="Times New Roman" w:hAnsi="&amp;quot" w:cs="Times New Roman"/>
            <w:i/>
            <w:iCs/>
            <w:color w:val="0000EE"/>
            <w:sz w:val="20"/>
            <w:szCs w:val="20"/>
            <w:u w:val="single"/>
          </w:rPr>
          <w:t>2017-02</w:t>
        </w:r>
      </w:hyperlink>
      <w:r w:rsidRPr="001725B1">
        <w:rPr>
          <w:rFonts w:ascii="&amp;quot" w:eastAsia="Times New Roman" w:hAnsi="&amp;quot" w:cs="Times New Roman"/>
          <w:i/>
          <w:iCs/>
          <w:color w:val="515967"/>
          <w:sz w:val="20"/>
          <w:szCs w:val="20"/>
        </w:rPr>
        <w:t xml:space="preserve"> on 5/10/2017</w:t>
      </w:r>
      <w:r w:rsidRPr="001725B1">
        <w:rPr>
          <w:rFonts w:ascii="&amp;quot" w:eastAsia="Times New Roman" w:hAnsi="&amp;quot" w:cs="Times New Roman"/>
          <w:i/>
          <w:iCs/>
          <w:color w:val="515967"/>
          <w:sz w:val="20"/>
          <w:szCs w:val="20"/>
        </w:rPr>
        <w:br/>
        <w:t xml:space="preserve">Amended by Ord. </w:t>
      </w:r>
      <w:hyperlink r:id="rId29" w:tgtFrame="_blank" w:history="1">
        <w:r w:rsidRPr="001725B1">
          <w:rPr>
            <w:rFonts w:ascii="&amp;quot" w:eastAsia="Times New Roman" w:hAnsi="&amp;quot" w:cs="Times New Roman"/>
            <w:i/>
            <w:iCs/>
            <w:color w:val="0000EE"/>
            <w:sz w:val="20"/>
            <w:szCs w:val="20"/>
            <w:u w:val="single"/>
          </w:rPr>
          <w:t>2018-07</w:t>
        </w:r>
      </w:hyperlink>
      <w:r w:rsidRPr="001725B1">
        <w:rPr>
          <w:rFonts w:ascii="&amp;quot" w:eastAsia="Times New Roman" w:hAnsi="&amp;quot" w:cs="Times New Roman"/>
          <w:i/>
          <w:iCs/>
          <w:color w:val="515967"/>
          <w:sz w:val="20"/>
          <w:szCs w:val="20"/>
        </w:rPr>
        <w:t xml:space="preserve"> on 5/23/2018</w:t>
      </w:r>
    </w:p>
    <w:p w:rsidR="001725B1" w:rsidRPr="001725B1" w:rsidRDefault="000F7CC8" w:rsidP="001725B1">
      <w:pPr>
        <w:spacing w:after="0" w:line="240" w:lineRule="auto"/>
        <w:jc w:val="both"/>
        <w:rPr>
          <w:rFonts w:ascii="&amp;quot" w:eastAsia="Times New Roman" w:hAnsi="&amp;quot" w:cs="Times New Roman"/>
          <w:b/>
          <w:bCs/>
          <w:color w:val="515967"/>
        </w:rPr>
      </w:pPr>
      <w:hyperlink r:id="rId30" w:anchor="name=12.150.070_Time_Limit" w:history="1">
        <w:r w:rsidR="001725B1" w:rsidRPr="001725B1">
          <w:rPr>
            <w:rFonts w:ascii="&amp;quot" w:eastAsia="Times New Roman" w:hAnsi="&amp;quot" w:cs="Times New Roman"/>
            <w:b/>
            <w:bCs/>
            <w:color w:val="000000"/>
            <w:u w:val="single"/>
            <w:shd w:val="clear" w:color="auto" w:fill="FFD800"/>
          </w:rPr>
          <w:t>12.150</w:t>
        </w:r>
        <w:r w:rsidR="001725B1" w:rsidRPr="001725B1">
          <w:rPr>
            <w:rFonts w:ascii="&amp;quot" w:eastAsia="Times New Roman" w:hAnsi="&amp;quot" w:cs="Times New Roman"/>
            <w:b/>
            <w:bCs/>
            <w:color w:val="000000"/>
            <w:u w:val="single"/>
          </w:rPr>
          <w:t>.070 Time Limit</w:t>
        </w:r>
      </w:hyperlink>
    </w:p>
    <w:p w:rsidR="001725B1" w:rsidRPr="001725B1" w:rsidRDefault="001725B1" w:rsidP="001725B1">
      <w:pPr>
        <w:numPr>
          <w:ilvl w:val="0"/>
          <w:numId w:val="6"/>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The applicant must begin and substantially complete the development of the PUD within two (2) years from the date of approval of written authorization to proceed.</w:t>
      </w:r>
    </w:p>
    <w:p w:rsidR="001725B1" w:rsidRPr="001725B1" w:rsidRDefault="001725B1" w:rsidP="001725B1">
      <w:pPr>
        <w:numPr>
          <w:ilvl w:val="0"/>
          <w:numId w:val="6"/>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lastRenderedPageBreak/>
        <w:t xml:space="preserve">If the applicant does not substantially complete the development within the time limits imposed, the Land Use Authority and Planning Commission shall review the PUD and may extend the time limit, revoke the approval or amend the plan. The developer may appeal the decision of the Land Use Authority and Planning Commission to the City Council which shall review the record and decision of the Land Use Authority and Planning Commission and affirm, set aside, remand or modify the Land Use Authority and Planning Commission’s decision. Such appeal must be filed in writing within ten (10) calendar days of the date of the decision. </w:t>
      </w:r>
    </w:p>
    <w:p w:rsidR="001725B1" w:rsidRPr="001725B1" w:rsidRDefault="001725B1" w:rsidP="001725B1">
      <w:pPr>
        <w:numPr>
          <w:ilvl w:val="0"/>
          <w:numId w:val="6"/>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 xml:space="preserve">Phasing a PUD project may be permitted and will be considered on a case-by-case basis. </w:t>
      </w:r>
    </w:p>
    <w:p w:rsidR="001725B1" w:rsidRPr="001725B1" w:rsidRDefault="001725B1" w:rsidP="001725B1">
      <w:pPr>
        <w:spacing w:line="240" w:lineRule="auto"/>
        <w:jc w:val="both"/>
        <w:rPr>
          <w:rFonts w:ascii="&amp;quot" w:eastAsia="Times New Roman" w:hAnsi="&amp;quot" w:cs="Times New Roman"/>
          <w:color w:val="515967"/>
          <w:sz w:val="20"/>
          <w:szCs w:val="20"/>
        </w:rPr>
      </w:pPr>
      <w:r w:rsidRPr="001725B1">
        <w:rPr>
          <w:rFonts w:ascii="&amp;quot" w:eastAsia="Times New Roman" w:hAnsi="&amp;quot" w:cs="Times New Roman"/>
          <w:color w:val="515967"/>
          <w:sz w:val="20"/>
          <w:szCs w:val="20"/>
        </w:rPr>
        <w:t>HISTORY</w:t>
      </w:r>
      <w:r w:rsidRPr="001725B1">
        <w:rPr>
          <w:rFonts w:ascii="&amp;quot" w:eastAsia="Times New Roman" w:hAnsi="&amp;quot" w:cs="Times New Roman"/>
          <w:color w:val="515967"/>
          <w:sz w:val="20"/>
          <w:szCs w:val="20"/>
        </w:rPr>
        <w:br/>
      </w:r>
      <w:r w:rsidRPr="001725B1">
        <w:rPr>
          <w:rFonts w:ascii="&amp;quot" w:eastAsia="Times New Roman" w:hAnsi="&amp;quot" w:cs="Times New Roman"/>
          <w:i/>
          <w:iCs/>
          <w:color w:val="515967"/>
          <w:sz w:val="20"/>
          <w:szCs w:val="20"/>
        </w:rPr>
        <w:t xml:space="preserve">Adopted by Ord. </w:t>
      </w:r>
      <w:hyperlink r:id="rId31" w:tgtFrame="_blank" w:history="1">
        <w:r w:rsidRPr="001725B1">
          <w:rPr>
            <w:rFonts w:ascii="&amp;quot" w:eastAsia="Times New Roman" w:hAnsi="&amp;quot" w:cs="Times New Roman"/>
            <w:i/>
            <w:iCs/>
            <w:color w:val="0000EE"/>
            <w:sz w:val="20"/>
            <w:szCs w:val="20"/>
            <w:u w:val="single"/>
          </w:rPr>
          <w:t>2015-03</w:t>
        </w:r>
      </w:hyperlink>
      <w:r w:rsidRPr="001725B1">
        <w:rPr>
          <w:rFonts w:ascii="&amp;quot" w:eastAsia="Times New Roman" w:hAnsi="&amp;quot" w:cs="Times New Roman"/>
          <w:i/>
          <w:iCs/>
          <w:color w:val="515967"/>
          <w:sz w:val="20"/>
          <w:szCs w:val="20"/>
        </w:rPr>
        <w:t xml:space="preserve"> on 5/13/2015</w:t>
      </w:r>
    </w:p>
    <w:p w:rsidR="001725B1" w:rsidRPr="001725B1" w:rsidRDefault="000F7CC8" w:rsidP="001725B1">
      <w:pPr>
        <w:spacing w:after="0" w:line="240" w:lineRule="auto"/>
        <w:jc w:val="both"/>
        <w:rPr>
          <w:rFonts w:ascii="&amp;quot" w:eastAsia="Times New Roman" w:hAnsi="&amp;quot" w:cs="Times New Roman"/>
          <w:b/>
          <w:bCs/>
          <w:color w:val="515967"/>
        </w:rPr>
      </w:pPr>
      <w:hyperlink r:id="rId32" w:anchor="name=12.150.080_Procedures" w:history="1">
        <w:r w:rsidR="001725B1" w:rsidRPr="001725B1">
          <w:rPr>
            <w:rFonts w:ascii="&amp;quot" w:eastAsia="Times New Roman" w:hAnsi="&amp;quot" w:cs="Times New Roman"/>
            <w:b/>
            <w:bCs/>
            <w:color w:val="000000"/>
            <w:u w:val="single"/>
            <w:shd w:val="clear" w:color="auto" w:fill="FFD800"/>
          </w:rPr>
          <w:t>12.150</w:t>
        </w:r>
        <w:r w:rsidR="001725B1" w:rsidRPr="001725B1">
          <w:rPr>
            <w:rFonts w:ascii="&amp;quot" w:eastAsia="Times New Roman" w:hAnsi="&amp;quot" w:cs="Times New Roman"/>
            <w:b/>
            <w:bCs/>
            <w:color w:val="000000"/>
            <w:u w:val="single"/>
          </w:rPr>
          <w:t>.080 Procedures</w:t>
        </w:r>
      </w:hyperlink>
    </w:p>
    <w:p w:rsidR="001725B1" w:rsidRPr="001725B1" w:rsidRDefault="001725B1" w:rsidP="001725B1">
      <w:pPr>
        <w:numPr>
          <w:ilvl w:val="0"/>
          <w:numId w:val="7"/>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Application.</w:t>
      </w:r>
    </w:p>
    <w:p w:rsidR="001725B1" w:rsidRPr="006A6864" w:rsidRDefault="001725B1" w:rsidP="006A6864">
      <w:pPr>
        <w:pStyle w:val="ListParagraph"/>
        <w:numPr>
          <w:ilvl w:val="1"/>
          <w:numId w:val="7"/>
        </w:numPr>
        <w:spacing w:before="100" w:beforeAutospacing="1" w:after="100" w:afterAutospacing="1" w:line="240" w:lineRule="auto"/>
        <w:jc w:val="both"/>
        <w:rPr>
          <w:rFonts w:ascii="&amp;quot" w:eastAsia="Times New Roman" w:hAnsi="&amp;quot" w:cs="Times New Roman"/>
          <w:color w:val="515967"/>
        </w:rPr>
      </w:pPr>
      <w:r w:rsidRPr="006A6864">
        <w:rPr>
          <w:rFonts w:ascii="&amp;quot" w:eastAsia="Times New Roman" w:hAnsi="&amp;quot" w:cs="Times New Roman"/>
          <w:color w:val="515967"/>
        </w:rPr>
        <w:t>An application for a senior citizen PUD shall be on a form approved by the City and be duly executed and filed jointly by all owners and persons or entities having legal control of the property.</w:t>
      </w:r>
    </w:p>
    <w:p w:rsidR="001725B1" w:rsidRPr="001725B1" w:rsidRDefault="001725B1" w:rsidP="001725B1">
      <w:pPr>
        <w:numPr>
          <w:ilvl w:val="1"/>
          <w:numId w:val="7"/>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 xml:space="preserve">The required filing fee shall be paid at the time of filing and before the application may be considered. </w:t>
      </w:r>
    </w:p>
    <w:p w:rsidR="001725B1" w:rsidRPr="001725B1" w:rsidRDefault="001725B1" w:rsidP="001725B1">
      <w:pPr>
        <w:numPr>
          <w:ilvl w:val="1"/>
          <w:numId w:val="7"/>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The application shall be accompanied by a preliminary development plat for the PUD which shall contain or show the following:</w:t>
      </w:r>
    </w:p>
    <w:p w:rsidR="001725B1" w:rsidRPr="001725B1" w:rsidRDefault="001725B1" w:rsidP="001725B1">
      <w:pPr>
        <w:numPr>
          <w:ilvl w:val="2"/>
          <w:numId w:val="7"/>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The name or title of the PUD</w:t>
      </w:r>
    </w:p>
    <w:p w:rsidR="001725B1" w:rsidRPr="001725B1" w:rsidRDefault="001725B1" w:rsidP="001725B1">
      <w:pPr>
        <w:numPr>
          <w:ilvl w:val="2"/>
          <w:numId w:val="7"/>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The names of any professional planner or engineer for the project and the names of all owners or persons or entities having legal control of the property</w:t>
      </w:r>
    </w:p>
    <w:p w:rsidR="001725B1" w:rsidRPr="001725B1" w:rsidRDefault="001725B1" w:rsidP="001725B1">
      <w:pPr>
        <w:numPr>
          <w:ilvl w:val="2"/>
          <w:numId w:val="7"/>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Scale, date, North arrow and general location map of the project</w:t>
      </w:r>
    </w:p>
    <w:p w:rsidR="001725B1" w:rsidRPr="001725B1" w:rsidRDefault="001725B1" w:rsidP="001725B1">
      <w:pPr>
        <w:numPr>
          <w:ilvl w:val="2"/>
          <w:numId w:val="7"/>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The boundaries and legal description of the property to be included in the PUD and the legal descriptions, owners and tax numbers of all individual tracts comprising the proposed development</w:t>
      </w:r>
    </w:p>
    <w:p w:rsidR="001725B1" w:rsidRPr="001725B1" w:rsidRDefault="001725B1" w:rsidP="001725B1">
      <w:pPr>
        <w:numPr>
          <w:ilvl w:val="2"/>
          <w:numId w:val="7"/>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Unified and organized arrangement and location of buildings, structures and building groups</w:t>
      </w:r>
    </w:p>
    <w:p w:rsidR="001725B1" w:rsidRPr="001725B1" w:rsidRDefault="001725B1" w:rsidP="001725B1">
      <w:pPr>
        <w:numPr>
          <w:ilvl w:val="2"/>
          <w:numId w:val="7"/>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Provisions for off-street parking</w:t>
      </w:r>
    </w:p>
    <w:p w:rsidR="001725B1" w:rsidRPr="001725B1" w:rsidRDefault="001725B1" w:rsidP="001725B1">
      <w:pPr>
        <w:numPr>
          <w:ilvl w:val="2"/>
          <w:numId w:val="7"/>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Internal and external traffic circulation</w:t>
      </w:r>
    </w:p>
    <w:p w:rsidR="001725B1" w:rsidRPr="001725B1" w:rsidRDefault="001725B1" w:rsidP="001725B1">
      <w:pPr>
        <w:numPr>
          <w:ilvl w:val="2"/>
          <w:numId w:val="7"/>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Proposed density</w:t>
      </w:r>
    </w:p>
    <w:p w:rsidR="001725B1" w:rsidRPr="001725B1" w:rsidRDefault="001725B1" w:rsidP="001725B1">
      <w:pPr>
        <w:numPr>
          <w:ilvl w:val="2"/>
          <w:numId w:val="7"/>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Proposed street cross-sections</w:t>
      </w:r>
    </w:p>
    <w:p w:rsidR="001725B1" w:rsidRPr="001725B1" w:rsidRDefault="001725B1" w:rsidP="001725B1">
      <w:pPr>
        <w:numPr>
          <w:ilvl w:val="2"/>
          <w:numId w:val="7"/>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Proposed usable open space, parks and common areas</w:t>
      </w:r>
    </w:p>
    <w:p w:rsidR="001725B1" w:rsidRPr="001725B1" w:rsidRDefault="001725B1" w:rsidP="001725B1">
      <w:pPr>
        <w:numPr>
          <w:ilvl w:val="2"/>
          <w:numId w:val="7"/>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Location and type of proposed landscaping</w:t>
      </w:r>
    </w:p>
    <w:p w:rsidR="001725B1" w:rsidRPr="001725B1" w:rsidRDefault="001725B1" w:rsidP="001725B1">
      <w:pPr>
        <w:numPr>
          <w:ilvl w:val="2"/>
          <w:numId w:val="7"/>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Relation to future land use and development of the surrounding area as proposed by the General Plan</w:t>
      </w:r>
    </w:p>
    <w:p w:rsidR="001725B1" w:rsidRPr="001725B1" w:rsidRDefault="001725B1" w:rsidP="001725B1">
      <w:pPr>
        <w:numPr>
          <w:ilvl w:val="2"/>
          <w:numId w:val="7"/>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Proposed location of utilities</w:t>
      </w:r>
    </w:p>
    <w:p w:rsidR="001725B1" w:rsidRPr="001725B1" w:rsidRDefault="001725B1" w:rsidP="001725B1">
      <w:pPr>
        <w:numPr>
          <w:ilvl w:val="2"/>
          <w:numId w:val="7"/>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Easements</w:t>
      </w:r>
    </w:p>
    <w:p w:rsidR="001725B1" w:rsidRPr="001725B1" w:rsidRDefault="001725B1" w:rsidP="001725B1">
      <w:pPr>
        <w:numPr>
          <w:ilvl w:val="2"/>
          <w:numId w:val="7"/>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Schematic drawings demonstrating the design and character of the PUD</w:t>
      </w:r>
    </w:p>
    <w:p w:rsidR="001725B1" w:rsidRPr="001725B1" w:rsidRDefault="001725B1" w:rsidP="001725B1">
      <w:pPr>
        <w:numPr>
          <w:ilvl w:val="2"/>
          <w:numId w:val="7"/>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Drainage and water retention</w:t>
      </w:r>
    </w:p>
    <w:p w:rsidR="001725B1" w:rsidRPr="001725B1" w:rsidRDefault="001725B1" w:rsidP="001725B1">
      <w:pPr>
        <w:numPr>
          <w:ilvl w:val="1"/>
          <w:numId w:val="7"/>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The applicant shall also:</w:t>
      </w:r>
    </w:p>
    <w:p w:rsidR="001725B1" w:rsidRPr="001725B1" w:rsidRDefault="001725B1" w:rsidP="001725B1">
      <w:pPr>
        <w:numPr>
          <w:ilvl w:val="2"/>
          <w:numId w:val="7"/>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Provide the owner’s name and address and a brief description of each adjacent property;</w:t>
      </w:r>
    </w:p>
    <w:p w:rsidR="001725B1" w:rsidRPr="001725B1" w:rsidRDefault="001725B1" w:rsidP="001725B1">
      <w:pPr>
        <w:numPr>
          <w:ilvl w:val="2"/>
          <w:numId w:val="7"/>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 xml:space="preserve">State the waivers or modifications requested from the zone in which the PUD will be located as well as waivers or modifications requested from other City ordinances and the reasons thereof. </w:t>
      </w:r>
    </w:p>
    <w:p w:rsidR="001725B1" w:rsidRPr="001725B1" w:rsidRDefault="001725B1" w:rsidP="001725B1">
      <w:pPr>
        <w:numPr>
          <w:ilvl w:val="1"/>
          <w:numId w:val="7"/>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 xml:space="preserve">The City shall confirm that the application has been duly executed and filed, the filing fee paid and that the preliminary plat complies with the above requirements and upon such </w:t>
      </w:r>
      <w:r w:rsidRPr="001725B1">
        <w:rPr>
          <w:rFonts w:ascii="&amp;quot" w:eastAsia="Times New Roman" w:hAnsi="&amp;quot" w:cs="Times New Roman"/>
          <w:color w:val="515967"/>
        </w:rPr>
        <w:lastRenderedPageBreak/>
        <w:t xml:space="preserve">confirmation shall place the application upon the agenda of the next regularly scheduled meeting of the Land Use Authority and Planning Commission which shall be no sooner than ten (10) days from the date of filing. </w:t>
      </w:r>
    </w:p>
    <w:p w:rsidR="001725B1" w:rsidRPr="001725B1" w:rsidRDefault="001725B1" w:rsidP="001725B1">
      <w:pPr>
        <w:numPr>
          <w:ilvl w:val="0"/>
          <w:numId w:val="7"/>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Land Use Authority and Planning Commission Review and Approval</w:t>
      </w:r>
    </w:p>
    <w:p w:rsidR="001725B1" w:rsidRPr="001725B1" w:rsidRDefault="001725B1" w:rsidP="001725B1">
      <w:pPr>
        <w:numPr>
          <w:ilvl w:val="1"/>
          <w:numId w:val="7"/>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Upon its initial review of an application for approval of a senior citizen PUD, the Land Use Authority and Planning Commission shall:</w:t>
      </w:r>
    </w:p>
    <w:p w:rsidR="001725B1" w:rsidRPr="001725B1" w:rsidRDefault="001725B1" w:rsidP="001725B1">
      <w:pPr>
        <w:numPr>
          <w:ilvl w:val="2"/>
          <w:numId w:val="7"/>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Meet with the applicant and assist the applicant in bringing the application and attachments as nearly as possible into conformity with the requirements of this ordinance and/or define specifically those variations from such requirements which appear justified in the circumstances; and</w:t>
      </w:r>
    </w:p>
    <w:p w:rsidR="001725B1" w:rsidRPr="001725B1" w:rsidRDefault="001725B1" w:rsidP="001725B1">
      <w:pPr>
        <w:numPr>
          <w:ilvl w:val="2"/>
          <w:numId w:val="7"/>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Establish a public hearing date in not more than thirty (30) days and direct the Planning Commission Secretary to give at least fifteen (15) days notice by mail to all adjacent landowners and by publication at least once in the newspaper of the time, date, place and purpose of the public hearing.</w:t>
      </w:r>
    </w:p>
    <w:p w:rsidR="001725B1" w:rsidRPr="001725B1" w:rsidRDefault="001725B1" w:rsidP="001725B1">
      <w:pPr>
        <w:numPr>
          <w:ilvl w:val="1"/>
          <w:numId w:val="7"/>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 xml:space="preserve">The Land Use Authority and Planning Commission may require additional materials, information or maps, which it deems necessary to make the necessary findings and recommendations. The applicant shall submit all evidence deemed necessary by the Land Use Authority and Planning Commission of his ability to undertake the project. </w:t>
      </w:r>
    </w:p>
    <w:p w:rsidR="001725B1" w:rsidRPr="001725B1" w:rsidRDefault="001725B1" w:rsidP="001725B1">
      <w:pPr>
        <w:numPr>
          <w:ilvl w:val="1"/>
          <w:numId w:val="7"/>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After the public hearing the Planning Commission may recommend to the City Council that the application for approval of the PUD be granted as requested or be granted subject to specific conditions and stipulations. The Planning Commission may also disapprove the application in which case the application will not be considered by the City Council, except on appeal.</w:t>
      </w:r>
    </w:p>
    <w:p w:rsidR="001725B1" w:rsidRPr="001725B1" w:rsidRDefault="001725B1" w:rsidP="001725B1">
      <w:pPr>
        <w:numPr>
          <w:ilvl w:val="1"/>
          <w:numId w:val="7"/>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The Planning Commission, in order to approve the application, with or without conditions or stipulations, must find specifically that:</w:t>
      </w:r>
    </w:p>
    <w:p w:rsidR="001725B1" w:rsidRPr="001725B1" w:rsidRDefault="001725B1" w:rsidP="001725B1">
      <w:pPr>
        <w:numPr>
          <w:ilvl w:val="2"/>
          <w:numId w:val="7"/>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The application and the proposed PUD comply with all the requirements imposed by this ordinance;</w:t>
      </w:r>
    </w:p>
    <w:p w:rsidR="001725B1" w:rsidRPr="001725B1" w:rsidRDefault="001725B1" w:rsidP="001725B1">
      <w:pPr>
        <w:numPr>
          <w:ilvl w:val="2"/>
          <w:numId w:val="7"/>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The proposed PUD is consistent with the objectives and purpose of this ordinance;</w:t>
      </w:r>
    </w:p>
    <w:p w:rsidR="001725B1" w:rsidRPr="001725B1" w:rsidRDefault="001725B1" w:rsidP="001725B1">
      <w:pPr>
        <w:numPr>
          <w:ilvl w:val="2"/>
          <w:numId w:val="7"/>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The proposed PUD is designed to be compatible with the adjacent and surrounding properties and with the physical features of the proposed site;</w:t>
      </w:r>
    </w:p>
    <w:p w:rsidR="001725B1" w:rsidRPr="001725B1" w:rsidRDefault="001725B1" w:rsidP="001725B1">
      <w:pPr>
        <w:numPr>
          <w:ilvl w:val="2"/>
          <w:numId w:val="7"/>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The desired waiver or modification of City ordinances applied to the particular case would be justified and appropriate;</w:t>
      </w:r>
    </w:p>
    <w:p w:rsidR="001725B1" w:rsidRPr="001725B1" w:rsidRDefault="001725B1" w:rsidP="001725B1">
      <w:pPr>
        <w:numPr>
          <w:ilvl w:val="2"/>
          <w:numId w:val="7"/>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Adequate usable open space over conventional development is provided for the occupants of the PUD.</w:t>
      </w:r>
    </w:p>
    <w:p w:rsidR="001725B1" w:rsidRPr="001725B1" w:rsidRDefault="001725B1" w:rsidP="001725B1">
      <w:pPr>
        <w:numPr>
          <w:ilvl w:val="2"/>
          <w:numId w:val="7"/>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Desirable natural and cultural features indigenous to the site are to be preserved.</w:t>
      </w:r>
    </w:p>
    <w:p w:rsidR="001725B1" w:rsidRPr="001725B1" w:rsidRDefault="001725B1" w:rsidP="001725B1">
      <w:pPr>
        <w:numPr>
          <w:ilvl w:val="1"/>
          <w:numId w:val="7"/>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 xml:space="preserve">The amount of security for performance for all improvements within the PUD will be required as outlined in HPMC 13.40, Subdivision Ordinance. </w:t>
      </w:r>
    </w:p>
    <w:p w:rsidR="001725B1" w:rsidRPr="001725B1" w:rsidRDefault="001725B1" w:rsidP="001725B1">
      <w:pPr>
        <w:numPr>
          <w:ilvl w:val="0"/>
          <w:numId w:val="7"/>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 xml:space="preserve">City Council Approval </w:t>
      </w:r>
    </w:p>
    <w:p w:rsidR="001725B1" w:rsidRPr="001725B1" w:rsidRDefault="001725B1" w:rsidP="001725B1">
      <w:pPr>
        <w:numPr>
          <w:ilvl w:val="1"/>
          <w:numId w:val="7"/>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Within fifteen (15) days of the date of approval of the Planning Commission, the application shall be submitted to the City Council for its consideration. The City Council, without the necessity of a public hearing, shall review the application and the Planning Commission’s findings and recommendation and may give preliminary approval to the PUD application, with or without modification, including stipulations and/or conditions for approval and development, remand the matter to the Planning Commission with instructions for further action or consideration, or disapprove the application.</w:t>
      </w:r>
    </w:p>
    <w:p w:rsidR="001725B1" w:rsidRPr="001725B1" w:rsidRDefault="001725B1" w:rsidP="001725B1">
      <w:pPr>
        <w:numPr>
          <w:ilvl w:val="1"/>
          <w:numId w:val="7"/>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The City Council shall state its reasons for disapproval or remand.</w:t>
      </w:r>
    </w:p>
    <w:p w:rsidR="001725B1" w:rsidRPr="001725B1" w:rsidRDefault="001725B1" w:rsidP="001725B1">
      <w:pPr>
        <w:numPr>
          <w:ilvl w:val="1"/>
          <w:numId w:val="7"/>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The City Council may require additional information or materials from the applicant or Planning Commission before taking action.</w:t>
      </w:r>
    </w:p>
    <w:p w:rsidR="001725B1" w:rsidRPr="001725B1" w:rsidRDefault="001725B1" w:rsidP="001725B1">
      <w:pPr>
        <w:numPr>
          <w:ilvl w:val="1"/>
          <w:numId w:val="7"/>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lastRenderedPageBreak/>
        <w:t xml:space="preserve">The City Council may at its discretion require a public hearing to give the public additional information based on changes required by the Council to the PUD or based on the desire to hear additional comments from its citizens. </w:t>
      </w:r>
    </w:p>
    <w:p w:rsidR="001725B1" w:rsidRPr="001725B1" w:rsidRDefault="001725B1" w:rsidP="001725B1">
      <w:pPr>
        <w:numPr>
          <w:ilvl w:val="1"/>
          <w:numId w:val="7"/>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 xml:space="preserve">The City Council shall, in the event of approval, set the amount of security for performance to be required of the applicant. </w:t>
      </w:r>
    </w:p>
    <w:p w:rsidR="001725B1" w:rsidRPr="001725B1" w:rsidRDefault="001725B1" w:rsidP="001725B1">
      <w:pPr>
        <w:numPr>
          <w:ilvl w:val="0"/>
          <w:numId w:val="7"/>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Construction Drawings</w:t>
      </w:r>
    </w:p>
    <w:p w:rsidR="001725B1" w:rsidRPr="001725B1" w:rsidRDefault="001725B1" w:rsidP="001725B1">
      <w:pPr>
        <w:numPr>
          <w:ilvl w:val="1"/>
          <w:numId w:val="7"/>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Construction Drawings as required by the Subdivision Ordinance shall be submitted to the Land Use Authority for review and approval.</w:t>
      </w:r>
    </w:p>
    <w:p w:rsidR="001725B1" w:rsidRPr="001725B1" w:rsidRDefault="001725B1" w:rsidP="001725B1">
      <w:pPr>
        <w:numPr>
          <w:ilvl w:val="0"/>
          <w:numId w:val="7"/>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Final Plat and Approval</w:t>
      </w:r>
    </w:p>
    <w:p w:rsidR="001725B1" w:rsidRPr="001725B1" w:rsidRDefault="001725B1" w:rsidP="001725B1">
      <w:pPr>
        <w:numPr>
          <w:ilvl w:val="1"/>
          <w:numId w:val="7"/>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A final development plat, conforming to all stipulations, conditions and requirements imposed by the City Council and this ordinance shall be submitted and shall show in detail the unified and organized arrangements of buildings, off-street parking, all other details required on the preliminary plan, as well as the final grading, irrigation and landscaping plans.</w:t>
      </w:r>
    </w:p>
    <w:p w:rsidR="001725B1" w:rsidRPr="001725B1" w:rsidRDefault="001725B1" w:rsidP="001725B1">
      <w:pPr>
        <w:numPr>
          <w:ilvl w:val="1"/>
          <w:numId w:val="7"/>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 xml:space="preserve">No building permit shall be issued until the final development plan has been approved by the Land Use Authority, Planning Commission and the City Council and has been duly recorded in the office of the Cache County Recorder by the City Recorder. </w:t>
      </w:r>
    </w:p>
    <w:p w:rsidR="001725B1" w:rsidRPr="001725B1" w:rsidRDefault="001725B1" w:rsidP="001725B1">
      <w:pPr>
        <w:numPr>
          <w:ilvl w:val="1"/>
          <w:numId w:val="7"/>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The final development plat must have the signature of the City engineer approving the plat and the signature of the City attorney approving the plat as to form.</w:t>
      </w:r>
    </w:p>
    <w:p w:rsidR="001725B1" w:rsidRPr="001725B1" w:rsidRDefault="001725B1" w:rsidP="001725B1">
      <w:pPr>
        <w:numPr>
          <w:ilvl w:val="1"/>
          <w:numId w:val="7"/>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The City Council shall require that all restrictive covenants or other agreements or appropriate documents be recorded in the office of the County Recorder along with the final plat.</w:t>
      </w:r>
    </w:p>
    <w:p w:rsidR="001725B1" w:rsidRPr="001725B1" w:rsidRDefault="001725B1" w:rsidP="001725B1">
      <w:pPr>
        <w:numPr>
          <w:ilvl w:val="1"/>
          <w:numId w:val="7"/>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Copies of the final plat and the CC&amp;R’s as approved and recorded shall be kept on file in the office of the City Recorder.</w:t>
      </w:r>
    </w:p>
    <w:p w:rsidR="001725B1" w:rsidRPr="001725B1" w:rsidRDefault="001725B1" w:rsidP="001725B1">
      <w:pPr>
        <w:numPr>
          <w:ilvl w:val="0"/>
          <w:numId w:val="7"/>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Fees and Costs</w:t>
      </w:r>
    </w:p>
    <w:p w:rsidR="001725B1" w:rsidRPr="001725B1" w:rsidRDefault="001725B1" w:rsidP="001725B1">
      <w:pPr>
        <w:numPr>
          <w:ilvl w:val="1"/>
          <w:numId w:val="7"/>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 xml:space="preserve">The applicant shall pay a preliminary plat fee and a final plat fee in accordance with the most recent prevailing fee schedule adopted by resolution of the City Council for a subdivision. </w:t>
      </w:r>
    </w:p>
    <w:p w:rsidR="001725B1" w:rsidRPr="001725B1" w:rsidRDefault="001725B1" w:rsidP="001725B1">
      <w:pPr>
        <w:numPr>
          <w:ilvl w:val="1"/>
          <w:numId w:val="7"/>
        </w:numPr>
        <w:spacing w:before="100" w:beforeAutospacing="1" w:after="100" w:afterAutospacing="1" w:line="240" w:lineRule="auto"/>
        <w:jc w:val="both"/>
        <w:rPr>
          <w:rFonts w:ascii="&amp;quot" w:eastAsia="Times New Roman" w:hAnsi="&amp;quot" w:cs="Times New Roman"/>
          <w:color w:val="515967"/>
        </w:rPr>
      </w:pPr>
      <w:r w:rsidRPr="001725B1">
        <w:rPr>
          <w:rFonts w:ascii="&amp;quot" w:eastAsia="Times New Roman" w:hAnsi="&amp;quot" w:cs="Times New Roman"/>
          <w:color w:val="515967"/>
        </w:rPr>
        <w:t xml:space="preserve">In addition to these fees, the applicant shall reimburse the City for all costs incurred, but not limited to, reproduction costs, attorney’s fees, recording fees, engineering fees, mailing and advertising costs and other costs specifically incurred by the City with regards to the subject application and project. </w:t>
      </w:r>
    </w:p>
    <w:p w:rsidR="001725B1" w:rsidRPr="001725B1" w:rsidRDefault="001725B1" w:rsidP="001725B1">
      <w:pPr>
        <w:spacing w:line="240" w:lineRule="auto"/>
        <w:jc w:val="both"/>
        <w:rPr>
          <w:rFonts w:ascii="&amp;quot" w:eastAsia="Times New Roman" w:hAnsi="&amp;quot" w:cs="Times New Roman"/>
          <w:color w:val="515967"/>
          <w:sz w:val="20"/>
          <w:szCs w:val="20"/>
        </w:rPr>
      </w:pPr>
      <w:r w:rsidRPr="001725B1">
        <w:rPr>
          <w:rFonts w:ascii="&amp;quot" w:eastAsia="Times New Roman" w:hAnsi="&amp;quot" w:cs="Times New Roman"/>
          <w:color w:val="515967"/>
          <w:sz w:val="20"/>
          <w:szCs w:val="20"/>
        </w:rPr>
        <w:t>HISTORY</w:t>
      </w:r>
      <w:r w:rsidRPr="001725B1">
        <w:rPr>
          <w:rFonts w:ascii="&amp;quot" w:eastAsia="Times New Roman" w:hAnsi="&amp;quot" w:cs="Times New Roman"/>
          <w:color w:val="515967"/>
          <w:sz w:val="20"/>
          <w:szCs w:val="20"/>
        </w:rPr>
        <w:br/>
      </w:r>
      <w:r w:rsidRPr="001725B1">
        <w:rPr>
          <w:rFonts w:ascii="&amp;quot" w:eastAsia="Times New Roman" w:hAnsi="&amp;quot" w:cs="Times New Roman"/>
          <w:i/>
          <w:iCs/>
          <w:color w:val="515967"/>
          <w:sz w:val="20"/>
          <w:szCs w:val="20"/>
        </w:rPr>
        <w:t xml:space="preserve">Adopted by Ord. </w:t>
      </w:r>
      <w:hyperlink r:id="rId33" w:tgtFrame="_blank" w:history="1">
        <w:r w:rsidRPr="001725B1">
          <w:rPr>
            <w:rFonts w:ascii="&amp;quot" w:eastAsia="Times New Roman" w:hAnsi="&amp;quot" w:cs="Times New Roman"/>
            <w:i/>
            <w:iCs/>
            <w:color w:val="0000EE"/>
            <w:sz w:val="20"/>
            <w:szCs w:val="20"/>
            <w:u w:val="single"/>
          </w:rPr>
          <w:t>2015-03</w:t>
        </w:r>
      </w:hyperlink>
      <w:r w:rsidRPr="001725B1">
        <w:rPr>
          <w:rFonts w:ascii="&amp;quot" w:eastAsia="Times New Roman" w:hAnsi="&amp;quot" w:cs="Times New Roman"/>
          <w:i/>
          <w:iCs/>
          <w:color w:val="515967"/>
          <w:sz w:val="20"/>
          <w:szCs w:val="20"/>
        </w:rPr>
        <w:t xml:space="preserve"> on 5/13/2015</w:t>
      </w:r>
      <w:r w:rsidRPr="001725B1">
        <w:rPr>
          <w:rFonts w:ascii="&amp;quot" w:eastAsia="Times New Roman" w:hAnsi="&amp;quot" w:cs="Times New Roman"/>
          <w:i/>
          <w:iCs/>
          <w:color w:val="515967"/>
          <w:sz w:val="20"/>
          <w:szCs w:val="20"/>
        </w:rPr>
        <w:br/>
        <w:t xml:space="preserve">Amended by Ord. </w:t>
      </w:r>
      <w:hyperlink r:id="rId34" w:tgtFrame="_blank" w:history="1">
        <w:r w:rsidRPr="001725B1">
          <w:rPr>
            <w:rFonts w:ascii="&amp;quot" w:eastAsia="Times New Roman" w:hAnsi="&amp;quot" w:cs="Times New Roman"/>
            <w:i/>
            <w:iCs/>
            <w:color w:val="0000EE"/>
            <w:sz w:val="20"/>
            <w:szCs w:val="20"/>
            <w:u w:val="single"/>
          </w:rPr>
          <w:t>Ordinance 2017-01</w:t>
        </w:r>
      </w:hyperlink>
      <w:r w:rsidRPr="001725B1">
        <w:rPr>
          <w:rFonts w:ascii="&amp;quot" w:eastAsia="Times New Roman" w:hAnsi="&amp;quot" w:cs="Times New Roman"/>
          <w:i/>
          <w:iCs/>
          <w:color w:val="515967"/>
          <w:sz w:val="20"/>
          <w:szCs w:val="20"/>
        </w:rPr>
        <w:t xml:space="preserve"> on 2/22/2017</w:t>
      </w:r>
    </w:p>
    <w:p w:rsidR="00F11B46" w:rsidRDefault="00F11B46"/>
    <w:sectPr w:rsidR="00F11B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mp;quo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B6A0E"/>
    <w:multiLevelType w:val="multilevel"/>
    <w:tmpl w:val="D082A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545C29"/>
    <w:multiLevelType w:val="multilevel"/>
    <w:tmpl w:val="B69C228C"/>
    <w:lvl w:ilvl="0">
      <w:start w:val="1"/>
      <w:numFmt w:val="decimal"/>
      <w:lvlText w:val="%1."/>
      <w:lvlJc w:val="left"/>
      <w:pPr>
        <w:tabs>
          <w:tab w:val="num" w:pos="720"/>
        </w:tabs>
        <w:ind w:left="720" w:hanging="360"/>
      </w:pPr>
      <w:rPr>
        <w:strike w:val="0"/>
        <w:color w:val="auto"/>
      </w:rPr>
    </w:lvl>
    <w:lvl w:ilvl="1">
      <w:start w:val="1"/>
      <w:numFmt w:val="upperLetter"/>
      <w:lvlText w:val="%2."/>
      <w:lvlJc w:val="left"/>
      <w:pPr>
        <w:tabs>
          <w:tab w:val="num" w:pos="1440"/>
        </w:tabs>
        <w:ind w:left="1440" w:hanging="360"/>
      </w:pPr>
      <w:rPr>
        <w:rFonts w:ascii="&amp;quot" w:eastAsia="Times New Roman" w:hAnsi="&amp;quot" w:cs="Times New Roman"/>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894C36"/>
    <w:multiLevelType w:val="multilevel"/>
    <w:tmpl w:val="FF447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D9C135B"/>
    <w:multiLevelType w:val="multilevel"/>
    <w:tmpl w:val="6B9A5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46B5076"/>
    <w:multiLevelType w:val="multilevel"/>
    <w:tmpl w:val="11F8D3E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rPr>
        <w:rFonts w:ascii="&amp;quot" w:eastAsia="Times New Roman" w:hAnsi="&amp;quot" w:cs="Times New Roman"/>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BF19D5"/>
    <w:multiLevelType w:val="multilevel"/>
    <w:tmpl w:val="7786D2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42B6A6D"/>
    <w:multiLevelType w:val="multilevel"/>
    <w:tmpl w:val="5FA6D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2"/>
  </w:num>
  <w:num w:numId="4">
    <w:abstractNumId w:val="5"/>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5B1"/>
    <w:rsid w:val="000F7CC8"/>
    <w:rsid w:val="001725B1"/>
    <w:rsid w:val="00476A0F"/>
    <w:rsid w:val="006A6864"/>
    <w:rsid w:val="009A15F2"/>
    <w:rsid w:val="00F11B46"/>
    <w:rsid w:val="00F37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5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5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404373">
      <w:bodyDiv w:val="1"/>
      <w:marLeft w:val="0"/>
      <w:marRight w:val="0"/>
      <w:marTop w:val="0"/>
      <w:marBottom w:val="0"/>
      <w:divBdr>
        <w:top w:val="none" w:sz="0" w:space="0" w:color="auto"/>
        <w:left w:val="none" w:sz="0" w:space="0" w:color="auto"/>
        <w:bottom w:val="none" w:sz="0" w:space="0" w:color="auto"/>
        <w:right w:val="none" w:sz="0" w:space="0" w:color="auto"/>
      </w:divBdr>
      <w:divsChild>
        <w:div w:id="792599865">
          <w:marLeft w:val="0"/>
          <w:marRight w:val="0"/>
          <w:marTop w:val="0"/>
          <w:marBottom w:val="0"/>
          <w:divBdr>
            <w:top w:val="none" w:sz="0" w:space="0" w:color="auto"/>
            <w:left w:val="none" w:sz="0" w:space="0" w:color="auto"/>
            <w:bottom w:val="none" w:sz="0" w:space="0" w:color="auto"/>
            <w:right w:val="none" w:sz="0" w:space="0" w:color="auto"/>
          </w:divBdr>
        </w:div>
        <w:div w:id="193621477">
          <w:marLeft w:val="0"/>
          <w:marRight w:val="0"/>
          <w:marTop w:val="0"/>
          <w:marBottom w:val="0"/>
          <w:divBdr>
            <w:top w:val="none" w:sz="0" w:space="0" w:color="auto"/>
            <w:left w:val="none" w:sz="0" w:space="0" w:color="auto"/>
            <w:bottom w:val="none" w:sz="0" w:space="0" w:color="auto"/>
            <w:right w:val="none" w:sz="0" w:space="0" w:color="auto"/>
          </w:divBdr>
          <w:divsChild>
            <w:div w:id="768114597">
              <w:marLeft w:val="0"/>
              <w:marRight w:val="0"/>
              <w:marTop w:val="0"/>
              <w:marBottom w:val="0"/>
              <w:divBdr>
                <w:top w:val="none" w:sz="0" w:space="0" w:color="auto"/>
                <w:left w:val="none" w:sz="0" w:space="0" w:color="auto"/>
                <w:bottom w:val="none" w:sz="0" w:space="0" w:color="auto"/>
                <w:right w:val="none" w:sz="0" w:space="0" w:color="auto"/>
              </w:divBdr>
            </w:div>
          </w:divsChild>
        </w:div>
        <w:div w:id="111093764">
          <w:marLeft w:val="0"/>
          <w:marRight w:val="0"/>
          <w:marTop w:val="225"/>
          <w:marBottom w:val="225"/>
          <w:divBdr>
            <w:top w:val="none" w:sz="0" w:space="0" w:color="auto"/>
            <w:left w:val="none" w:sz="0" w:space="0" w:color="auto"/>
            <w:bottom w:val="none" w:sz="0" w:space="0" w:color="auto"/>
            <w:right w:val="none" w:sz="0" w:space="0" w:color="auto"/>
          </w:divBdr>
        </w:div>
        <w:div w:id="590697672">
          <w:marLeft w:val="0"/>
          <w:marRight w:val="0"/>
          <w:marTop w:val="0"/>
          <w:marBottom w:val="0"/>
          <w:divBdr>
            <w:top w:val="none" w:sz="0" w:space="0" w:color="auto"/>
            <w:left w:val="none" w:sz="0" w:space="0" w:color="auto"/>
            <w:bottom w:val="none" w:sz="0" w:space="0" w:color="auto"/>
            <w:right w:val="none" w:sz="0" w:space="0" w:color="auto"/>
          </w:divBdr>
          <w:divsChild>
            <w:div w:id="988091034">
              <w:marLeft w:val="0"/>
              <w:marRight w:val="0"/>
              <w:marTop w:val="0"/>
              <w:marBottom w:val="0"/>
              <w:divBdr>
                <w:top w:val="none" w:sz="0" w:space="0" w:color="auto"/>
                <w:left w:val="none" w:sz="0" w:space="0" w:color="auto"/>
                <w:bottom w:val="none" w:sz="0" w:space="0" w:color="auto"/>
                <w:right w:val="none" w:sz="0" w:space="0" w:color="auto"/>
              </w:divBdr>
            </w:div>
          </w:divsChild>
        </w:div>
        <w:div w:id="1558275291">
          <w:marLeft w:val="0"/>
          <w:marRight w:val="0"/>
          <w:marTop w:val="225"/>
          <w:marBottom w:val="225"/>
          <w:divBdr>
            <w:top w:val="none" w:sz="0" w:space="0" w:color="auto"/>
            <w:left w:val="none" w:sz="0" w:space="0" w:color="auto"/>
            <w:bottom w:val="none" w:sz="0" w:space="0" w:color="auto"/>
            <w:right w:val="none" w:sz="0" w:space="0" w:color="auto"/>
          </w:divBdr>
        </w:div>
        <w:div w:id="1311013601">
          <w:marLeft w:val="0"/>
          <w:marRight w:val="0"/>
          <w:marTop w:val="0"/>
          <w:marBottom w:val="0"/>
          <w:divBdr>
            <w:top w:val="none" w:sz="0" w:space="0" w:color="auto"/>
            <w:left w:val="none" w:sz="0" w:space="0" w:color="auto"/>
            <w:bottom w:val="none" w:sz="0" w:space="0" w:color="auto"/>
            <w:right w:val="none" w:sz="0" w:space="0" w:color="auto"/>
          </w:divBdr>
          <w:divsChild>
            <w:div w:id="1518542468">
              <w:marLeft w:val="0"/>
              <w:marRight w:val="0"/>
              <w:marTop w:val="0"/>
              <w:marBottom w:val="0"/>
              <w:divBdr>
                <w:top w:val="none" w:sz="0" w:space="0" w:color="auto"/>
                <w:left w:val="none" w:sz="0" w:space="0" w:color="auto"/>
                <w:bottom w:val="none" w:sz="0" w:space="0" w:color="auto"/>
                <w:right w:val="none" w:sz="0" w:space="0" w:color="auto"/>
              </w:divBdr>
            </w:div>
          </w:divsChild>
        </w:div>
        <w:div w:id="1341739386">
          <w:marLeft w:val="0"/>
          <w:marRight w:val="0"/>
          <w:marTop w:val="225"/>
          <w:marBottom w:val="225"/>
          <w:divBdr>
            <w:top w:val="none" w:sz="0" w:space="0" w:color="auto"/>
            <w:left w:val="none" w:sz="0" w:space="0" w:color="auto"/>
            <w:bottom w:val="none" w:sz="0" w:space="0" w:color="auto"/>
            <w:right w:val="none" w:sz="0" w:space="0" w:color="auto"/>
          </w:divBdr>
        </w:div>
        <w:div w:id="1333683423">
          <w:marLeft w:val="0"/>
          <w:marRight w:val="0"/>
          <w:marTop w:val="0"/>
          <w:marBottom w:val="0"/>
          <w:divBdr>
            <w:top w:val="none" w:sz="0" w:space="0" w:color="auto"/>
            <w:left w:val="none" w:sz="0" w:space="0" w:color="auto"/>
            <w:bottom w:val="none" w:sz="0" w:space="0" w:color="auto"/>
            <w:right w:val="none" w:sz="0" w:space="0" w:color="auto"/>
          </w:divBdr>
          <w:divsChild>
            <w:div w:id="1674649711">
              <w:marLeft w:val="0"/>
              <w:marRight w:val="0"/>
              <w:marTop w:val="0"/>
              <w:marBottom w:val="0"/>
              <w:divBdr>
                <w:top w:val="none" w:sz="0" w:space="0" w:color="auto"/>
                <w:left w:val="none" w:sz="0" w:space="0" w:color="auto"/>
                <w:bottom w:val="none" w:sz="0" w:space="0" w:color="auto"/>
                <w:right w:val="none" w:sz="0" w:space="0" w:color="auto"/>
              </w:divBdr>
            </w:div>
          </w:divsChild>
        </w:div>
        <w:div w:id="84309565">
          <w:marLeft w:val="0"/>
          <w:marRight w:val="0"/>
          <w:marTop w:val="225"/>
          <w:marBottom w:val="225"/>
          <w:divBdr>
            <w:top w:val="none" w:sz="0" w:space="0" w:color="auto"/>
            <w:left w:val="none" w:sz="0" w:space="0" w:color="auto"/>
            <w:bottom w:val="none" w:sz="0" w:space="0" w:color="auto"/>
            <w:right w:val="none" w:sz="0" w:space="0" w:color="auto"/>
          </w:divBdr>
        </w:div>
        <w:div w:id="1993823722">
          <w:marLeft w:val="0"/>
          <w:marRight w:val="0"/>
          <w:marTop w:val="0"/>
          <w:marBottom w:val="0"/>
          <w:divBdr>
            <w:top w:val="none" w:sz="0" w:space="0" w:color="auto"/>
            <w:left w:val="none" w:sz="0" w:space="0" w:color="auto"/>
            <w:bottom w:val="none" w:sz="0" w:space="0" w:color="auto"/>
            <w:right w:val="none" w:sz="0" w:space="0" w:color="auto"/>
          </w:divBdr>
          <w:divsChild>
            <w:div w:id="600376063">
              <w:marLeft w:val="0"/>
              <w:marRight w:val="0"/>
              <w:marTop w:val="0"/>
              <w:marBottom w:val="0"/>
              <w:divBdr>
                <w:top w:val="none" w:sz="0" w:space="0" w:color="auto"/>
                <w:left w:val="none" w:sz="0" w:space="0" w:color="auto"/>
                <w:bottom w:val="none" w:sz="0" w:space="0" w:color="auto"/>
                <w:right w:val="none" w:sz="0" w:space="0" w:color="auto"/>
              </w:divBdr>
            </w:div>
          </w:divsChild>
        </w:div>
        <w:div w:id="361397157">
          <w:marLeft w:val="0"/>
          <w:marRight w:val="0"/>
          <w:marTop w:val="225"/>
          <w:marBottom w:val="225"/>
          <w:divBdr>
            <w:top w:val="none" w:sz="0" w:space="0" w:color="auto"/>
            <w:left w:val="none" w:sz="0" w:space="0" w:color="auto"/>
            <w:bottom w:val="none" w:sz="0" w:space="0" w:color="auto"/>
            <w:right w:val="none" w:sz="0" w:space="0" w:color="auto"/>
          </w:divBdr>
        </w:div>
        <w:div w:id="1979332806">
          <w:marLeft w:val="0"/>
          <w:marRight w:val="0"/>
          <w:marTop w:val="0"/>
          <w:marBottom w:val="0"/>
          <w:divBdr>
            <w:top w:val="none" w:sz="0" w:space="0" w:color="auto"/>
            <w:left w:val="none" w:sz="0" w:space="0" w:color="auto"/>
            <w:bottom w:val="none" w:sz="0" w:space="0" w:color="auto"/>
            <w:right w:val="none" w:sz="0" w:space="0" w:color="auto"/>
          </w:divBdr>
          <w:divsChild>
            <w:div w:id="511918868">
              <w:marLeft w:val="0"/>
              <w:marRight w:val="0"/>
              <w:marTop w:val="0"/>
              <w:marBottom w:val="0"/>
              <w:divBdr>
                <w:top w:val="none" w:sz="0" w:space="0" w:color="auto"/>
                <w:left w:val="none" w:sz="0" w:space="0" w:color="auto"/>
                <w:bottom w:val="none" w:sz="0" w:space="0" w:color="auto"/>
                <w:right w:val="none" w:sz="0" w:space="0" w:color="auto"/>
              </w:divBdr>
            </w:div>
          </w:divsChild>
        </w:div>
        <w:div w:id="259678513">
          <w:marLeft w:val="0"/>
          <w:marRight w:val="0"/>
          <w:marTop w:val="225"/>
          <w:marBottom w:val="225"/>
          <w:divBdr>
            <w:top w:val="none" w:sz="0" w:space="0" w:color="auto"/>
            <w:left w:val="none" w:sz="0" w:space="0" w:color="auto"/>
            <w:bottom w:val="none" w:sz="0" w:space="0" w:color="auto"/>
            <w:right w:val="none" w:sz="0" w:space="0" w:color="auto"/>
          </w:divBdr>
        </w:div>
        <w:div w:id="1182623620">
          <w:marLeft w:val="0"/>
          <w:marRight w:val="0"/>
          <w:marTop w:val="0"/>
          <w:marBottom w:val="0"/>
          <w:divBdr>
            <w:top w:val="none" w:sz="0" w:space="0" w:color="auto"/>
            <w:left w:val="none" w:sz="0" w:space="0" w:color="auto"/>
            <w:bottom w:val="none" w:sz="0" w:space="0" w:color="auto"/>
            <w:right w:val="none" w:sz="0" w:space="0" w:color="auto"/>
          </w:divBdr>
          <w:divsChild>
            <w:div w:id="665207337">
              <w:marLeft w:val="0"/>
              <w:marRight w:val="0"/>
              <w:marTop w:val="0"/>
              <w:marBottom w:val="0"/>
              <w:divBdr>
                <w:top w:val="none" w:sz="0" w:space="0" w:color="auto"/>
                <w:left w:val="none" w:sz="0" w:space="0" w:color="auto"/>
                <w:bottom w:val="none" w:sz="0" w:space="0" w:color="auto"/>
                <w:right w:val="none" w:sz="0" w:space="0" w:color="auto"/>
              </w:divBdr>
            </w:div>
          </w:divsChild>
        </w:div>
        <w:div w:id="642464971">
          <w:marLeft w:val="0"/>
          <w:marRight w:val="0"/>
          <w:marTop w:val="225"/>
          <w:marBottom w:val="225"/>
          <w:divBdr>
            <w:top w:val="none" w:sz="0" w:space="0" w:color="auto"/>
            <w:left w:val="none" w:sz="0" w:space="0" w:color="auto"/>
            <w:bottom w:val="none" w:sz="0" w:space="0" w:color="auto"/>
            <w:right w:val="none" w:sz="0" w:space="0" w:color="auto"/>
          </w:divBdr>
        </w:div>
        <w:div w:id="35199547">
          <w:marLeft w:val="0"/>
          <w:marRight w:val="0"/>
          <w:marTop w:val="0"/>
          <w:marBottom w:val="0"/>
          <w:divBdr>
            <w:top w:val="none" w:sz="0" w:space="0" w:color="auto"/>
            <w:left w:val="none" w:sz="0" w:space="0" w:color="auto"/>
            <w:bottom w:val="none" w:sz="0" w:space="0" w:color="auto"/>
            <w:right w:val="none" w:sz="0" w:space="0" w:color="auto"/>
          </w:divBdr>
          <w:divsChild>
            <w:div w:id="1243837728">
              <w:marLeft w:val="0"/>
              <w:marRight w:val="0"/>
              <w:marTop w:val="0"/>
              <w:marBottom w:val="0"/>
              <w:divBdr>
                <w:top w:val="none" w:sz="0" w:space="0" w:color="auto"/>
                <w:left w:val="none" w:sz="0" w:space="0" w:color="auto"/>
                <w:bottom w:val="none" w:sz="0" w:space="0" w:color="auto"/>
                <w:right w:val="none" w:sz="0" w:space="0" w:color="auto"/>
              </w:divBdr>
            </w:div>
          </w:divsChild>
        </w:div>
        <w:div w:id="1294480293">
          <w:marLeft w:val="0"/>
          <w:marRight w:val="0"/>
          <w:marTop w:val="225"/>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ydepark.municipalcodeonline.com/book?type=ordinances" TargetMode="External"/><Relationship Id="rId18" Type="http://schemas.openxmlformats.org/officeDocument/2006/relationships/hyperlink" Target="https://s3-us-west-2.amazonaws.com/municipalcodeonline.com-new/hydepark/ordinances/documents/2017-02%20Open%20Space%20Bonus%20Density.docx" TargetMode="External"/><Relationship Id="rId26" Type="http://schemas.openxmlformats.org/officeDocument/2006/relationships/hyperlink" Target="https://s3-us-west-2.amazonaws.com/municipalcodeonline.com-new/hydepark/ordinances/documents/HPMC-adoptingord.pdf" TargetMode="External"/><Relationship Id="rId3" Type="http://schemas.microsoft.com/office/2007/relationships/stylesWithEffects" Target="stylesWithEffects.xml"/><Relationship Id="rId21" Type="http://schemas.openxmlformats.org/officeDocument/2006/relationships/hyperlink" Target="https://hydepark.municipalcodeonline.com/book?type=ordinances" TargetMode="External"/><Relationship Id="rId34" Type="http://schemas.openxmlformats.org/officeDocument/2006/relationships/hyperlink" Target="https://s3-us-west-2.amazonaws.com/municipalcodeonline.com-new/hydepark/ordinances/documents/2017-01%20Special%20Event%20Regulations.docx" TargetMode="External"/><Relationship Id="rId7" Type="http://schemas.openxmlformats.org/officeDocument/2006/relationships/hyperlink" Target="https://hydepark.municipalcodeonline.com/book?type=ordinances" TargetMode="External"/><Relationship Id="rId12" Type="http://schemas.openxmlformats.org/officeDocument/2006/relationships/hyperlink" Target="https://hydepark.municipalcodeonline.com/book?type=ordinances" TargetMode="External"/><Relationship Id="rId17" Type="http://schemas.openxmlformats.org/officeDocument/2006/relationships/hyperlink" Target="https://s3-us-west-2.amazonaws.com/municipalcodeonline.com-new/hydepark/ordinances/documents/HPMC-adoptingord.pdf" TargetMode="External"/><Relationship Id="rId25" Type="http://schemas.openxmlformats.org/officeDocument/2006/relationships/hyperlink" Target="https://hydepark.municipalcodeonline.com/book?type=ordinances" TargetMode="External"/><Relationship Id="rId33" Type="http://schemas.openxmlformats.org/officeDocument/2006/relationships/hyperlink" Target="https://s3-us-west-2.amazonaws.com/municipalcodeonline.com-new/hydepark/ordinances/documents/HPMC-adoptingord.pdf" TargetMode="External"/><Relationship Id="rId2" Type="http://schemas.openxmlformats.org/officeDocument/2006/relationships/styles" Target="styles.xml"/><Relationship Id="rId16" Type="http://schemas.openxmlformats.org/officeDocument/2006/relationships/hyperlink" Target="https://hydepark.municipalcodeonline.com/book?type=ordinances" TargetMode="External"/><Relationship Id="rId20" Type="http://schemas.openxmlformats.org/officeDocument/2006/relationships/hyperlink" Target="https://s3-us-west-2.amazonaws.com/municipalcodeonline.com-new/hydepark/ordinances/documents/HPMC-adoptingord.pdf" TargetMode="External"/><Relationship Id="rId29" Type="http://schemas.openxmlformats.org/officeDocument/2006/relationships/hyperlink" Target="https://s3-us-west-2.amazonaws.com/municipalcodeonline.com-new/hydepark/ordinances/documents/2018-07%20PUD%20Setbacks.docx" TargetMode="External"/><Relationship Id="rId1" Type="http://schemas.openxmlformats.org/officeDocument/2006/relationships/numbering" Target="numbering.xml"/><Relationship Id="rId6" Type="http://schemas.openxmlformats.org/officeDocument/2006/relationships/hyperlink" Target="https://hydepark.municipalcodeonline.com/book?type=ordinances" TargetMode="External"/><Relationship Id="rId11" Type="http://schemas.openxmlformats.org/officeDocument/2006/relationships/hyperlink" Target="https://hydepark.municipalcodeonline.com/book?type=ordinances" TargetMode="External"/><Relationship Id="rId24" Type="http://schemas.openxmlformats.org/officeDocument/2006/relationships/hyperlink" Target="https://s3-us-west-2.amazonaws.com/municipalcodeonline.com-new/hydepark/ordinances/documents/HPMC-adoptingord.pdf" TargetMode="External"/><Relationship Id="rId32" Type="http://schemas.openxmlformats.org/officeDocument/2006/relationships/hyperlink" Target="https://hydepark.municipalcodeonline.com/book?type=ordinances" TargetMode="External"/><Relationship Id="rId5" Type="http://schemas.openxmlformats.org/officeDocument/2006/relationships/webSettings" Target="webSettings.xml"/><Relationship Id="rId15" Type="http://schemas.openxmlformats.org/officeDocument/2006/relationships/hyperlink" Target="https://s3-us-west-2.amazonaws.com/municipalcodeonline.com-new/hydepark/ordinances/documents/HPMC-adoptingord.pdf" TargetMode="External"/><Relationship Id="rId23" Type="http://schemas.openxmlformats.org/officeDocument/2006/relationships/hyperlink" Target="https://hydepark.municipalcodeonline.com/book?type=ordinances" TargetMode="External"/><Relationship Id="rId28" Type="http://schemas.openxmlformats.org/officeDocument/2006/relationships/hyperlink" Target="https://s3-us-west-2.amazonaws.com/municipalcodeonline.com-new/hydepark/ordinances/documents/2017-02%20Open%20Space%20Bonus%20Density.docx" TargetMode="External"/><Relationship Id="rId36" Type="http://schemas.openxmlformats.org/officeDocument/2006/relationships/theme" Target="theme/theme1.xml"/><Relationship Id="rId10" Type="http://schemas.openxmlformats.org/officeDocument/2006/relationships/hyperlink" Target="https://hydepark.municipalcodeonline.com/book?type=ordinances" TargetMode="External"/><Relationship Id="rId19" Type="http://schemas.openxmlformats.org/officeDocument/2006/relationships/hyperlink" Target="https://hydepark.municipalcodeonline.com/book?type=ordinances" TargetMode="External"/><Relationship Id="rId31" Type="http://schemas.openxmlformats.org/officeDocument/2006/relationships/hyperlink" Target="https://s3-us-west-2.amazonaws.com/municipalcodeonline.com-new/hydepark/ordinances/documents/HPMC-adoptingord.pdf" TargetMode="External"/><Relationship Id="rId4" Type="http://schemas.openxmlformats.org/officeDocument/2006/relationships/settings" Target="settings.xml"/><Relationship Id="rId9" Type="http://schemas.openxmlformats.org/officeDocument/2006/relationships/hyperlink" Target="https://hydepark.municipalcodeonline.com/book?type=ordinances" TargetMode="External"/><Relationship Id="rId14" Type="http://schemas.openxmlformats.org/officeDocument/2006/relationships/hyperlink" Target="https://hydepark.municipalcodeonline.com/book?type=ordinances" TargetMode="External"/><Relationship Id="rId22" Type="http://schemas.openxmlformats.org/officeDocument/2006/relationships/hyperlink" Target="https://s3-us-west-2.amazonaws.com/municipalcodeonline.com-new/hydepark/ordinances/documents/HPMC-adoptingord.pdf" TargetMode="External"/><Relationship Id="rId27" Type="http://schemas.openxmlformats.org/officeDocument/2006/relationships/hyperlink" Target="https://s3-us-west-2.amazonaws.com/municipalcodeonline.com-new/hydepark/ordinances/documents/2016-06%20Senior%20Citizen%20PUD.pdf" TargetMode="External"/><Relationship Id="rId30" Type="http://schemas.openxmlformats.org/officeDocument/2006/relationships/hyperlink" Target="https://hydepark.municipalcodeonline.com/book?type=ordinances" TargetMode="External"/><Relationship Id="rId35" Type="http://schemas.openxmlformats.org/officeDocument/2006/relationships/fontTable" Target="fontTable.xml"/><Relationship Id="rId8" Type="http://schemas.openxmlformats.org/officeDocument/2006/relationships/hyperlink" Target="https://hydepark.municipalcodeonline.com/book?type=ordina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3467</Words>
  <Characters>19764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CARLENE</cp:lastModifiedBy>
  <cp:revision>2</cp:revision>
  <dcterms:created xsi:type="dcterms:W3CDTF">2019-07-15T21:16:00Z</dcterms:created>
  <dcterms:modified xsi:type="dcterms:W3CDTF">2019-07-15T21:16:00Z</dcterms:modified>
</cp:coreProperties>
</file>