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8A7" w:rsidRPr="005E48A7" w:rsidRDefault="006373BC" w:rsidP="005E48A7">
      <w:pPr>
        <w:shd w:val="clear" w:color="auto" w:fill="FFFFFF"/>
        <w:spacing w:after="0" w:line="240" w:lineRule="auto"/>
        <w:jc w:val="center"/>
        <w:rPr>
          <w:rFonts w:eastAsia="Times New Roman" w:cs="Arial"/>
          <w:b/>
          <w:bCs/>
          <w:color w:val="222222"/>
        </w:rPr>
      </w:pPr>
      <w:r>
        <w:rPr>
          <w:rFonts w:eastAsia="Times New Roman" w:cs="Arial"/>
          <w:b/>
          <w:bCs/>
          <w:color w:val="222222"/>
        </w:rPr>
        <w:t>Strategic Planning Refugee</w:t>
      </w:r>
      <w:r w:rsidR="005E48A7" w:rsidRPr="005E48A7">
        <w:rPr>
          <w:rFonts w:eastAsia="Times New Roman" w:cs="Arial"/>
          <w:b/>
          <w:bCs/>
          <w:color w:val="222222"/>
        </w:rPr>
        <w:t xml:space="preserve"> Youth Subcommittee</w:t>
      </w:r>
    </w:p>
    <w:p w:rsidR="005E48A7" w:rsidRDefault="005E48A7" w:rsidP="005E48A7">
      <w:pPr>
        <w:shd w:val="clear" w:color="auto" w:fill="FFFFFF"/>
        <w:spacing w:after="0" w:line="240" w:lineRule="auto"/>
        <w:jc w:val="center"/>
        <w:rPr>
          <w:rFonts w:eastAsia="Times New Roman" w:cs="Arial"/>
          <w:b/>
          <w:bCs/>
          <w:color w:val="222222"/>
        </w:rPr>
      </w:pPr>
      <w:r w:rsidRPr="005E48A7">
        <w:rPr>
          <w:rFonts w:eastAsia="Times New Roman" w:cs="Arial"/>
          <w:b/>
          <w:bCs/>
          <w:color w:val="222222"/>
        </w:rPr>
        <w:t>October 30, 2017</w:t>
      </w:r>
    </w:p>
    <w:p w:rsidR="00705BFB" w:rsidRPr="005E48A7" w:rsidRDefault="00705BFB" w:rsidP="005E48A7">
      <w:pPr>
        <w:shd w:val="clear" w:color="auto" w:fill="FFFFFF"/>
        <w:spacing w:after="0" w:line="240" w:lineRule="auto"/>
        <w:jc w:val="center"/>
        <w:rPr>
          <w:rFonts w:eastAsia="Times New Roman" w:cs="Arial"/>
          <w:b/>
          <w:bCs/>
          <w:color w:val="222222"/>
        </w:rPr>
      </w:pPr>
    </w:p>
    <w:p w:rsidR="005E48A7" w:rsidRPr="005E48A7" w:rsidRDefault="005E48A7" w:rsidP="005E48A7">
      <w:pPr>
        <w:shd w:val="clear" w:color="auto" w:fill="FFFFFF"/>
        <w:spacing w:after="0" w:line="240" w:lineRule="auto"/>
        <w:rPr>
          <w:rFonts w:eastAsia="Times New Roman" w:cs="Arial"/>
          <w:color w:val="222222"/>
        </w:rPr>
      </w:pPr>
      <w:r w:rsidRPr="005E48A7">
        <w:rPr>
          <w:rFonts w:eastAsia="Times New Roman" w:cs="Arial"/>
          <w:b/>
          <w:bCs/>
          <w:color w:val="222222"/>
        </w:rPr>
        <w:t>Purpose</w:t>
      </w:r>
      <w:r w:rsidRPr="005E48A7">
        <w:rPr>
          <w:rFonts w:eastAsia="Times New Roman" w:cs="Arial"/>
          <w:color w:val="222222"/>
        </w:rPr>
        <w:t> - To develop a high school and college plan for new arrivals aged 14 - 18. How can we maximize their time in high school? How can we ensure we have accurate data and are appropriately identifying these youth? </w:t>
      </w:r>
    </w:p>
    <w:p w:rsidR="005E48A7" w:rsidRPr="005E48A7" w:rsidRDefault="005E48A7" w:rsidP="005E48A7">
      <w:pPr>
        <w:shd w:val="clear" w:color="auto" w:fill="FFFFFF"/>
        <w:spacing w:after="0" w:line="240" w:lineRule="auto"/>
        <w:rPr>
          <w:rFonts w:eastAsia="Times New Roman" w:cs="Arial"/>
          <w:color w:val="222222"/>
        </w:rPr>
      </w:pPr>
    </w:p>
    <w:p w:rsidR="005E48A7" w:rsidRPr="005E48A7" w:rsidRDefault="005E48A7" w:rsidP="005E48A7">
      <w:pPr>
        <w:shd w:val="clear" w:color="auto" w:fill="FFFFFF"/>
        <w:spacing w:after="0" w:line="240" w:lineRule="auto"/>
        <w:rPr>
          <w:rFonts w:eastAsia="Times New Roman" w:cs="Arial"/>
          <w:color w:val="222222"/>
        </w:rPr>
      </w:pPr>
      <w:r w:rsidRPr="005E48A7">
        <w:rPr>
          <w:rFonts w:eastAsia="Times New Roman" w:cs="Arial"/>
          <w:b/>
          <w:bCs/>
          <w:color w:val="222222"/>
        </w:rPr>
        <w:t>Potential solutions</w:t>
      </w:r>
      <w:r w:rsidRPr="005E48A7">
        <w:rPr>
          <w:rFonts w:eastAsia="Times New Roman" w:cs="Arial"/>
          <w:color w:val="222222"/>
        </w:rPr>
        <w:t> - Youth Humanitarian Center type model with a mixture of English and life skills courses; High School dropouts grant at Granite School District that includes tech programs and skill building</w:t>
      </w:r>
    </w:p>
    <w:p w:rsidR="005E48A7" w:rsidRPr="005E48A7" w:rsidRDefault="005E48A7" w:rsidP="005E48A7">
      <w:pPr>
        <w:shd w:val="clear" w:color="auto" w:fill="FFFFFF"/>
        <w:spacing w:after="0" w:line="240" w:lineRule="auto"/>
        <w:rPr>
          <w:rFonts w:eastAsia="Times New Roman" w:cs="Arial"/>
          <w:color w:val="222222"/>
        </w:rPr>
      </w:pPr>
    </w:p>
    <w:p w:rsidR="005E48A7" w:rsidRPr="005E48A7" w:rsidRDefault="005E48A7" w:rsidP="005E48A7">
      <w:pPr>
        <w:shd w:val="clear" w:color="auto" w:fill="FFFFFF"/>
        <w:spacing w:after="0" w:line="240" w:lineRule="auto"/>
        <w:rPr>
          <w:rFonts w:eastAsia="Times New Roman" w:cs="Arial"/>
          <w:color w:val="222222"/>
        </w:rPr>
      </w:pPr>
      <w:r w:rsidRPr="005E48A7">
        <w:rPr>
          <w:rFonts w:eastAsia="Times New Roman" w:cs="Arial"/>
          <w:color w:val="222222"/>
        </w:rPr>
        <w:t>We created a </w:t>
      </w:r>
      <w:r w:rsidRPr="005E48A7">
        <w:rPr>
          <w:rFonts w:eastAsia="Times New Roman" w:cs="Arial"/>
          <w:b/>
          <w:bCs/>
          <w:color w:val="222222"/>
        </w:rPr>
        <w:t>flowchart</w:t>
      </w:r>
      <w:r w:rsidRPr="005E48A7">
        <w:rPr>
          <w:rFonts w:eastAsia="Times New Roman" w:cs="Arial"/>
          <w:color w:val="222222"/>
        </w:rPr>
        <w:t> that had the following components:</w:t>
      </w:r>
    </w:p>
    <w:p w:rsidR="005E48A7" w:rsidRDefault="005E48A7" w:rsidP="005E48A7">
      <w:pPr>
        <w:numPr>
          <w:ilvl w:val="0"/>
          <w:numId w:val="1"/>
        </w:numPr>
        <w:shd w:val="clear" w:color="auto" w:fill="FFFFFF"/>
        <w:spacing w:before="100" w:beforeAutospacing="1" w:after="100" w:afterAutospacing="1" w:line="240" w:lineRule="auto"/>
        <w:ind w:left="945"/>
        <w:rPr>
          <w:rFonts w:eastAsia="Times New Roman" w:cs="Arial"/>
          <w:color w:val="222222"/>
        </w:rPr>
      </w:pPr>
      <w:r w:rsidRPr="005E48A7">
        <w:rPr>
          <w:rFonts w:eastAsia="Times New Roman" w:cs="Arial"/>
          <w:color w:val="222222"/>
        </w:rPr>
        <w:t xml:space="preserve">Identifying refugee students using the resettlement agencies, Utah International Charter School or the </w:t>
      </w:r>
      <w:proofErr w:type="spellStart"/>
      <w:r w:rsidRPr="005E48A7">
        <w:rPr>
          <w:rFonts w:eastAsia="Times New Roman" w:cs="Arial"/>
          <w:color w:val="222222"/>
        </w:rPr>
        <w:t>Tumaini</w:t>
      </w:r>
      <w:proofErr w:type="spellEnd"/>
      <w:r w:rsidRPr="005E48A7">
        <w:rPr>
          <w:rFonts w:eastAsia="Times New Roman" w:cs="Arial"/>
          <w:color w:val="222222"/>
        </w:rPr>
        <w:t xml:space="preserve"> center in Granite School District</w:t>
      </w:r>
    </w:p>
    <w:p w:rsidR="00705BFB" w:rsidRPr="005E48A7" w:rsidRDefault="00705BFB" w:rsidP="00705BFB">
      <w:pPr>
        <w:numPr>
          <w:ilvl w:val="1"/>
          <w:numId w:val="1"/>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The first point of identification is through the refugee resettlement agencies, IRC and CCS. The next point will be through the </w:t>
      </w:r>
      <w:proofErr w:type="spellStart"/>
      <w:r>
        <w:rPr>
          <w:rFonts w:eastAsia="Times New Roman" w:cs="Arial"/>
          <w:color w:val="222222"/>
        </w:rPr>
        <w:t>Tumaini</w:t>
      </w:r>
      <w:proofErr w:type="spellEnd"/>
      <w:r>
        <w:rPr>
          <w:rFonts w:eastAsia="Times New Roman" w:cs="Arial"/>
          <w:color w:val="222222"/>
        </w:rPr>
        <w:t xml:space="preserve"> center. Students need to be identified as refugee at these two points. The final point would be ensuring that the home schools that youth are transitioned to are identifying them as refugees. Other needed collaborators include the Utah International Charter School. </w:t>
      </w:r>
    </w:p>
    <w:p w:rsidR="005E48A7" w:rsidRDefault="005E48A7" w:rsidP="005E48A7">
      <w:pPr>
        <w:numPr>
          <w:ilvl w:val="0"/>
          <w:numId w:val="1"/>
        </w:numPr>
        <w:shd w:val="clear" w:color="auto" w:fill="FFFFFF"/>
        <w:spacing w:before="100" w:beforeAutospacing="1" w:after="100" w:afterAutospacing="1" w:line="240" w:lineRule="auto"/>
        <w:ind w:left="945"/>
        <w:rPr>
          <w:rFonts w:eastAsia="Times New Roman" w:cs="Arial"/>
          <w:color w:val="222222"/>
        </w:rPr>
      </w:pPr>
      <w:r w:rsidRPr="005E48A7">
        <w:rPr>
          <w:rFonts w:eastAsia="Times New Roman" w:cs="Arial"/>
          <w:color w:val="222222"/>
        </w:rPr>
        <w:t xml:space="preserve">Create/formalize a </w:t>
      </w:r>
      <w:proofErr w:type="spellStart"/>
      <w:r w:rsidRPr="005E48A7">
        <w:rPr>
          <w:rFonts w:eastAsia="Times New Roman" w:cs="Arial"/>
          <w:color w:val="222222"/>
        </w:rPr>
        <w:t>scaffolded</w:t>
      </w:r>
      <w:proofErr w:type="spellEnd"/>
      <w:r w:rsidRPr="005E48A7">
        <w:rPr>
          <w:rFonts w:eastAsia="Times New Roman" w:cs="Arial"/>
          <w:color w:val="222222"/>
        </w:rPr>
        <w:t xml:space="preserve"> intake process for these youth that helps them develop a college/career readiness plan, assesses their literacy levels, and provides them with a list of post-secondary options including earning potentials (Ideally would happen every 30 days within their first few months of arrival)</w:t>
      </w:r>
    </w:p>
    <w:p w:rsidR="00705BFB" w:rsidRDefault="00705BFB" w:rsidP="00705BFB">
      <w:pPr>
        <w:numPr>
          <w:ilvl w:val="1"/>
          <w:numId w:val="1"/>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The first career intake could be at the refugee resettlement agency along with other intake questions that are asked of the new families.</w:t>
      </w:r>
    </w:p>
    <w:p w:rsidR="00705BFB" w:rsidRDefault="00705BFB" w:rsidP="00705BFB">
      <w:pPr>
        <w:numPr>
          <w:ilvl w:val="1"/>
          <w:numId w:val="1"/>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The second career assessment/intake would be at the </w:t>
      </w:r>
      <w:proofErr w:type="spellStart"/>
      <w:r>
        <w:rPr>
          <w:rFonts w:eastAsia="Times New Roman" w:cs="Arial"/>
          <w:color w:val="222222"/>
        </w:rPr>
        <w:t>Tumaini</w:t>
      </w:r>
      <w:proofErr w:type="spellEnd"/>
      <w:r>
        <w:rPr>
          <w:rFonts w:eastAsia="Times New Roman" w:cs="Arial"/>
          <w:color w:val="222222"/>
        </w:rPr>
        <w:t xml:space="preserve"> center. It was mentioned that they already talk to the secondary students about this so just formalizing the process of the career and college assessments.</w:t>
      </w:r>
    </w:p>
    <w:p w:rsidR="00705BFB" w:rsidRPr="00705BFB" w:rsidRDefault="00705BFB" w:rsidP="00705BFB">
      <w:pPr>
        <w:numPr>
          <w:ilvl w:val="1"/>
          <w:numId w:val="1"/>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The third intake would be at the home school after about 90 days of being enrolled. It would be mandatory that the school counselor conducts a college and career readiness assessment with the students and their families 90 days in to verify what the plan is. After that, the check in would be at the beginning of the next quarter, every quarter, until the youth graduate. These youth could also be transitioned into the Salt Lake County Refugee Youth Summer Internship Program. </w:t>
      </w:r>
    </w:p>
    <w:p w:rsidR="005E48A7" w:rsidRDefault="005E48A7" w:rsidP="005E48A7">
      <w:pPr>
        <w:numPr>
          <w:ilvl w:val="0"/>
          <w:numId w:val="1"/>
        </w:numPr>
        <w:shd w:val="clear" w:color="auto" w:fill="FFFFFF"/>
        <w:spacing w:before="100" w:beforeAutospacing="1" w:after="100" w:afterAutospacing="1" w:line="240" w:lineRule="auto"/>
        <w:ind w:left="945"/>
        <w:rPr>
          <w:rFonts w:eastAsia="Times New Roman" w:cs="Arial"/>
          <w:color w:val="222222"/>
        </w:rPr>
      </w:pPr>
      <w:r w:rsidRPr="005E48A7">
        <w:rPr>
          <w:rFonts w:eastAsia="Times New Roman" w:cs="Arial"/>
          <w:color w:val="222222"/>
        </w:rPr>
        <w:t>Pathway development/selection process: Utilize processes similar to an IEP to help students see a clear pathway for their post-secondary success</w:t>
      </w:r>
    </w:p>
    <w:p w:rsidR="00705BFB" w:rsidRPr="005E48A7" w:rsidRDefault="00705BFB" w:rsidP="00705BFB">
      <w:pPr>
        <w:numPr>
          <w:ilvl w:val="1"/>
          <w:numId w:val="1"/>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The pathway options would be CTE, GTI, college, concurrent enrollment, </w:t>
      </w:r>
      <w:proofErr w:type="spellStart"/>
      <w:r>
        <w:rPr>
          <w:rFonts w:eastAsia="Times New Roman" w:cs="Arial"/>
          <w:color w:val="222222"/>
        </w:rPr>
        <w:t>accuplacer</w:t>
      </w:r>
      <w:proofErr w:type="spellEnd"/>
      <w:r>
        <w:rPr>
          <w:rFonts w:eastAsia="Times New Roman" w:cs="Arial"/>
          <w:color w:val="222222"/>
        </w:rPr>
        <w:t xml:space="preserve"> and/or TABE prep, and perhaps a Saturday college ESL prep course. </w:t>
      </w:r>
    </w:p>
    <w:p w:rsidR="005E48A7" w:rsidRDefault="005E48A7" w:rsidP="005E48A7">
      <w:pPr>
        <w:numPr>
          <w:ilvl w:val="0"/>
          <w:numId w:val="1"/>
        </w:numPr>
        <w:shd w:val="clear" w:color="auto" w:fill="FFFFFF"/>
        <w:spacing w:before="100" w:beforeAutospacing="1" w:after="100" w:afterAutospacing="1" w:line="240" w:lineRule="auto"/>
        <w:ind w:left="945"/>
        <w:rPr>
          <w:rFonts w:eastAsia="Times New Roman" w:cs="Arial"/>
          <w:color w:val="222222"/>
        </w:rPr>
      </w:pPr>
      <w:r w:rsidRPr="005E48A7">
        <w:rPr>
          <w:rFonts w:eastAsia="Times New Roman" w:cs="Arial"/>
          <w:color w:val="222222"/>
        </w:rPr>
        <w:t>Transitions: Determine what the transitions look like from resettlement agencies to the K-12 education system and from K-12 to post-secondary success</w:t>
      </w:r>
    </w:p>
    <w:p w:rsidR="00705BFB" w:rsidRDefault="00705BFB" w:rsidP="00705BFB">
      <w:pPr>
        <w:numPr>
          <w:ilvl w:val="1"/>
          <w:numId w:val="1"/>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There needs to be a clear way of determining the transition from resettlement agencies to the </w:t>
      </w:r>
      <w:proofErr w:type="spellStart"/>
      <w:r>
        <w:rPr>
          <w:rFonts w:eastAsia="Times New Roman" w:cs="Arial"/>
          <w:color w:val="222222"/>
        </w:rPr>
        <w:t>Tumaini</w:t>
      </w:r>
      <w:proofErr w:type="spellEnd"/>
      <w:r>
        <w:rPr>
          <w:rFonts w:eastAsia="Times New Roman" w:cs="Arial"/>
          <w:color w:val="222222"/>
        </w:rPr>
        <w:t xml:space="preserve"> center to the home school and ensuring that the college and career readiness plan is a separate, detailed document that goes along with the transition. </w:t>
      </w:r>
    </w:p>
    <w:p w:rsidR="00705BFB" w:rsidRPr="005E48A7" w:rsidRDefault="00705BFB" w:rsidP="00705BFB">
      <w:pPr>
        <w:numPr>
          <w:ilvl w:val="1"/>
          <w:numId w:val="1"/>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There needs to be clear roles for the GSD 33 different community centers to play for parent/community engagement purposes and the Refugee Services Office role. </w:t>
      </w:r>
      <w:bookmarkStart w:id="0" w:name="_GoBack"/>
      <w:bookmarkEnd w:id="0"/>
    </w:p>
    <w:p w:rsidR="006065BF" w:rsidRPr="00705BFB" w:rsidRDefault="005E48A7" w:rsidP="00705BFB">
      <w:pPr>
        <w:shd w:val="clear" w:color="auto" w:fill="FFFFFF"/>
        <w:spacing w:after="0" w:line="240" w:lineRule="auto"/>
        <w:rPr>
          <w:rFonts w:eastAsia="Times New Roman" w:cs="Arial"/>
          <w:color w:val="222222"/>
        </w:rPr>
      </w:pPr>
      <w:r w:rsidRPr="005E48A7">
        <w:rPr>
          <w:rFonts w:eastAsia="Times New Roman" w:cs="Arial"/>
          <w:b/>
          <w:bCs/>
          <w:color w:val="222222"/>
        </w:rPr>
        <w:t>Action Item</w:t>
      </w:r>
      <w:r w:rsidRPr="005E48A7">
        <w:rPr>
          <w:rFonts w:eastAsia="Times New Roman" w:cs="Arial"/>
          <w:color w:val="222222"/>
        </w:rPr>
        <w:t>: Dr. Bates asked everyone to draw out the aforementioned flowchart and add a section at the bottom of each point that identified the potential important collaborators for those sessions and to think through the pathways for discussion on potential implementation at the next meeting.</w:t>
      </w:r>
    </w:p>
    <w:sectPr w:rsidR="006065BF" w:rsidRPr="00705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289"/>
    <w:multiLevelType w:val="multilevel"/>
    <w:tmpl w:val="C556F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7"/>
    <w:rsid w:val="005E48A7"/>
    <w:rsid w:val="006065BF"/>
    <w:rsid w:val="006373BC"/>
    <w:rsid w:val="0070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9D31F-F859-49D5-8E4C-A7BAB1D2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E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247934">
      <w:bodyDiv w:val="1"/>
      <w:marLeft w:val="0"/>
      <w:marRight w:val="0"/>
      <w:marTop w:val="0"/>
      <w:marBottom w:val="0"/>
      <w:divBdr>
        <w:top w:val="none" w:sz="0" w:space="0" w:color="auto"/>
        <w:left w:val="none" w:sz="0" w:space="0" w:color="auto"/>
        <w:bottom w:val="none" w:sz="0" w:space="0" w:color="auto"/>
        <w:right w:val="none" w:sz="0" w:space="0" w:color="auto"/>
      </w:divBdr>
      <w:divsChild>
        <w:div w:id="2007898733">
          <w:marLeft w:val="0"/>
          <w:marRight w:val="0"/>
          <w:marTop w:val="0"/>
          <w:marBottom w:val="0"/>
          <w:divBdr>
            <w:top w:val="none" w:sz="0" w:space="0" w:color="auto"/>
            <w:left w:val="none" w:sz="0" w:space="0" w:color="auto"/>
            <w:bottom w:val="none" w:sz="0" w:space="0" w:color="auto"/>
            <w:right w:val="none" w:sz="0" w:space="0" w:color="auto"/>
          </w:divBdr>
        </w:div>
        <w:div w:id="1153066626">
          <w:marLeft w:val="0"/>
          <w:marRight w:val="0"/>
          <w:marTop w:val="0"/>
          <w:marBottom w:val="0"/>
          <w:divBdr>
            <w:top w:val="none" w:sz="0" w:space="0" w:color="auto"/>
            <w:left w:val="none" w:sz="0" w:space="0" w:color="auto"/>
            <w:bottom w:val="none" w:sz="0" w:space="0" w:color="auto"/>
            <w:right w:val="none" w:sz="0" w:space="0" w:color="auto"/>
          </w:divBdr>
        </w:div>
        <w:div w:id="751856246">
          <w:marLeft w:val="0"/>
          <w:marRight w:val="0"/>
          <w:marTop w:val="0"/>
          <w:marBottom w:val="0"/>
          <w:divBdr>
            <w:top w:val="none" w:sz="0" w:space="0" w:color="auto"/>
            <w:left w:val="none" w:sz="0" w:space="0" w:color="auto"/>
            <w:bottom w:val="none" w:sz="0" w:space="0" w:color="auto"/>
            <w:right w:val="none" w:sz="0" w:space="0" w:color="auto"/>
          </w:divBdr>
        </w:div>
        <w:div w:id="1447584318">
          <w:marLeft w:val="0"/>
          <w:marRight w:val="0"/>
          <w:marTop w:val="0"/>
          <w:marBottom w:val="0"/>
          <w:divBdr>
            <w:top w:val="none" w:sz="0" w:space="0" w:color="auto"/>
            <w:left w:val="none" w:sz="0" w:space="0" w:color="auto"/>
            <w:bottom w:val="none" w:sz="0" w:space="0" w:color="auto"/>
            <w:right w:val="none" w:sz="0" w:space="0" w:color="auto"/>
          </w:divBdr>
        </w:div>
        <w:div w:id="128792770">
          <w:marLeft w:val="0"/>
          <w:marRight w:val="0"/>
          <w:marTop w:val="0"/>
          <w:marBottom w:val="0"/>
          <w:divBdr>
            <w:top w:val="none" w:sz="0" w:space="0" w:color="auto"/>
            <w:left w:val="none" w:sz="0" w:space="0" w:color="auto"/>
            <w:bottom w:val="none" w:sz="0" w:space="0" w:color="auto"/>
            <w:right w:val="none" w:sz="0" w:space="0" w:color="auto"/>
          </w:divBdr>
        </w:div>
        <w:div w:id="1883203093">
          <w:marLeft w:val="0"/>
          <w:marRight w:val="0"/>
          <w:marTop w:val="0"/>
          <w:marBottom w:val="0"/>
          <w:divBdr>
            <w:top w:val="none" w:sz="0" w:space="0" w:color="auto"/>
            <w:left w:val="none" w:sz="0" w:space="0" w:color="auto"/>
            <w:bottom w:val="none" w:sz="0" w:space="0" w:color="auto"/>
            <w:right w:val="none" w:sz="0" w:space="0" w:color="auto"/>
          </w:divBdr>
        </w:div>
        <w:div w:id="1280844699">
          <w:marLeft w:val="0"/>
          <w:marRight w:val="0"/>
          <w:marTop w:val="0"/>
          <w:marBottom w:val="0"/>
          <w:divBdr>
            <w:top w:val="none" w:sz="0" w:space="0" w:color="auto"/>
            <w:left w:val="none" w:sz="0" w:space="0" w:color="auto"/>
            <w:bottom w:val="none" w:sz="0" w:space="0" w:color="auto"/>
            <w:right w:val="none" w:sz="0" w:space="0" w:color="auto"/>
          </w:divBdr>
        </w:div>
        <w:div w:id="132406048">
          <w:marLeft w:val="0"/>
          <w:marRight w:val="0"/>
          <w:marTop w:val="0"/>
          <w:marBottom w:val="0"/>
          <w:divBdr>
            <w:top w:val="none" w:sz="0" w:space="0" w:color="auto"/>
            <w:left w:val="none" w:sz="0" w:space="0" w:color="auto"/>
            <w:bottom w:val="none" w:sz="0" w:space="0" w:color="auto"/>
            <w:right w:val="none" w:sz="0" w:space="0" w:color="auto"/>
          </w:divBdr>
          <w:divsChild>
            <w:div w:id="256713994">
              <w:marLeft w:val="0"/>
              <w:marRight w:val="0"/>
              <w:marTop w:val="0"/>
              <w:marBottom w:val="0"/>
              <w:divBdr>
                <w:top w:val="none" w:sz="0" w:space="0" w:color="auto"/>
                <w:left w:val="none" w:sz="0" w:space="0" w:color="auto"/>
                <w:bottom w:val="none" w:sz="0" w:space="0" w:color="auto"/>
                <w:right w:val="none" w:sz="0" w:space="0" w:color="auto"/>
              </w:divBdr>
            </w:div>
          </w:divsChild>
        </w:div>
        <w:div w:id="2114739061">
          <w:marLeft w:val="0"/>
          <w:marRight w:val="0"/>
          <w:marTop w:val="0"/>
          <w:marBottom w:val="0"/>
          <w:divBdr>
            <w:top w:val="none" w:sz="0" w:space="0" w:color="auto"/>
            <w:left w:val="none" w:sz="0" w:space="0" w:color="auto"/>
            <w:bottom w:val="none" w:sz="0" w:space="0" w:color="auto"/>
            <w:right w:val="none" w:sz="0" w:space="0" w:color="auto"/>
          </w:divBdr>
        </w:div>
        <w:div w:id="1239487108">
          <w:marLeft w:val="0"/>
          <w:marRight w:val="0"/>
          <w:marTop w:val="0"/>
          <w:marBottom w:val="0"/>
          <w:divBdr>
            <w:top w:val="none" w:sz="0" w:space="0" w:color="auto"/>
            <w:left w:val="none" w:sz="0" w:space="0" w:color="auto"/>
            <w:bottom w:val="none" w:sz="0" w:space="0" w:color="auto"/>
            <w:right w:val="none" w:sz="0" w:space="0" w:color="auto"/>
          </w:divBdr>
        </w:div>
        <w:div w:id="154089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Rader</dc:creator>
  <cp:lastModifiedBy>Alexx Goeller</cp:lastModifiedBy>
  <cp:revision>2</cp:revision>
  <dcterms:created xsi:type="dcterms:W3CDTF">2017-11-13T18:01:00Z</dcterms:created>
  <dcterms:modified xsi:type="dcterms:W3CDTF">2017-11-13T18:01:00Z</dcterms:modified>
</cp:coreProperties>
</file>