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ADC" w:rsidRDefault="00A33ADC" w:rsidP="009E4C60">
      <w:pPr>
        <w:jc w:val="center"/>
        <w:rPr>
          <w:rFonts w:ascii="Arial Bold" w:hAnsi="Arial Bold"/>
          <w:sz w:val="28"/>
        </w:rPr>
      </w:pPr>
    </w:p>
    <w:p w:rsidR="00A33ADC" w:rsidRDefault="00A33ADC" w:rsidP="009E4C60">
      <w:pPr>
        <w:jc w:val="center"/>
        <w:rPr>
          <w:rFonts w:ascii="Arial Bold" w:hAnsi="Arial Bold"/>
          <w:sz w:val="28"/>
        </w:rPr>
      </w:pPr>
    </w:p>
    <w:p w:rsidR="009E4C60" w:rsidRDefault="00D37EB7" w:rsidP="009E4C60">
      <w:pPr>
        <w:jc w:val="center"/>
        <w:rPr>
          <w:rFonts w:ascii="Arial Bold" w:hAnsi="Arial Bold"/>
          <w:sz w:val="28"/>
        </w:rPr>
      </w:pPr>
      <w:r>
        <w:rPr>
          <w:rFonts w:ascii="Arial Bold" w:hAnsi="Arial Bold"/>
          <w:sz w:val="28"/>
        </w:rPr>
        <w:t xml:space="preserve">DRAFT </w:t>
      </w:r>
    </w:p>
    <w:p w:rsidR="00A33ADC" w:rsidRDefault="00A33ADC" w:rsidP="009E4C60">
      <w:pPr>
        <w:jc w:val="center"/>
        <w:rPr>
          <w:rFonts w:ascii="Arial Bold" w:hAnsi="Arial Bold"/>
          <w:sz w:val="28"/>
        </w:rPr>
      </w:pPr>
      <w:r>
        <w:rPr>
          <w:rFonts w:ascii="Arial Bold" w:hAnsi="Arial Bold"/>
          <w:sz w:val="28"/>
        </w:rPr>
        <w:t>Art Collection Policy</w:t>
      </w:r>
    </w:p>
    <w:p w:rsidR="009E4C60" w:rsidRDefault="009E4C60" w:rsidP="009E4C60">
      <w:pPr>
        <w:jc w:val="center"/>
        <w:rPr>
          <w:rFonts w:ascii="Arial Bold" w:hAnsi="Arial Bold"/>
        </w:rPr>
      </w:pPr>
      <w:r>
        <w:rPr>
          <w:rFonts w:ascii="Arial Italic" w:hAnsi="Arial Italic"/>
        </w:rPr>
        <w:t>(Revised April 2019)</w:t>
      </w:r>
      <w:r>
        <w:rPr>
          <w:rFonts w:ascii="Arial Bold" w:hAnsi="Arial Bold"/>
        </w:rPr>
        <w:t xml:space="preserve"> </w:t>
      </w:r>
    </w:p>
    <w:p w:rsidR="009E4C60" w:rsidRDefault="009E4C60" w:rsidP="009E4C60">
      <w:pPr>
        <w:rPr>
          <w:rFonts w:ascii="Arial Bold" w:hAnsi="Arial Bold"/>
        </w:rPr>
      </w:pPr>
    </w:p>
    <w:p w:rsidR="009E4C60" w:rsidRDefault="009E4C60" w:rsidP="009E4C60">
      <w:pPr>
        <w:rPr>
          <w:rFonts w:ascii="Arial" w:hAnsi="Arial"/>
        </w:rPr>
      </w:pPr>
    </w:p>
    <w:p w:rsidR="009E4C60" w:rsidRDefault="00A33ADC" w:rsidP="009E4C60">
      <w:pPr>
        <w:rPr>
          <w:rFonts w:ascii="Arial Bold" w:hAnsi="Arial Bold"/>
        </w:rPr>
      </w:pPr>
      <w:r>
        <w:rPr>
          <w:rFonts w:ascii="Arial" w:hAnsi="Arial"/>
        </w:rPr>
        <w:t xml:space="preserve">This addition to the Art Collection Policy </w:t>
      </w:r>
      <w:proofErr w:type="gramStart"/>
      <w:r>
        <w:rPr>
          <w:rFonts w:ascii="Arial" w:hAnsi="Arial"/>
        </w:rPr>
        <w:t>has been unanimously recommended by the Art Acquisition Committee and reviewed by the Division’s attorney</w:t>
      </w:r>
      <w:proofErr w:type="gramEnd"/>
      <w:r>
        <w:rPr>
          <w:rFonts w:ascii="Arial" w:hAnsi="Arial"/>
        </w:rPr>
        <w:t>.</w:t>
      </w:r>
    </w:p>
    <w:p w:rsidR="009E4C60" w:rsidRDefault="009E4C60" w:rsidP="009E4C60">
      <w:pPr>
        <w:pStyle w:val="ListParagraph"/>
        <w:rPr>
          <w:rFonts w:ascii="Arial" w:hAnsi="Arial" w:cs="Arial"/>
          <w:color w:val="auto"/>
          <w:szCs w:val="24"/>
          <w:shd w:val="clear" w:color="auto" w:fill="FFFFFF"/>
        </w:rPr>
      </w:pPr>
    </w:p>
    <w:p w:rsidR="00A33ADC" w:rsidRPr="009E4C60" w:rsidRDefault="00A33ADC" w:rsidP="009E4C60">
      <w:pPr>
        <w:pStyle w:val="ListParagraph"/>
        <w:rPr>
          <w:rFonts w:ascii="Arial" w:hAnsi="Arial" w:cs="Arial"/>
          <w:color w:val="auto"/>
          <w:szCs w:val="24"/>
          <w:shd w:val="clear" w:color="auto" w:fill="FFFFFF"/>
        </w:rPr>
      </w:pPr>
    </w:p>
    <w:p w:rsidR="009E4C60" w:rsidRPr="00A33ADC" w:rsidRDefault="009E4C60" w:rsidP="009E4C60">
      <w:pPr>
        <w:numPr>
          <w:ilvl w:val="0"/>
          <w:numId w:val="4"/>
        </w:numPr>
        <w:tabs>
          <w:tab w:val="clear" w:pos="360"/>
          <w:tab w:val="num" w:pos="720"/>
        </w:tabs>
        <w:ind w:left="720" w:hanging="360"/>
        <w:rPr>
          <w:rFonts w:ascii="Arial" w:hAnsi="Arial" w:cs="Arial"/>
          <w:color w:val="auto"/>
        </w:rPr>
      </w:pPr>
      <w:proofErr w:type="gramStart"/>
      <w:r w:rsidRPr="00A33ADC">
        <w:rPr>
          <w:rFonts w:ascii="Arial" w:hAnsi="Arial" w:cs="Arial"/>
          <w:color w:val="auto"/>
          <w:shd w:val="clear" w:color="auto" w:fill="FFFFFF"/>
        </w:rPr>
        <w:t>When a</w:t>
      </w:r>
      <w:r w:rsidR="00A33ADC" w:rsidRPr="00A33ADC">
        <w:rPr>
          <w:rFonts w:ascii="Arial" w:hAnsi="Arial" w:cs="Arial"/>
          <w:color w:val="auto"/>
          <w:shd w:val="clear" w:color="auto" w:fill="FFFFFF"/>
        </w:rPr>
        <w:t xml:space="preserve">cquisition opportunities arise, through auction, </w:t>
      </w:r>
      <w:r w:rsidRPr="00A33ADC">
        <w:rPr>
          <w:rFonts w:ascii="Arial" w:hAnsi="Arial" w:cs="Arial"/>
          <w:color w:val="auto"/>
          <w:shd w:val="clear" w:color="auto" w:fill="FFFFFF"/>
        </w:rPr>
        <w:t>private estate sales, etc., that do not allow for the normal Committee and Board review process or electronic poll due to time constraints, the Director or her/his designee</w:t>
      </w:r>
      <w:r w:rsidRPr="00A33ADC">
        <w:rPr>
          <w:rFonts w:ascii="Arial" w:hAnsi="Arial" w:cs="Arial"/>
          <w:color w:val="0000FF"/>
          <w:shd w:val="clear" w:color="auto" w:fill="FFFFFF"/>
        </w:rPr>
        <w:t xml:space="preserve"> </w:t>
      </w:r>
      <w:r w:rsidRPr="00A33ADC">
        <w:rPr>
          <w:rFonts w:ascii="Arial" w:hAnsi="Arial" w:cs="Arial"/>
          <w:color w:val="auto"/>
          <w:shd w:val="clear" w:color="auto" w:fill="FFFFFF"/>
        </w:rPr>
        <w:t xml:space="preserve">is authorized to commit up to $10,000 (as outright purchase or as deposit pending </w:t>
      </w:r>
      <w:r w:rsidRPr="00A33ADC">
        <w:rPr>
          <w:rFonts w:ascii="Arial" w:hAnsi="Arial" w:cs="Arial"/>
          <w:color w:val="auto"/>
          <w:shd w:val="clear" w:color="auto" w:fill="FFFFFF"/>
        </w:rPr>
        <w:lastRenderedPageBreak/>
        <w:t>Committee review) for the acquisition of works previously identified by the Acquisition Committee as “vital” to the Alice Merrill Horne Collection.</w:t>
      </w:r>
      <w:proofErr w:type="gramEnd"/>
    </w:p>
    <w:p w:rsidR="009E4C60" w:rsidRPr="009E4C60" w:rsidRDefault="009E4C60" w:rsidP="009E4C60">
      <w:pPr>
        <w:rPr>
          <w:rFonts w:ascii="Arial" w:hAnsi="Arial" w:cs="Arial"/>
          <w:color w:val="auto"/>
        </w:rPr>
      </w:pPr>
      <w:bookmarkStart w:id="0" w:name="_GoBack"/>
      <w:bookmarkEnd w:id="0"/>
    </w:p>
    <w:sectPr w:rsidR="009E4C60" w:rsidRPr="009E4C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Ital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94EE873"/>
    <w:styleLink w:val="List1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3"/>
    <w:numStyleLink w:val="List1"/>
  </w:abstractNum>
  <w:abstractNum w:abstractNumId="2" w15:restartNumberingAfterBreak="0">
    <w:nsid w:val="00000003"/>
    <w:multiLevelType w:val="multilevel"/>
    <w:tmpl w:val="894EE875"/>
    <w:styleLink w:val="List32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3" w15:restartNumberingAfterBreak="0">
    <w:nsid w:val="00000004"/>
    <w:multiLevelType w:val="multilevel"/>
    <w:tmpl w:val="894EE875"/>
    <w:numStyleLink w:val="List32"/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C60"/>
    <w:rsid w:val="00930967"/>
    <w:rsid w:val="009E4C60"/>
    <w:rsid w:val="00A33ADC"/>
    <w:rsid w:val="00D3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E5BFD"/>
  <w15:chartTrackingRefBased/>
  <w15:docId w15:val="{5B2CA664-FF05-466D-89DC-41980228E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C60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1">
    <w:name w:val="List 1"/>
    <w:rsid w:val="009E4C60"/>
    <w:pPr>
      <w:numPr>
        <w:numId w:val="1"/>
      </w:numPr>
    </w:pPr>
  </w:style>
  <w:style w:type="numbering" w:customStyle="1" w:styleId="List32">
    <w:name w:val="List 32"/>
    <w:rsid w:val="009E4C60"/>
    <w:pPr>
      <w:numPr>
        <w:numId w:val="3"/>
      </w:numPr>
    </w:pPr>
  </w:style>
  <w:style w:type="paragraph" w:styleId="ListParagraph">
    <w:name w:val="List Paragraph"/>
    <w:qFormat/>
    <w:rsid w:val="009E4C60"/>
    <w:pPr>
      <w:spacing w:after="0" w:line="240" w:lineRule="auto"/>
      <w:ind w:left="720"/>
    </w:pPr>
    <w:rPr>
      <w:rFonts w:ascii="Times New Roman" w:eastAsia="ヒラギノ角ゴ Pro W3" w:hAnsi="Times New Roman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567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Starr</dc:creator>
  <cp:keywords/>
  <dc:description/>
  <cp:lastModifiedBy>Victoria Bourns</cp:lastModifiedBy>
  <cp:revision>2</cp:revision>
  <dcterms:created xsi:type="dcterms:W3CDTF">2019-05-07T18:44:00Z</dcterms:created>
  <dcterms:modified xsi:type="dcterms:W3CDTF">2019-05-07T18:44:00Z</dcterms:modified>
</cp:coreProperties>
</file>