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205" w:rsidRDefault="00276176">
      <w:r>
        <w:rPr>
          <w:noProof/>
        </w:rPr>
        <mc:AlternateContent>
          <mc:Choice Requires="wpg">
            <w:drawing>
              <wp:anchor distT="0" distB="0" distL="114300" distR="114300" simplePos="0" relativeHeight="251662336" behindDoc="0" locked="0" layoutInCell="1" allowOverlap="1">
                <wp:simplePos x="0" y="0"/>
                <wp:positionH relativeFrom="column">
                  <wp:posOffset>-314325</wp:posOffset>
                </wp:positionH>
                <wp:positionV relativeFrom="paragraph">
                  <wp:posOffset>161925</wp:posOffset>
                </wp:positionV>
                <wp:extent cx="7086600" cy="1010285"/>
                <wp:effectExtent l="38100" t="38100" r="0" b="0"/>
                <wp:wrapNone/>
                <wp:docPr id="4" name="Group 4"/>
                <wp:cNvGraphicFramePr/>
                <a:graphic xmlns:a="http://schemas.openxmlformats.org/drawingml/2006/main">
                  <a:graphicData uri="http://schemas.microsoft.com/office/word/2010/wordprocessingGroup">
                    <wpg:wgp>
                      <wpg:cNvGrpSpPr/>
                      <wpg:grpSpPr>
                        <a:xfrm>
                          <a:off x="0" y="0"/>
                          <a:ext cx="7086600" cy="1010285"/>
                          <a:chOff x="0" y="0"/>
                          <a:chExt cx="7086600" cy="1010285"/>
                        </a:xfrm>
                      </wpg:grpSpPr>
                      <wps:wsp>
                        <wps:cNvPr id="217" name="Text Box 2"/>
                        <wps:cNvSpPr txBox="1">
                          <a:spLocks noChangeArrowheads="1"/>
                        </wps:cNvSpPr>
                        <wps:spPr bwMode="auto">
                          <a:xfrm>
                            <a:off x="5867400" y="142875"/>
                            <a:ext cx="1219200" cy="867410"/>
                          </a:xfrm>
                          <a:prstGeom prst="rect">
                            <a:avLst/>
                          </a:prstGeom>
                          <a:noFill/>
                          <a:ln w="9525">
                            <a:noFill/>
                            <a:miter lim="800000"/>
                            <a:headEnd/>
                            <a:tailEnd/>
                          </a:ln>
                        </wps:spPr>
                        <wps:txbx>
                          <w:txbxContent>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349"/>
                                <w:gridCol w:w="1413"/>
                              </w:tblGrid>
                              <w:tr w:rsidR="00791D0B" w:rsidTr="00791D0B">
                                <w:trPr>
                                  <w:trHeight w:val="353"/>
                                </w:trPr>
                                <w:tc>
                                  <w:tcPr>
                                    <w:tcW w:w="2155" w:type="dxa"/>
                                    <w:gridSpan w:val="2"/>
                                  </w:tcPr>
                                  <w:p w:rsidR="00791D0B" w:rsidRPr="00D60D74" w:rsidRDefault="00791D0B">
                                    <w:pPr>
                                      <w:rPr>
                                        <w:rFonts w:ascii="Times New Roman" w:hAnsi="Times New Roman" w:cs="Times New Roman"/>
                                        <w:b/>
                                        <w:sz w:val="24"/>
                                        <w:szCs w:val="24"/>
                                      </w:rPr>
                                    </w:pPr>
                                    <w:r w:rsidRPr="00507972">
                                      <w:rPr>
                                        <w:rFonts w:ascii="Times New Roman" w:hAnsi="Times New Roman" w:cs="Times New Roman"/>
                                        <w:b/>
                                        <w:sz w:val="28"/>
                                        <w:szCs w:val="24"/>
                                      </w:rPr>
                                      <w:t>Type</w:t>
                                    </w:r>
                                  </w:p>
                                </w:tc>
                              </w:tr>
                              <w:tr w:rsidR="00791D0B" w:rsidTr="00791D0B">
                                <w:tc>
                                  <w:tcPr>
                                    <w:tcW w:w="625" w:type="dxa"/>
                                  </w:tcPr>
                                  <w:p w:rsidR="00791D0B" w:rsidRPr="00D60D74" w:rsidRDefault="0082335D">
                                    <w:pPr>
                                      <w:rPr>
                                        <w:b/>
                                        <w:sz w:val="24"/>
                                        <w:szCs w:val="24"/>
                                      </w:rPr>
                                    </w:pPr>
                                    <w:r w:rsidRPr="00D60D74">
                                      <w:rPr>
                                        <w:b/>
                                        <w:sz w:val="24"/>
                                        <w:szCs w:val="24"/>
                                      </w:rPr>
                                      <w:t>X</w:t>
                                    </w:r>
                                  </w:p>
                                </w:tc>
                                <w:tc>
                                  <w:tcPr>
                                    <w:tcW w:w="1530" w:type="dxa"/>
                                  </w:tcPr>
                                  <w:p w:rsidR="00791D0B" w:rsidRPr="00D60D74" w:rsidRDefault="00791D0B">
                                    <w:pPr>
                                      <w:rPr>
                                        <w:rFonts w:cs="Times New Roman"/>
                                        <w:b/>
                                        <w:sz w:val="24"/>
                                        <w:szCs w:val="24"/>
                                      </w:rPr>
                                    </w:pPr>
                                    <w:r w:rsidRPr="00D60D74">
                                      <w:rPr>
                                        <w:rFonts w:cs="Times New Roman"/>
                                        <w:b/>
                                        <w:sz w:val="24"/>
                                        <w:szCs w:val="24"/>
                                      </w:rPr>
                                      <w:t>Decision</w:t>
                                    </w:r>
                                  </w:p>
                                </w:tc>
                              </w:tr>
                              <w:tr w:rsidR="00791D0B" w:rsidTr="00791D0B">
                                <w:tc>
                                  <w:tcPr>
                                    <w:tcW w:w="625" w:type="dxa"/>
                                  </w:tcPr>
                                  <w:p w:rsidR="00791D0B" w:rsidRPr="00D60D74" w:rsidRDefault="00791D0B">
                                    <w:pPr>
                                      <w:rPr>
                                        <w:b/>
                                        <w:sz w:val="24"/>
                                        <w:szCs w:val="24"/>
                                      </w:rPr>
                                    </w:pPr>
                                  </w:p>
                                </w:tc>
                                <w:tc>
                                  <w:tcPr>
                                    <w:tcW w:w="1530" w:type="dxa"/>
                                  </w:tcPr>
                                  <w:p w:rsidR="00791D0B" w:rsidRPr="00D60D74" w:rsidRDefault="00791D0B">
                                    <w:pPr>
                                      <w:rPr>
                                        <w:rFonts w:cs="Times New Roman"/>
                                        <w:b/>
                                        <w:sz w:val="24"/>
                                        <w:szCs w:val="24"/>
                                      </w:rPr>
                                    </w:pPr>
                                    <w:r w:rsidRPr="00D60D74">
                                      <w:rPr>
                                        <w:rFonts w:cs="Times New Roman"/>
                                        <w:b/>
                                        <w:sz w:val="24"/>
                                        <w:szCs w:val="24"/>
                                      </w:rPr>
                                      <w:t>Information</w:t>
                                    </w:r>
                                  </w:p>
                                </w:tc>
                              </w:tr>
                            </w:tbl>
                            <w:p w:rsidR="00791D0B" w:rsidRDefault="00791D0B"/>
                          </w:txbxContent>
                        </wps:txbx>
                        <wps:bodyPr rot="0" vert="horz" wrap="square" lIns="91440" tIns="45720" rIns="91440" bIns="45720" anchor="t" anchorCtr="0">
                          <a:noAutofit/>
                        </wps:bodyPr>
                      </wps:wsp>
                      <wps:wsp>
                        <wps:cNvPr id="2" name="Text Box 2"/>
                        <wps:cNvSpPr txBox="1">
                          <a:spLocks noChangeArrowheads="1"/>
                        </wps:cNvSpPr>
                        <wps:spPr bwMode="auto">
                          <a:xfrm>
                            <a:off x="0" y="0"/>
                            <a:ext cx="5848350" cy="781685"/>
                          </a:xfrm>
                          <a:prstGeom prst="rect">
                            <a:avLst/>
                          </a:prstGeom>
                          <a:solidFill>
                            <a:srgbClr val="EAEAEA"/>
                          </a:solidFill>
                          <a:ln w="88900" cmpd="dbl">
                            <a:solidFill>
                              <a:schemeClr val="tx1">
                                <a:lumMod val="85000"/>
                                <a:lumOff val="15000"/>
                              </a:schemeClr>
                            </a:solidFill>
                            <a:miter lim="800000"/>
                            <a:headEnd/>
                            <a:tailEnd/>
                          </a:ln>
                        </wps:spPr>
                        <wps:txbx>
                          <w:txbxContent>
                            <w:p w:rsidR="00C55349" w:rsidRPr="00D442CE" w:rsidRDefault="00C55349" w:rsidP="00C55349">
                              <w:pPr>
                                <w:spacing w:before="120" w:after="0" w:line="240" w:lineRule="auto"/>
                                <w:jc w:val="center"/>
                                <w:rPr>
                                  <w:rFonts w:ascii="Times New Roman" w:hAnsi="Times New Roman" w:cs="Times New Roman"/>
                                  <w:b/>
                                  <w:smallCaps/>
                                  <w:color w:val="000000" w:themeColor="text1"/>
                                  <w:sz w:val="36"/>
                                  <w:szCs w:val="31"/>
                                </w:rPr>
                              </w:pPr>
                              <w:r w:rsidRPr="00D442CE">
                                <w:rPr>
                                  <w:rFonts w:ascii="Times New Roman" w:hAnsi="Times New Roman" w:cs="Times New Roman"/>
                                  <w:b/>
                                  <w:smallCaps/>
                                  <w:color w:val="000000" w:themeColor="text1"/>
                                  <w:sz w:val="36"/>
                                  <w:szCs w:val="31"/>
                                </w:rPr>
                                <w:t>Homeless Coordinating Committee Agenda Item</w:t>
                              </w:r>
                            </w:p>
                            <w:p w:rsidR="00C55349" w:rsidRPr="00C55349" w:rsidRDefault="00C55349" w:rsidP="00BE1AA7">
                              <w:pPr>
                                <w:spacing w:before="120" w:after="0" w:line="240" w:lineRule="auto"/>
                                <w:jc w:val="center"/>
                                <w:rPr>
                                  <w:color w:val="000000" w:themeColor="text1"/>
                                  <w14:textOutline w14:w="9525" w14:cap="rnd" w14:cmpd="sng" w14:algn="ctr">
                                    <w14:noFill/>
                                    <w14:prstDash w14:val="solid"/>
                                    <w14:bevel/>
                                  </w14:textOutline>
                                </w:rPr>
                              </w:pPr>
                              <w:r w:rsidRPr="00C55349">
                                <w:rPr>
                                  <w:rFonts w:ascii="Times New Roman" w:hAnsi="Times New Roman" w:cs="Times New Roman"/>
                                  <w:color w:val="000000" w:themeColor="text1"/>
                                  <w:sz w:val="28"/>
                                  <w:szCs w:val="28"/>
                                </w:rPr>
                                <w:t>Executive Summary</w:t>
                              </w:r>
                            </w:p>
                          </w:txbxContent>
                        </wps:txbx>
                        <wps:bodyPr rot="0" vert="horz" wrap="square" lIns="91440" tIns="45720" rIns="91440" bIns="45720" anchor="t" anchorCtr="0">
                          <a:noAutofit/>
                        </wps:bodyPr>
                      </wps:wsp>
                    </wpg:wgp>
                  </a:graphicData>
                </a:graphic>
              </wp:anchor>
            </w:drawing>
          </mc:Choice>
          <mc:Fallback>
            <w:pict>
              <v:group id="Group 4" o:spid="_x0000_s1026" style="position:absolute;margin-left:-24.75pt;margin-top:12.75pt;width:558pt;height:79.55pt;z-index:251662336" coordsize="70866,1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">
                <v:shapetype id="_x0000_t202" coordsize="21600,21600" o:spt="202" path="m,l,21600r21600,l21600,xe">
                  <v:stroke joinstyle="miter"/>
                  <v:path gradientshapeok="t" o:connecttype="rect"/>
                </v:shapetype>
                <v:shape id="Text Box 2" o:spid="_x0000_s1027" type="#_x0000_t202" style="position:absolute;left:58674;top:1428;width:12192;height:8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349"/>
                          <w:gridCol w:w="1413"/>
                        </w:tblGrid>
                        <w:tr w:rsidR="00791D0B" w:rsidTr="00791D0B">
                          <w:trPr>
                            <w:trHeight w:val="353"/>
                          </w:trPr>
                          <w:tc>
                            <w:tcPr>
                              <w:tcW w:w="2155" w:type="dxa"/>
                              <w:gridSpan w:val="2"/>
                            </w:tcPr>
                            <w:p w:rsidR="00791D0B" w:rsidRPr="00D60D74" w:rsidRDefault="00791D0B">
                              <w:pPr>
                                <w:rPr>
                                  <w:rFonts w:ascii="Times New Roman" w:hAnsi="Times New Roman" w:cs="Times New Roman"/>
                                  <w:b/>
                                  <w:sz w:val="24"/>
                                  <w:szCs w:val="24"/>
                                </w:rPr>
                              </w:pPr>
                              <w:r w:rsidRPr="00507972">
                                <w:rPr>
                                  <w:rFonts w:ascii="Times New Roman" w:hAnsi="Times New Roman" w:cs="Times New Roman"/>
                                  <w:b/>
                                  <w:sz w:val="28"/>
                                  <w:szCs w:val="24"/>
                                </w:rPr>
                                <w:t>Type</w:t>
                              </w:r>
                            </w:p>
                          </w:tc>
                        </w:tr>
                        <w:tr w:rsidR="00791D0B" w:rsidTr="00791D0B">
                          <w:tc>
                            <w:tcPr>
                              <w:tcW w:w="625" w:type="dxa"/>
                            </w:tcPr>
                            <w:p w:rsidR="00791D0B" w:rsidRPr="00D60D74" w:rsidRDefault="0082335D">
                              <w:pPr>
                                <w:rPr>
                                  <w:b/>
                                  <w:sz w:val="24"/>
                                  <w:szCs w:val="24"/>
                                </w:rPr>
                              </w:pPr>
                              <w:r w:rsidRPr="00D60D74">
                                <w:rPr>
                                  <w:b/>
                                  <w:sz w:val="24"/>
                                  <w:szCs w:val="24"/>
                                </w:rPr>
                                <w:t>X</w:t>
                              </w:r>
                            </w:p>
                          </w:tc>
                          <w:tc>
                            <w:tcPr>
                              <w:tcW w:w="1530" w:type="dxa"/>
                            </w:tcPr>
                            <w:p w:rsidR="00791D0B" w:rsidRPr="00D60D74" w:rsidRDefault="00791D0B">
                              <w:pPr>
                                <w:rPr>
                                  <w:rFonts w:cs="Times New Roman"/>
                                  <w:b/>
                                  <w:sz w:val="24"/>
                                  <w:szCs w:val="24"/>
                                </w:rPr>
                              </w:pPr>
                              <w:r w:rsidRPr="00D60D74">
                                <w:rPr>
                                  <w:rFonts w:cs="Times New Roman"/>
                                  <w:b/>
                                  <w:sz w:val="24"/>
                                  <w:szCs w:val="24"/>
                                </w:rPr>
                                <w:t>Decision</w:t>
                              </w:r>
                            </w:p>
                          </w:tc>
                        </w:tr>
                        <w:tr w:rsidR="00791D0B" w:rsidTr="00791D0B">
                          <w:tc>
                            <w:tcPr>
                              <w:tcW w:w="625" w:type="dxa"/>
                            </w:tcPr>
                            <w:p w:rsidR="00791D0B" w:rsidRPr="00D60D74" w:rsidRDefault="00791D0B">
                              <w:pPr>
                                <w:rPr>
                                  <w:b/>
                                  <w:sz w:val="24"/>
                                  <w:szCs w:val="24"/>
                                </w:rPr>
                              </w:pPr>
                            </w:p>
                          </w:tc>
                          <w:tc>
                            <w:tcPr>
                              <w:tcW w:w="1530" w:type="dxa"/>
                            </w:tcPr>
                            <w:p w:rsidR="00791D0B" w:rsidRPr="00D60D74" w:rsidRDefault="00791D0B">
                              <w:pPr>
                                <w:rPr>
                                  <w:rFonts w:cs="Times New Roman"/>
                                  <w:b/>
                                  <w:sz w:val="24"/>
                                  <w:szCs w:val="24"/>
                                </w:rPr>
                              </w:pPr>
                              <w:r w:rsidRPr="00D60D74">
                                <w:rPr>
                                  <w:rFonts w:cs="Times New Roman"/>
                                  <w:b/>
                                  <w:sz w:val="24"/>
                                  <w:szCs w:val="24"/>
                                </w:rPr>
                                <w:t>Information</w:t>
                              </w:r>
                            </w:p>
                          </w:tc>
                        </w:tr>
                      </w:tbl>
                      <w:p w:rsidR="00791D0B" w:rsidRDefault="00791D0B"/>
                    </w:txbxContent>
                  </v:textbox>
                </v:shape>
                <v:shape id="Text Box 2" o:spid="_x0000_s1028" type="#_x0000_t202" style="position:absolute;width:58483;height:7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" fillcolor="#eaeaea" strokecolor="#272727 [2749]" strokeweight="7pt">
                  <v:stroke linestyle="thinThin"/>
                  <v:textbox>
                    <w:txbxContent>
                      <w:p w:rsidR="00C55349" w:rsidRPr="00D442CE" w:rsidRDefault="00C55349" w:rsidP="00C55349">
                        <w:pPr>
                          <w:spacing w:before="120" w:after="0" w:line="240" w:lineRule="auto"/>
                          <w:jc w:val="center"/>
                          <w:rPr>
                            <w:rFonts w:ascii="Times New Roman" w:hAnsi="Times New Roman" w:cs="Times New Roman"/>
                            <w:b/>
                            <w:smallCaps/>
                            <w:color w:val="000000" w:themeColor="text1"/>
                            <w:sz w:val="36"/>
                            <w:szCs w:val="31"/>
                          </w:rPr>
                        </w:pPr>
                        <w:r w:rsidRPr="00D442CE">
                          <w:rPr>
                            <w:rFonts w:ascii="Times New Roman" w:hAnsi="Times New Roman" w:cs="Times New Roman"/>
                            <w:b/>
                            <w:smallCaps/>
                            <w:color w:val="000000" w:themeColor="text1"/>
                            <w:sz w:val="36"/>
                            <w:szCs w:val="31"/>
                          </w:rPr>
                          <w:t>Homeless Coordinating Committee Agenda Item</w:t>
                        </w:r>
                      </w:p>
                      <w:p w:rsidR="00C55349" w:rsidRPr="00C55349" w:rsidRDefault="00C55349" w:rsidP="00BE1AA7">
                        <w:pPr>
                          <w:spacing w:before="120" w:after="0" w:line="240" w:lineRule="auto"/>
                          <w:jc w:val="center"/>
                          <w:rPr>
                            <w:color w:val="000000" w:themeColor="text1"/>
                            <w14:textOutline w14:w="9525" w14:cap="rnd" w14:cmpd="sng" w14:algn="ctr">
                              <w14:noFill/>
                              <w14:prstDash w14:val="solid"/>
                              <w14:bevel/>
                            </w14:textOutline>
                          </w:rPr>
                        </w:pPr>
                        <w:r w:rsidRPr="00C55349">
                          <w:rPr>
                            <w:rFonts w:ascii="Times New Roman" w:hAnsi="Times New Roman" w:cs="Times New Roman"/>
                            <w:color w:val="000000" w:themeColor="text1"/>
                            <w:sz w:val="28"/>
                            <w:szCs w:val="28"/>
                          </w:rPr>
                          <w:t>Executive Summary</w:t>
                        </w:r>
                      </w:p>
                    </w:txbxContent>
                  </v:textbox>
                </v:shape>
              </v:group>
            </w:pict>
          </mc:Fallback>
        </mc:AlternateContent>
      </w:r>
    </w:p>
    <w:p w:rsidR="004E76A1" w:rsidRDefault="004E76A1"/>
    <w:p w:rsidR="00C55349" w:rsidRDefault="00C55349"/>
    <w:p w:rsidR="00C55349" w:rsidRDefault="00C55349"/>
    <w:p w:rsidR="00C867DF" w:rsidRDefault="00C867DF"/>
    <w:tbl>
      <w:tblPr>
        <w:tblStyle w:val="TableGrid"/>
        <w:tblW w:w="1034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375"/>
      </w:tblGrid>
      <w:tr w:rsidR="003F1205" w:rsidRPr="00D60D74" w:rsidTr="00C55349">
        <w:trPr>
          <w:trHeight w:val="422"/>
        </w:trPr>
        <w:tc>
          <w:tcPr>
            <w:tcW w:w="2970" w:type="dxa"/>
          </w:tcPr>
          <w:p w:rsidR="003F1205" w:rsidRPr="00D60D74" w:rsidRDefault="003A1EB0" w:rsidP="007435B1">
            <w:pPr>
              <w:rPr>
                <w:rFonts w:ascii="Times New Roman" w:hAnsi="Times New Roman" w:cs="Times New Roman"/>
                <w:b/>
                <w:sz w:val="28"/>
                <w:szCs w:val="28"/>
              </w:rPr>
            </w:pPr>
            <w:r w:rsidRPr="00D60D74">
              <w:rPr>
                <w:rFonts w:ascii="Times New Roman" w:hAnsi="Times New Roman" w:cs="Times New Roman"/>
                <w:b/>
                <w:sz w:val="28"/>
                <w:szCs w:val="28"/>
              </w:rPr>
              <w:t xml:space="preserve">MEETING </w:t>
            </w:r>
            <w:r w:rsidR="003F1205" w:rsidRPr="00D60D74">
              <w:rPr>
                <w:rFonts w:ascii="Times New Roman" w:hAnsi="Times New Roman" w:cs="Times New Roman"/>
                <w:b/>
                <w:sz w:val="28"/>
                <w:szCs w:val="28"/>
              </w:rPr>
              <w:t xml:space="preserve">DATE: </w:t>
            </w:r>
          </w:p>
          <w:p w:rsidR="00791D0B" w:rsidRPr="00D60D74" w:rsidRDefault="00791D0B" w:rsidP="007435B1">
            <w:pPr>
              <w:rPr>
                <w:rFonts w:ascii="Times New Roman" w:hAnsi="Times New Roman" w:cs="Times New Roman"/>
                <w:b/>
                <w:sz w:val="28"/>
                <w:szCs w:val="28"/>
              </w:rPr>
            </w:pPr>
          </w:p>
        </w:tc>
        <w:tc>
          <w:tcPr>
            <w:tcW w:w="7375" w:type="dxa"/>
          </w:tcPr>
          <w:p w:rsidR="003F1205" w:rsidRPr="00D60D74" w:rsidRDefault="002571BD" w:rsidP="007435B1">
            <w:pPr>
              <w:rPr>
                <w:rFonts w:ascii="Times New Roman" w:hAnsi="Times New Roman" w:cs="Times New Roman"/>
                <w:sz w:val="28"/>
                <w:szCs w:val="28"/>
              </w:rPr>
            </w:pPr>
            <w:r>
              <w:rPr>
                <w:rFonts w:ascii="Times New Roman" w:hAnsi="Times New Roman" w:cs="Times New Roman"/>
                <w:sz w:val="28"/>
                <w:szCs w:val="28"/>
              </w:rPr>
              <w:t>February 20, 2019</w:t>
            </w:r>
          </w:p>
        </w:tc>
      </w:tr>
      <w:tr w:rsidR="003F1205" w:rsidRPr="00D60D74" w:rsidTr="00C55349">
        <w:tc>
          <w:tcPr>
            <w:tcW w:w="2970" w:type="dxa"/>
          </w:tcPr>
          <w:p w:rsidR="003F1205" w:rsidRPr="00D60D74" w:rsidRDefault="003F1205" w:rsidP="007435B1">
            <w:pPr>
              <w:rPr>
                <w:rFonts w:ascii="Times New Roman" w:hAnsi="Times New Roman" w:cs="Times New Roman"/>
                <w:b/>
                <w:sz w:val="28"/>
                <w:szCs w:val="28"/>
              </w:rPr>
            </w:pPr>
            <w:r w:rsidRPr="00D60D74">
              <w:rPr>
                <w:rFonts w:ascii="Times New Roman" w:hAnsi="Times New Roman" w:cs="Times New Roman"/>
                <w:b/>
                <w:sz w:val="28"/>
                <w:szCs w:val="28"/>
              </w:rPr>
              <w:t xml:space="preserve">SUBJECT: </w:t>
            </w:r>
          </w:p>
          <w:p w:rsidR="00791D0B" w:rsidRPr="00D60D74" w:rsidRDefault="00791D0B" w:rsidP="007435B1">
            <w:pPr>
              <w:rPr>
                <w:rFonts w:ascii="Times New Roman" w:hAnsi="Times New Roman" w:cs="Times New Roman"/>
                <w:b/>
                <w:sz w:val="28"/>
                <w:szCs w:val="28"/>
              </w:rPr>
            </w:pPr>
          </w:p>
        </w:tc>
        <w:tc>
          <w:tcPr>
            <w:tcW w:w="7375" w:type="dxa"/>
          </w:tcPr>
          <w:p w:rsidR="003F1205" w:rsidRPr="00D60D74" w:rsidRDefault="002571BD" w:rsidP="00C755C2">
            <w:pPr>
              <w:rPr>
                <w:rFonts w:ascii="Times New Roman" w:hAnsi="Times New Roman" w:cs="Times New Roman"/>
                <w:sz w:val="28"/>
                <w:szCs w:val="28"/>
              </w:rPr>
            </w:pPr>
            <w:r>
              <w:rPr>
                <w:rFonts w:ascii="Times New Roman" w:hAnsi="Times New Roman" w:cs="Times New Roman"/>
                <w:sz w:val="28"/>
                <w:szCs w:val="28"/>
              </w:rPr>
              <w:t>S</w:t>
            </w:r>
            <w:r w:rsidR="00C755C2">
              <w:rPr>
                <w:rFonts w:ascii="Times New Roman" w:hAnsi="Times New Roman" w:cs="Times New Roman"/>
                <w:sz w:val="28"/>
                <w:szCs w:val="28"/>
              </w:rPr>
              <w:t>helter the Homeless</w:t>
            </w:r>
          </w:p>
        </w:tc>
      </w:tr>
      <w:tr w:rsidR="003F1205" w:rsidRPr="00D60D74" w:rsidTr="00C55349">
        <w:tc>
          <w:tcPr>
            <w:tcW w:w="2970" w:type="dxa"/>
          </w:tcPr>
          <w:p w:rsidR="00791D0B" w:rsidRPr="00D60D74" w:rsidRDefault="003F1205" w:rsidP="007435B1">
            <w:pPr>
              <w:rPr>
                <w:rFonts w:ascii="Times New Roman" w:hAnsi="Times New Roman" w:cs="Times New Roman"/>
                <w:b/>
                <w:sz w:val="28"/>
                <w:szCs w:val="28"/>
              </w:rPr>
            </w:pPr>
            <w:r w:rsidRPr="00D60D74">
              <w:rPr>
                <w:rFonts w:ascii="Times New Roman" w:hAnsi="Times New Roman" w:cs="Times New Roman"/>
                <w:b/>
                <w:sz w:val="28"/>
                <w:szCs w:val="28"/>
              </w:rPr>
              <w:t>SUBMITTED BY:</w:t>
            </w:r>
          </w:p>
        </w:tc>
        <w:tc>
          <w:tcPr>
            <w:tcW w:w="7375" w:type="dxa"/>
          </w:tcPr>
          <w:p w:rsidR="003F1205" w:rsidRPr="00D60D74" w:rsidRDefault="004E36E0" w:rsidP="007435B1">
            <w:pPr>
              <w:rPr>
                <w:rFonts w:ascii="Times New Roman" w:hAnsi="Times New Roman" w:cs="Times New Roman"/>
                <w:sz w:val="28"/>
                <w:szCs w:val="28"/>
              </w:rPr>
            </w:pPr>
            <w:r>
              <w:rPr>
                <w:rFonts w:ascii="Times New Roman" w:hAnsi="Times New Roman" w:cs="Times New Roman"/>
                <w:sz w:val="28"/>
                <w:szCs w:val="28"/>
              </w:rPr>
              <w:t xml:space="preserve">Housing and Community Development </w:t>
            </w:r>
            <w:r w:rsidR="00CE5E0B">
              <w:rPr>
                <w:rFonts w:ascii="Times New Roman" w:hAnsi="Times New Roman" w:cs="Times New Roman"/>
                <w:sz w:val="28"/>
                <w:szCs w:val="28"/>
              </w:rPr>
              <w:t>(HCD)</w:t>
            </w:r>
          </w:p>
        </w:tc>
      </w:tr>
    </w:tbl>
    <w:p w:rsidR="003F1205" w:rsidRPr="00D60D74" w:rsidRDefault="00C4615A" w:rsidP="007435B1">
      <w:pPr>
        <w:spacing w:after="0" w:line="240" w:lineRule="auto"/>
        <w:rPr>
          <w:rFonts w:ascii="Times New Roman" w:hAnsi="Times New Roman" w:cs="Times New Roman"/>
          <w:sz w:val="28"/>
          <w:szCs w:val="28"/>
        </w:rPr>
      </w:pPr>
      <w:r w:rsidRPr="00D60D74">
        <w:rPr>
          <w:rFonts w:ascii="Times New Roman" w:hAnsi="Times New Roman" w:cs="Times New Roman"/>
          <w:noProof/>
          <w:sz w:val="28"/>
          <w:szCs w:val="28"/>
        </w:rPr>
        <mc:AlternateContent>
          <mc:Choice Requires="wps">
            <w:drawing>
              <wp:anchor distT="0" distB="0" distL="114300" distR="114300" simplePos="0" relativeHeight="251656192" behindDoc="0" locked="0" layoutInCell="1" allowOverlap="1">
                <wp:simplePos x="0" y="0"/>
                <wp:positionH relativeFrom="column">
                  <wp:posOffset>-9524</wp:posOffset>
                </wp:positionH>
                <wp:positionV relativeFrom="paragraph">
                  <wp:posOffset>153670</wp:posOffset>
                </wp:positionV>
                <wp:extent cx="6286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2865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97ED85" id="Straight Connector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2.1pt" to="494.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" strokecolor="black [3213]" strokeweight="1.5pt">
                <v:stroke joinstyle="miter"/>
              </v:line>
            </w:pict>
          </mc:Fallback>
        </mc:AlternateContent>
      </w:r>
    </w:p>
    <w:p w:rsidR="004E76A1" w:rsidRDefault="004E76A1" w:rsidP="007435B1">
      <w:pPr>
        <w:spacing w:after="0" w:line="240" w:lineRule="auto"/>
        <w:rPr>
          <w:rFonts w:ascii="Times New Roman" w:hAnsi="Times New Roman" w:cs="Times New Roman"/>
          <w:b/>
          <w:sz w:val="28"/>
          <w:szCs w:val="28"/>
        </w:rPr>
      </w:pPr>
    </w:p>
    <w:p w:rsidR="009135AC" w:rsidRDefault="00C4615A" w:rsidP="009135AC">
      <w:pPr>
        <w:spacing w:after="0" w:line="240" w:lineRule="auto"/>
        <w:rPr>
          <w:rFonts w:ascii="Times New Roman" w:hAnsi="Times New Roman" w:cs="Times New Roman"/>
          <w:b/>
          <w:sz w:val="28"/>
          <w:szCs w:val="28"/>
        </w:rPr>
      </w:pPr>
      <w:r w:rsidRPr="00D60D74">
        <w:rPr>
          <w:rFonts w:ascii="Times New Roman" w:hAnsi="Times New Roman" w:cs="Times New Roman"/>
          <w:b/>
          <w:sz w:val="28"/>
          <w:szCs w:val="28"/>
        </w:rPr>
        <w:t>SUMMARY:</w:t>
      </w:r>
    </w:p>
    <w:p w:rsidR="00556B23" w:rsidRPr="00556B23" w:rsidRDefault="00556B23" w:rsidP="009135AC">
      <w:pPr>
        <w:spacing w:after="0" w:line="240" w:lineRule="auto"/>
        <w:rPr>
          <w:rFonts w:ascii="Times New Roman" w:hAnsi="Times New Roman" w:cs="Times New Roman"/>
          <w:b/>
          <w:sz w:val="28"/>
          <w:szCs w:val="28"/>
        </w:rPr>
      </w:pPr>
    </w:p>
    <w:p w:rsidR="009135AC" w:rsidRPr="00556B23" w:rsidRDefault="009135AC" w:rsidP="00556B23">
      <w:pPr>
        <w:pStyle w:val="ListParagraph"/>
        <w:numPr>
          <w:ilvl w:val="0"/>
          <w:numId w:val="8"/>
        </w:numPr>
        <w:spacing w:after="0" w:line="240" w:lineRule="auto"/>
        <w:ind w:left="720"/>
        <w:rPr>
          <w:rFonts w:ascii="Times New Roman" w:hAnsi="Times New Roman" w:cs="Times New Roman"/>
          <w:sz w:val="28"/>
          <w:szCs w:val="28"/>
        </w:rPr>
      </w:pPr>
      <w:r w:rsidRPr="00556B23">
        <w:rPr>
          <w:rFonts w:ascii="Times New Roman" w:hAnsi="Times New Roman" w:cs="Times New Roman"/>
          <w:sz w:val="28"/>
          <w:szCs w:val="28"/>
        </w:rPr>
        <w:t>Shelter the Homeless has submitted a budget request for this purpose</w:t>
      </w:r>
      <w:r w:rsidR="005B3FEA" w:rsidRPr="00556B23">
        <w:rPr>
          <w:rFonts w:ascii="Times New Roman" w:hAnsi="Times New Roman" w:cs="Times New Roman"/>
          <w:sz w:val="28"/>
          <w:szCs w:val="28"/>
        </w:rPr>
        <w:t xml:space="preserve"> in the total of $837,806</w:t>
      </w:r>
      <w:r w:rsidRPr="00556B23">
        <w:rPr>
          <w:rFonts w:ascii="Times New Roman" w:hAnsi="Times New Roman" w:cs="Times New Roman"/>
          <w:sz w:val="28"/>
          <w:szCs w:val="28"/>
        </w:rPr>
        <w:t>. See attached budget proposal</w:t>
      </w:r>
      <w:r w:rsidR="00451D0D" w:rsidRPr="00556B23">
        <w:rPr>
          <w:rFonts w:ascii="Times New Roman" w:hAnsi="Times New Roman" w:cs="Times New Roman"/>
          <w:sz w:val="28"/>
          <w:szCs w:val="28"/>
        </w:rPr>
        <w:t xml:space="preserve"> for more detail</w:t>
      </w:r>
      <w:r w:rsidRPr="00556B23">
        <w:rPr>
          <w:rFonts w:ascii="Times New Roman" w:hAnsi="Times New Roman" w:cs="Times New Roman"/>
          <w:sz w:val="28"/>
          <w:szCs w:val="28"/>
        </w:rPr>
        <w:t>.</w:t>
      </w:r>
      <w:r w:rsidR="00451D0D" w:rsidRPr="00556B23">
        <w:rPr>
          <w:rFonts w:ascii="Times New Roman" w:hAnsi="Times New Roman" w:cs="Times New Roman"/>
          <w:sz w:val="28"/>
          <w:szCs w:val="28"/>
        </w:rPr>
        <w:t xml:space="preserve"> </w:t>
      </w:r>
      <w:r w:rsidR="005B3FEA" w:rsidRPr="00556B23">
        <w:rPr>
          <w:rFonts w:ascii="Times New Roman" w:hAnsi="Times New Roman" w:cs="Times New Roman"/>
          <w:sz w:val="28"/>
          <w:szCs w:val="28"/>
        </w:rPr>
        <w:t>In summary, t</w:t>
      </w:r>
      <w:r w:rsidR="00451D0D" w:rsidRPr="00556B23">
        <w:rPr>
          <w:rFonts w:ascii="Times New Roman" w:hAnsi="Times New Roman" w:cs="Times New Roman"/>
          <w:sz w:val="28"/>
          <w:szCs w:val="28"/>
        </w:rPr>
        <w:t>he funding request includes needs identified for transition by the following agencies:</w:t>
      </w:r>
    </w:p>
    <w:p w:rsidR="00AD309F" w:rsidRDefault="00AD309F" w:rsidP="00C755C2">
      <w:pPr>
        <w:spacing w:after="0" w:line="240" w:lineRule="auto"/>
        <w:ind w:left="720"/>
        <w:rPr>
          <w:rFonts w:ascii="Times New Roman" w:hAnsi="Times New Roman" w:cs="Times New Roman"/>
          <w:sz w:val="28"/>
          <w:szCs w:val="28"/>
        </w:rPr>
      </w:pPr>
    </w:p>
    <w:p w:rsidR="00451D0D" w:rsidRDefault="00451D0D" w:rsidP="00C755C2">
      <w:pPr>
        <w:pStyle w:val="ListParagraph"/>
        <w:numPr>
          <w:ilvl w:val="0"/>
          <w:numId w:val="1"/>
        </w:numPr>
        <w:spacing w:after="0" w:line="240" w:lineRule="auto"/>
        <w:ind w:left="1440"/>
        <w:rPr>
          <w:rFonts w:ascii="Times New Roman" w:hAnsi="Times New Roman" w:cs="Times New Roman"/>
          <w:sz w:val="28"/>
          <w:szCs w:val="28"/>
        </w:rPr>
      </w:pPr>
      <w:r>
        <w:rPr>
          <w:rFonts w:ascii="Times New Roman" w:hAnsi="Times New Roman" w:cs="Times New Roman"/>
          <w:sz w:val="28"/>
          <w:szCs w:val="28"/>
        </w:rPr>
        <w:t>Catholic Community Services: $149,893</w:t>
      </w:r>
    </w:p>
    <w:p w:rsidR="00AD309F" w:rsidRPr="00451D0D" w:rsidRDefault="00451D0D" w:rsidP="00C755C2">
      <w:pPr>
        <w:pStyle w:val="ListParagraph"/>
        <w:numPr>
          <w:ilvl w:val="1"/>
          <w:numId w:val="1"/>
        </w:numPr>
        <w:spacing w:after="0" w:line="240" w:lineRule="auto"/>
        <w:ind w:left="2160"/>
        <w:rPr>
          <w:rFonts w:ascii="Times New Roman" w:hAnsi="Times New Roman" w:cs="Times New Roman"/>
          <w:sz w:val="28"/>
          <w:szCs w:val="28"/>
        </w:rPr>
      </w:pPr>
      <w:r w:rsidRPr="00451D0D">
        <w:rPr>
          <w:rFonts w:ascii="Times New Roman" w:hAnsi="Times New Roman" w:cs="Times New Roman"/>
          <w:sz w:val="28"/>
          <w:szCs w:val="28"/>
        </w:rPr>
        <w:t>Meals</w:t>
      </w:r>
      <w:r w:rsidR="00D219BC">
        <w:rPr>
          <w:rFonts w:ascii="Times New Roman" w:hAnsi="Times New Roman" w:cs="Times New Roman"/>
          <w:sz w:val="28"/>
          <w:szCs w:val="28"/>
        </w:rPr>
        <w:t>, licensing, equipment</w:t>
      </w:r>
      <w:r w:rsidRPr="00451D0D">
        <w:rPr>
          <w:rFonts w:ascii="Times New Roman" w:hAnsi="Times New Roman" w:cs="Times New Roman"/>
          <w:sz w:val="28"/>
          <w:szCs w:val="28"/>
        </w:rPr>
        <w:t xml:space="preserve"> and staffing</w:t>
      </w:r>
    </w:p>
    <w:p w:rsidR="005B3FEA" w:rsidRDefault="005B3FEA" w:rsidP="00C755C2">
      <w:pPr>
        <w:pStyle w:val="ListParagraph"/>
        <w:numPr>
          <w:ilvl w:val="0"/>
          <w:numId w:val="1"/>
        </w:numPr>
        <w:spacing w:after="0" w:line="240" w:lineRule="auto"/>
        <w:ind w:left="1440"/>
        <w:rPr>
          <w:rFonts w:ascii="Times New Roman" w:hAnsi="Times New Roman" w:cs="Times New Roman"/>
          <w:sz w:val="28"/>
          <w:szCs w:val="28"/>
        </w:rPr>
      </w:pPr>
      <w:r>
        <w:rPr>
          <w:rFonts w:ascii="Times New Roman" w:hAnsi="Times New Roman" w:cs="Times New Roman"/>
          <w:sz w:val="28"/>
          <w:szCs w:val="28"/>
        </w:rPr>
        <w:t>Shelter the Homeless: $100,000</w:t>
      </w:r>
    </w:p>
    <w:p w:rsidR="005B3FEA" w:rsidRDefault="005B3FEA" w:rsidP="00C755C2">
      <w:pPr>
        <w:pStyle w:val="ListParagraph"/>
        <w:numPr>
          <w:ilvl w:val="1"/>
          <w:numId w:val="1"/>
        </w:numPr>
        <w:spacing w:after="0" w:line="240" w:lineRule="auto"/>
        <w:ind w:left="2160"/>
        <w:rPr>
          <w:rFonts w:ascii="Times New Roman" w:hAnsi="Times New Roman" w:cs="Times New Roman"/>
          <w:sz w:val="28"/>
          <w:szCs w:val="28"/>
        </w:rPr>
      </w:pPr>
      <w:r>
        <w:rPr>
          <w:rFonts w:ascii="Times New Roman" w:hAnsi="Times New Roman" w:cs="Times New Roman"/>
          <w:sz w:val="28"/>
          <w:szCs w:val="28"/>
        </w:rPr>
        <w:t xml:space="preserve">Administrative support, </w:t>
      </w:r>
      <w:r w:rsidR="00D219BC">
        <w:rPr>
          <w:rFonts w:ascii="Times New Roman" w:hAnsi="Times New Roman" w:cs="Times New Roman"/>
          <w:sz w:val="28"/>
          <w:szCs w:val="28"/>
        </w:rPr>
        <w:t>utility payments, insurance, contingency</w:t>
      </w:r>
    </w:p>
    <w:p w:rsidR="00451D0D" w:rsidRDefault="00451D0D" w:rsidP="00C755C2">
      <w:pPr>
        <w:pStyle w:val="ListParagraph"/>
        <w:numPr>
          <w:ilvl w:val="0"/>
          <w:numId w:val="1"/>
        </w:numPr>
        <w:spacing w:after="0" w:line="240" w:lineRule="auto"/>
        <w:ind w:left="1440"/>
        <w:rPr>
          <w:rFonts w:ascii="Times New Roman" w:hAnsi="Times New Roman" w:cs="Times New Roman"/>
          <w:sz w:val="28"/>
          <w:szCs w:val="28"/>
        </w:rPr>
      </w:pPr>
      <w:r>
        <w:rPr>
          <w:rFonts w:ascii="Times New Roman" w:hAnsi="Times New Roman" w:cs="Times New Roman"/>
          <w:sz w:val="28"/>
          <w:szCs w:val="28"/>
        </w:rPr>
        <w:t xml:space="preserve">The Road Home: </w:t>
      </w:r>
      <w:r w:rsidR="005B3FEA">
        <w:rPr>
          <w:rFonts w:ascii="Times New Roman" w:hAnsi="Times New Roman" w:cs="Times New Roman"/>
          <w:sz w:val="28"/>
          <w:szCs w:val="28"/>
        </w:rPr>
        <w:t>$83,733</w:t>
      </w:r>
    </w:p>
    <w:p w:rsidR="00451D0D" w:rsidRDefault="00451D0D" w:rsidP="00C755C2">
      <w:pPr>
        <w:pStyle w:val="ListParagraph"/>
        <w:numPr>
          <w:ilvl w:val="1"/>
          <w:numId w:val="1"/>
        </w:numPr>
        <w:spacing w:after="0" w:line="240" w:lineRule="auto"/>
        <w:ind w:left="2160"/>
        <w:rPr>
          <w:rFonts w:ascii="Times New Roman" w:hAnsi="Times New Roman" w:cs="Times New Roman"/>
          <w:sz w:val="28"/>
          <w:szCs w:val="28"/>
        </w:rPr>
      </w:pPr>
      <w:r>
        <w:rPr>
          <w:rFonts w:ascii="Times New Roman" w:hAnsi="Times New Roman" w:cs="Times New Roman"/>
          <w:sz w:val="28"/>
          <w:szCs w:val="28"/>
        </w:rPr>
        <w:t>Moving supplies, staffing, open houses, transportation</w:t>
      </w:r>
    </w:p>
    <w:p w:rsidR="00451D0D" w:rsidRDefault="00451D0D" w:rsidP="00C755C2">
      <w:pPr>
        <w:pStyle w:val="ListParagraph"/>
        <w:numPr>
          <w:ilvl w:val="0"/>
          <w:numId w:val="1"/>
        </w:numPr>
        <w:spacing w:after="0" w:line="240" w:lineRule="auto"/>
        <w:ind w:left="1440"/>
        <w:rPr>
          <w:rFonts w:ascii="Times New Roman" w:hAnsi="Times New Roman" w:cs="Times New Roman"/>
          <w:sz w:val="28"/>
          <w:szCs w:val="28"/>
        </w:rPr>
      </w:pPr>
      <w:r>
        <w:rPr>
          <w:rFonts w:ascii="Times New Roman" w:hAnsi="Times New Roman" w:cs="Times New Roman"/>
          <w:sz w:val="28"/>
          <w:szCs w:val="28"/>
        </w:rPr>
        <w:t>Utah Community Action</w:t>
      </w:r>
      <w:r w:rsidR="005B3FEA">
        <w:rPr>
          <w:rFonts w:ascii="Times New Roman" w:hAnsi="Times New Roman" w:cs="Times New Roman"/>
          <w:sz w:val="28"/>
          <w:szCs w:val="28"/>
        </w:rPr>
        <w:t>: $174,050</w:t>
      </w:r>
    </w:p>
    <w:p w:rsidR="005B3FEA" w:rsidRDefault="005B3FEA" w:rsidP="00C755C2">
      <w:pPr>
        <w:pStyle w:val="ListParagraph"/>
        <w:numPr>
          <w:ilvl w:val="1"/>
          <w:numId w:val="1"/>
        </w:numPr>
        <w:spacing w:after="0" w:line="240" w:lineRule="auto"/>
        <w:ind w:left="2160"/>
        <w:rPr>
          <w:rFonts w:ascii="Times New Roman" w:hAnsi="Times New Roman" w:cs="Times New Roman"/>
          <w:sz w:val="28"/>
          <w:szCs w:val="28"/>
        </w:rPr>
      </w:pPr>
      <w:r>
        <w:rPr>
          <w:rFonts w:ascii="Times New Roman" w:hAnsi="Times New Roman" w:cs="Times New Roman"/>
          <w:sz w:val="28"/>
          <w:szCs w:val="28"/>
        </w:rPr>
        <w:t>Staffing for diversion, individualized client transition support, equipment</w:t>
      </w:r>
    </w:p>
    <w:p w:rsidR="00451D0D" w:rsidRDefault="00451D0D" w:rsidP="00C755C2">
      <w:pPr>
        <w:pStyle w:val="ListParagraph"/>
        <w:numPr>
          <w:ilvl w:val="0"/>
          <w:numId w:val="1"/>
        </w:numPr>
        <w:spacing w:after="0" w:line="240" w:lineRule="auto"/>
        <w:ind w:left="1440"/>
        <w:rPr>
          <w:rFonts w:ascii="Times New Roman" w:hAnsi="Times New Roman" w:cs="Times New Roman"/>
          <w:sz w:val="28"/>
          <w:szCs w:val="28"/>
        </w:rPr>
      </w:pPr>
      <w:r>
        <w:rPr>
          <w:rFonts w:ascii="Times New Roman" w:hAnsi="Times New Roman" w:cs="Times New Roman"/>
          <w:sz w:val="28"/>
          <w:szCs w:val="28"/>
        </w:rPr>
        <w:t>Volunteers of America</w:t>
      </w:r>
      <w:r w:rsidR="005B3FEA">
        <w:rPr>
          <w:rFonts w:ascii="Times New Roman" w:hAnsi="Times New Roman" w:cs="Times New Roman"/>
          <w:sz w:val="28"/>
          <w:szCs w:val="28"/>
        </w:rPr>
        <w:t>: $330,130</w:t>
      </w:r>
    </w:p>
    <w:p w:rsidR="00AD309F" w:rsidRDefault="005B3FEA" w:rsidP="00C755C2">
      <w:pPr>
        <w:pStyle w:val="ListParagraph"/>
        <w:numPr>
          <w:ilvl w:val="1"/>
          <w:numId w:val="1"/>
        </w:numPr>
        <w:spacing w:after="0" w:line="240" w:lineRule="auto"/>
        <w:ind w:left="2160"/>
        <w:rPr>
          <w:rFonts w:ascii="Times New Roman" w:hAnsi="Times New Roman" w:cs="Times New Roman"/>
          <w:sz w:val="28"/>
          <w:szCs w:val="28"/>
        </w:rPr>
      </w:pPr>
      <w:r>
        <w:rPr>
          <w:rFonts w:ascii="Times New Roman" w:hAnsi="Times New Roman" w:cs="Times New Roman"/>
          <w:sz w:val="28"/>
          <w:szCs w:val="28"/>
        </w:rPr>
        <w:t>Staff, training, equipment, transportation</w:t>
      </w:r>
    </w:p>
    <w:p w:rsidR="00C755C2" w:rsidRDefault="00C755C2" w:rsidP="00C755C2">
      <w:pPr>
        <w:pStyle w:val="ListParagraph"/>
        <w:spacing w:after="0" w:line="240" w:lineRule="auto"/>
        <w:ind w:left="2160"/>
        <w:rPr>
          <w:rFonts w:ascii="Times New Roman" w:hAnsi="Times New Roman" w:cs="Times New Roman"/>
          <w:sz w:val="28"/>
          <w:szCs w:val="28"/>
        </w:rPr>
      </w:pPr>
    </w:p>
    <w:p w:rsidR="00C755C2" w:rsidRPr="00C755C2" w:rsidRDefault="00C755C2" w:rsidP="00556B23">
      <w:pPr>
        <w:pStyle w:val="ListParagraph"/>
        <w:numPr>
          <w:ilvl w:val="0"/>
          <w:numId w:val="9"/>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 portion of the funding allocated by the SHCC from the FY19 Homeless to Housing account for </w:t>
      </w:r>
      <w:r w:rsidR="00441E09">
        <w:rPr>
          <w:rFonts w:ascii="Times New Roman" w:hAnsi="Times New Roman" w:cs="Times New Roman"/>
          <w:sz w:val="28"/>
          <w:szCs w:val="28"/>
        </w:rPr>
        <w:t xml:space="preserve">the construction of the three new resource centers, </w:t>
      </w:r>
      <w:r>
        <w:rPr>
          <w:rFonts w:ascii="Times New Roman" w:hAnsi="Times New Roman" w:cs="Times New Roman"/>
          <w:sz w:val="28"/>
          <w:szCs w:val="28"/>
        </w:rPr>
        <w:t>has not yet been released in a contract agreement. The release of the remaining funding has been contingent upon the Shelter the Homeless fundraising efforts.</w:t>
      </w:r>
      <w:r w:rsidR="00344D91">
        <w:rPr>
          <w:rFonts w:ascii="Times New Roman" w:hAnsi="Times New Roman" w:cs="Times New Roman"/>
          <w:sz w:val="28"/>
          <w:szCs w:val="28"/>
        </w:rPr>
        <w:t xml:space="preserve"> Shelter the Homeless is requesting the release of these funds to support the remaining FY19 construction expenses of the three new resource centers. The release of these funds will help ensure the construction schedule remains in place. Shelter the Homeless continues to aggressively fundraise for the remaining capital needs. </w:t>
      </w:r>
    </w:p>
    <w:p w:rsidR="005B3FEA" w:rsidRPr="00D60D74" w:rsidRDefault="005B3FEA" w:rsidP="007435B1">
      <w:pPr>
        <w:spacing w:after="0" w:line="240" w:lineRule="auto"/>
        <w:rPr>
          <w:rFonts w:ascii="Times New Roman" w:hAnsi="Times New Roman" w:cs="Times New Roman"/>
          <w:sz w:val="28"/>
          <w:szCs w:val="28"/>
        </w:rPr>
      </w:pPr>
    </w:p>
    <w:p w:rsidR="00556B23" w:rsidRDefault="00556B23" w:rsidP="008D7B55">
      <w:pPr>
        <w:spacing w:after="0" w:line="240" w:lineRule="auto"/>
        <w:rPr>
          <w:rFonts w:ascii="Times New Roman" w:hAnsi="Times New Roman" w:cs="Times New Roman"/>
          <w:b/>
          <w:sz w:val="28"/>
          <w:szCs w:val="28"/>
        </w:rPr>
      </w:pPr>
    </w:p>
    <w:p w:rsidR="00556B23" w:rsidRDefault="00556B23" w:rsidP="008D7B55">
      <w:pPr>
        <w:spacing w:after="0" w:line="240" w:lineRule="auto"/>
        <w:rPr>
          <w:rFonts w:ascii="Times New Roman" w:hAnsi="Times New Roman" w:cs="Times New Roman"/>
          <w:b/>
          <w:sz w:val="28"/>
          <w:szCs w:val="28"/>
        </w:rPr>
      </w:pPr>
    </w:p>
    <w:p w:rsidR="00556B23" w:rsidRDefault="00556B23" w:rsidP="008D7B55">
      <w:pPr>
        <w:spacing w:after="0" w:line="240" w:lineRule="auto"/>
        <w:rPr>
          <w:rFonts w:ascii="Times New Roman" w:hAnsi="Times New Roman" w:cs="Times New Roman"/>
          <w:b/>
          <w:sz w:val="28"/>
          <w:szCs w:val="28"/>
        </w:rPr>
      </w:pPr>
    </w:p>
    <w:p w:rsidR="00556B23" w:rsidRDefault="00556B23" w:rsidP="008D7B55">
      <w:pPr>
        <w:spacing w:after="0" w:line="240" w:lineRule="auto"/>
        <w:rPr>
          <w:rFonts w:ascii="Times New Roman" w:hAnsi="Times New Roman" w:cs="Times New Roman"/>
          <w:b/>
          <w:sz w:val="28"/>
          <w:szCs w:val="28"/>
        </w:rPr>
      </w:pPr>
    </w:p>
    <w:p w:rsidR="00556B23" w:rsidRDefault="00556B23" w:rsidP="008D7B55">
      <w:pPr>
        <w:spacing w:after="0" w:line="240" w:lineRule="auto"/>
        <w:rPr>
          <w:rFonts w:ascii="Times New Roman" w:hAnsi="Times New Roman" w:cs="Times New Roman"/>
          <w:b/>
          <w:sz w:val="28"/>
          <w:szCs w:val="28"/>
        </w:rPr>
      </w:pPr>
    </w:p>
    <w:p w:rsidR="008D7B55" w:rsidRDefault="008D7B55" w:rsidP="008D7B55">
      <w:pPr>
        <w:spacing w:after="0" w:line="240" w:lineRule="auto"/>
        <w:rPr>
          <w:rFonts w:ascii="Times New Roman" w:hAnsi="Times New Roman" w:cs="Times New Roman"/>
          <w:b/>
          <w:sz w:val="28"/>
          <w:szCs w:val="28"/>
        </w:rPr>
      </w:pPr>
      <w:r w:rsidRPr="00D60D74">
        <w:rPr>
          <w:rFonts w:ascii="Times New Roman" w:hAnsi="Times New Roman" w:cs="Times New Roman"/>
          <w:b/>
          <w:sz w:val="28"/>
          <w:szCs w:val="28"/>
        </w:rPr>
        <w:t>STAFF RECOMMENDATIONS:</w:t>
      </w:r>
    </w:p>
    <w:p w:rsidR="002A7083" w:rsidRDefault="005B3FEA" w:rsidP="00C755C2">
      <w:pPr>
        <w:pStyle w:val="ListParagraph"/>
        <w:numPr>
          <w:ilvl w:val="0"/>
          <w:numId w:val="6"/>
        </w:numPr>
        <w:spacing w:after="0" w:line="240" w:lineRule="auto"/>
        <w:rPr>
          <w:rFonts w:ascii="Times New Roman" w:hAnsi="Times New Roman" w:cs="Times New Roman"/>
          <w:sz w:val="28"/>
          <w:szCs w:val="28"/>
        </w:rPr>
      </w:pPr>
      <w:r w:rsidRPr="00C755C2">
        <w:rPr>
          <w:rFonts w:ascii="Times New Roman" w:hAnsi="Times New Roman" w:cs="Times New Roman"/>
          <w:sz w:val="28"/>
          <w:szCs w:val="28"/>
        </w:rPr>
        <w:t>Staff recommend</w:t>
      </w:r>
      <w:r w:rsidR="00D219BC" w:rsidRPr="00C755C2">
        <w:rPr>
          <w:rFonts w:ascii="Times New Roman" w:hAnsi="Times New Roman" w:cs="Times New Roman"/>
          <w:sz w:val="28"/>
          <w:szCs w:val="28"/>
        </w:rPr>
        <w:t>s</w:t>
      </w:r>
      <w:r w:rsidRPr="00C755C2">
        <w:rPr>
          <w:rFonts w:ascii="Times New Roman" w:hAnsi="Times New Roman" w:cs="Times New Roman"/>
          <w:sz w:val="28"/>
          <w:szCs w:val="28"/>
        </w:rPr>
        <w:t xml:space="preserve"> to fund the Shelter the Homeless transitional funding request in the amount of $837,806 to support the Homeless Resource Center transition. Funding must be expended by June 30, 2019. </w:t>
      </w:r>
    </w:p>
    <w:p w:rsidR="00C33515" w:rsidRDefault="00C33515" w:rsidP="00C33515">
      <w:pPr>
        <w:pStyle w:val="ListParagraph"/>
        <w:spacing w:after="0" w:line="240" w:lineRule="auto"/>
        <w:rPr>
          <w:rFonts w:ascii="Times New Roman" w:hAnsi="Times New Roman" w:cs="Times New Roman"/>
          <w:sz w:val="28"/>
          <w:szCs w:val="28"/>
        </w:rPr>
      </w:pPr>
      <w:bookmarkStart w:id="0" w:name="_GoBack"/>
      <w:bookmarkEnd w:id="0"/>
    </w:p>
    <w:p w:rsidR="00C755C2" w:rsidRPr="00C755C2" w:rsidRDefault="00C755C2" w:rsidP="00C755C2">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Staff recommend that the remaining</w:t>
      </w:r>
      <w:r w:rsidR="000B7722">
        <w:rPr>
          <w:rFonts w:ascii="Times New Roman" w:hAnsi="Times New Roman" w:cs="Times New Roman"/>
          <w:sz w:val="28"/>
          <w:szCs w:val="28"/>
        </w:rPr>
        <w:t xml:space="preserve"> </w:t>
      </w:r>
      <w:r w:rsidR="00485130">
        <w:rPr>
          <w:rFonts w:ascii="Times New Roman" w:hAnsi="Times New Roman" w:cs="Times New Roman"/>
          <w:sz w:val="28"/>
          <w:szCs w:val="28"/>
        </w:rPr>
        <w:t xml:space="preserve">funding </w:t>
      </w:r>
      <w:r w:rsidR="00441E09">
        <w:rPr>
          <w:rFonts w:ascii="Times New Roman" w:hAnsi="Times New Roman" w:cs="Times New Roman"/>
          <w:sz w:val="28"/>
          <w:szCs w:val="28"/>
        </w:rPr>
        <w:t>be released in contract to Shelter the Homeless.</w:t>
      </w:r>
      <w:r w:rsidR="000B7722">
        <w:rPr>
          <w:rFonts w:ascii="Times New Roman" w:hAnsi="Times New Roman" w:cs="Times New Roman"/>
          <w:sz w:val="28"/>
          <w:szCs w:val="28"/>
        </w:rPr>
        <w:t xml:space="preserve"> </w:t>
      </w:r>
    </w:p>
    <w:p w:rsidR="002A7083" w:rsidRPr="00D60D74" w:rsidRDefault="002A7083" w:rsidP="008D7B55">
      <w:pPr>
        <w:spacing w:after="0" w:line="240" w:lineRule="auto"/>
        <w:rPr>
          <w:rFonts w:ascii="Times New Roman" w:hAnsi="Times New Roman" w:cs="Times New Roman"/>
          <w:b/>
          <w:sz w:val="28"/>
          <w:szCs w:val="28"/>
        </w:rPr>
      </w:pPr>
    </w:p>
    <w:p w:rsidR="008D7B55" w:rsidRPr="00D60D74" w:rsidRDefault="009D71CC" w:rsidP="007435B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sectPr w:rsidR="008D7B55" w:rsidRPr="00D60D74" w:rsidSect="00441E09">
      <w:footerReference w:type="default" r:id="rId8"/>
      <w:pgSz w:w="12240" w:h="15840"/>
      <w:pgMar w:top="630" w:right="810" w:bottom="720" w:left="117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E2E" w:rsidRDefault="00E80E2E" w:rsidP="007614CB">
      <w:pPr>
        <w:spacing w:after="0" w:line="240" w:lineRule="auto"/>
      </w:pPr>
      <w:r>
        <w:separator/>
      </w:r>
    </w:p>
  </w:endnote>
  <w:endnote w:type="continuationSeparator" w:id="0">
    <w:p w:rsidR="00E80E2E" w:rsidRDefault="00E80E2E" w:rsidP="00761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623369"/>
      <w:docPartObj>
        <w:docPartGallery w:val="Page Numbers (Bottom of Page)"/>
        <w:docPartUnique/>
      </w:docPartObj>
    </w:sdtPr>
    <w:sdtEndPr>
      <w:rPr>
        <w:noProof/>
      </w:rPr>
    </w:sdtEndPr>
    <w:sdtContent>
      <w:p w:rsidR="007614CB" w:rsidRDefault="007614CB">
        <w:pPr>
          <w:pStyle w:val="Footer"/>
          <w:jc w:val="right"/>
        </w:pPr>
        <w:r>
          <w:fldChar w:fldCharType="begin"/>
        </w:r>
        <w:r>
          <w:instrText xml:space="preserve"> PAGE   \* MERGEFORMAT </w:instrText>
        </w:r>
        <w:r>
          <w:fldChar w:fldCharType="separate"/>
        </w:r>
        <w:r w:rsidR="00C33515">
          <w:rPr>
            <w:noProof/>
          </w:rPr>
          <w:t>2</w:t>
        </w:r>
        <w:r>
          <w:rPr>
            <w:noProof/>
          </w:rPr>
          <w:fldChar w:fldCharType="end"/>
        </w:r>
        <w:r w:rsidR="00556B23">
          <w:rPr>
            <w:noProof/>
          </w:rPr>
          <w:t xml:space="preserve"> of 2</w:t>
        </w:r>
      </w:p>
    </w:sdtContent>
  </w:sdt>
  <w:p w:rsidR="007614CB" w:rsidRDefault="00761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E2E" w:rsidRDefault="00E80E2E" w:rsidP="007614CB">
      <w:pPr>
        <w:spacing w:after="0" w:line="240" w:lineRule="auto"/>
      </w:pPr>
      <w:r>
        <w:separator/>
      </w:r>
    </w:p>
  </w:footnote>
  <w:footnote w:type="continuationSeparator" w:id="0">
    <w:p w:rsidR="00E80E2E" w:rsidRDefault="00E80E2E" w:rsidP="007614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61CBE"/>
    <w:multiLevelType w:val="hybridMultilevel"/>
    <w:tmpl w:val="CBBEE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84236"/>
    <w:multiLevelType w:val="hybridMultilevel"/>
    <w:tmpl w:val="D8FE3FD4"/>
    <w:lvl w:ilvl="0" w:tplc="B364A5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F12DBE"/>
    <w:multiLevelType w:val="hybridMultilevel"/>
    <w:tmpl w:val="BC9083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D3772C"/>
    <w:multiLevelType w:val="hybridMultilevel"/>
    <w:tmpl w:val="A9C8EF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C152EA"/>
    <w:multiLevelType w:val="hybridMultilevel"/>
    <w:tmpl w:val="5DEC9D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730558"/>
    <w:multiLevelType w:val="hybridMultilevel"/>
    <w:tmpl w:val="2BB0652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D029FA"/>
    <w:multiLevelType w:val="hybridMultilevel"/>
    <w:tmpl w:val="3558BFBA"/>
    <w:lvl w:ilvl="0" w:tplc="D97858B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EE3589"/>
    <w:multiLevelType w:val="hybridMultilevel"/>
    <w:tmpl w:val="FA54F8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CD041D1"/>
    <w:multiLevelType w:val="hybridMultilevel"/>
    <w:tmpl w:val="CC70A35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0"/>
  </w:num>
  <w:num w:numId="5">
    <w:abstractNumId w:val="5"/>
  </w:num>
  <w:num w:numId="6">
    <w:abstractNumId w:val="3"/>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F97"/>
    <w:rsid w:val="000545D1"/>
    <w:rsid w:val="000B43F0"/>
    <w:rsid w:val="000B7722"/>
    <w:rsid w:val="0010090C"/>
    <w:rsid w:val="001246F7"/>
    <w:rsid w:val="00130F43"/>
    <w:rsid w:val="001357EF"/>
    <w:rsid w:val="00191618"/>
    <w:rsid w:val="001D2F29"/>
    <w:rsid w:val="00214A66"/>
    <w:rsid w:val="0025287A"/>
    <w:rsid w:val="002571BD"/>
    <w:rsid w:val="00276176"/>
    <w:rsid w:val="002916A6"/>
    <w:rsid w:val="002A7083"/>
    <w:rsid w:val="00315AE8"/>
    <w:rsid w:val="003169A9"/>
    <w:rsid w:val="00344D91"/>
    <w:rsid w:val="003A1EB0"/>
    <w:rsid w:val="003A35D2"/>
    <w:rsid w:val="003F1205"/>
    <w:rsid w:val="00441E09"/>
    <w:rsid w:val="00451D0D"/>
    <w:rsid w:val="00485130"/>
    <w:rsid w:val="004A5FCF"/>
    <w:rsid w:val="004E36E0"/>
    <w:rsid w:val="004E76A1"/>
    <w:rsid w:val="00505784"/>
    <w:rsid w:val="00507972"/>
    <w:rsid w:val="00556B23"/>
    <w:rsid w:val="005B3FEA"/>
    <w:rsid w:val="005D46D4"/>
    <w:rsid w:val="00612F7E"/>
    <w:rsid w:val="00655984"/>
    <w:rsid w:val="0074025C"/>
    <w:rsid w:val="007435B1"/>
    <w:rsid w:val="007614CB"/>
    <w:rsid w:val="00791D0B"/>
    <w:rsid w:val="007D5C3A"/>
    <w:rsid w:val="008056F4"/>
    <w:rsid w:val="0082335D"/>
    <w:rsid w:val="008A061A"/>
    <w:rsid w:val="008B684C"/>
    <w:rsid w:val="008C0B9F"/>
    <w:rsid w:val="008D7B55"/>
    <w:rsid w:val="009135AC"/>
    <w:rsid w:val="0093465F"/>
    <w:rsid w:val="0097317A"/>
    <w:rsid w:val="00992493"/>
    <w:rsid w:val="009C7AA9"/>
    <w:rsid w:val="009D71CC"/>
    <w:rsid w:val="00A130D2"/>
    <w:rsid w:val="00AD309F"/>
    <w:rsid w:val="00BB674D"/>
    <w:rsid w:val="00BD66F6"/>
    <w:rsid w:val="00BE1AA7"/>
    <w:rsid w:val="00BF6671"/>
    <w:rsid w:val="00C017B4"/>
    <w:rsid w:val="00C11481"/>
    <w:rsid w:val="00C33515"/>
    <w:rsid w:val="00C4615A"/>
    <w:rsid w:val="00C55349"/>
    <w:rsid w:val="00C755C2"/>
    <w:rsid w:val="00C867DF"/>
    <w:rsid w:val="00CE5E0B"/>
    <w:rsid w:val="00CE6359"/>
    <w:rsid w:val="00CF2738"/>
    <w:rsid w:val="00D219BC"/>
    <w:rsid w:val="00D33F97"/>
    <w:rsid w:val="00D442CE"/>
    <w:rsid w:val="00D60D74"/>
    <w:rsid w:val="00D97B98"/>
    <w:rsid w:val="00E46CDB"/>
    <w:rsid w:val="00E51690"/>
    <w:rsid w:val="00E73902"/>
    <w:rsid w:val="00E80E2E"/>
    <w:rsid w:val="00E85BBF"/>
    <w:rsid w:val="00EA1D5B"/>
    <w:rsid w:val="00EC3B6B"/>
    <w:rsid w:val="00EC6A39"/>
    <w:rsid w:val="00F201A0"/>
    <w:rsid w:val="00F4177E"/>
    <w:rsid w:val="00F60E7B"/>
    <w:rsid w:val="00FD7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8497F"/>
  <w15:chartTrackingRefBased/>
  <w15:docId w15:val="{FEEF2626-F3C8-4DF3-A0A6-7DF9EB67F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309F"/>
    <w:pPr>
      <w:ind w:left="720"/>
      <w:contextualSpacing/>
    </w:pPr>
  </w:style>
  <w:style w:type="paragraph" w:customStyle="1" w:styleId="TableParagraph">
    <w:name w:val="Table Paragraph"/>
    <w:basedOn w:val="Normal"/>
    <w:uiPriority w:val="1"/>
    <w:qFormat/>
    <w:rsid w:val="00CE5E0B"/>
    <w:pPr>
      <w:widowControl w:val="0"/>
      <w:autoSpaceDE w:val="0"/>
      <w:autoSpaceDN w:val="0"/>
      <w:spacing w:after="0" w:line="240" w:lineRule="auto"/>
    </w:pPr>
    <w:rPr>
      <w:rFonts w:ascii="Calibri" w:eastAsia="Calibri" w:hAnsi="Calibri" w:cs="Calibri"/>
    </w:rPr>
  </w:style>
  <w:style w:type="paragraph" w:styleId="Header">
    <w:name w:val="header"/>
    <w:basedOn w:val="Normal"/>
    <w:link w:val="HeaderChar"/>
    <w:uiPriority w:val="99"/>
    <w:unhideWhenUsed/>
    <w:rsid w:val="00761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4CB"/>
  </w:style>
  <w:style w:type="paragraph" w:styleId="Footer">
    <w:name w:val="footer"/>
    <w:basedOn w:val="Normal"/>
    <w:link w:val="FooterChar"/>
    <w:uiPriority w:val="99"/>
    <w:unhideWhenUsed/>
    <w:rsid w:val="00761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8CBC-759C-4E85-8BBB-7EC9F0F72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State HCC - HCD Executive Summary</vt:lpstr>
    </vt:vector>
  </TitlesOfParts>
  <Company>State of Utah</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HCC - HCD Executive Summary</dc:title>
  <dc:subject/>
  <dc:creator>Tricia Davis</dc:creator>
  <cp:keywords/>
  <dc:description/>
  <cp:lastModifiedBy>Tricia Davis</cp:lastModifiedBy>
  <cp:revision>3</cp:revision>
  <dcterms:created xsi:type="dcterms:W3CDTF">2019-02-16T03:35:00Z</dcterms:created>
  <dcterms:modified xsi:type="dcterms:W3CDTF">2019-02-16T03:35:00Z</dcterms:modified>
</cp:coreProperties>
</file>