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37"/>
        <w:ind w:left="0"/>
        <w:rPr>
          <w:rFonts w:ascii="Times New Roman"/>
        </w:rPr>
      </w:pPr>
    </w:p>
    <w:p>
      <w:pPr>
        <w:pStyle w:val="BodyText"/>
        <w:spacing w:line="228" w:lineRule="auto" w:before="1"/>
        <w:ind w:right="38"/>
      </w:pPr>
      <w:r>
        <w:rPr/>
        <w:t>October</w:t>
      </w:r>
      <w:r>
        <w:rPr>
          <w:spacing w:val="-16"/>
        </w:rPr>
        <w:t> </w:t>
      </w:r>
      <w:r>
        <w:rPr/>
        <w:t>23,</w:t>
      </w:r>
      <w:r>
        <w:rPr>
          <w:spacing w:val="-15"/>
        </w:rPr>
        <w:t> </w:t>
      </w:r>
      <w:r>
        <w:rPr/>
        <w:t>2026 State of Utah</w:t>
      </w:r>
    </w:p>
    <w:p>
      <w:pPr>
        <w:pStyle w:val="Heading1"/>
        <w:spacing w:line="228" w:lineRule="auto"/>
      </w:pPr>
      <w:r>
        <w:rPr>
          <w:b w:val="0"/>
        </w:rPr>
        <w:br w:type="column"/>
      </w:r>
      <w:r>
        <w:rPr/>
        <w:t>NOTICE OF FINDING OF NO SIGNIFICANT IMPACT AND NOTICE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INTENT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REQUEST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RELEASE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FUNDS</w:t>
      </w:r>
    </w:p>
    <w:p>
      <w:pPr>
        <w:pStyle w:val="Heading1"/>
        <w:spacing w:after="0" w:line="228" w:lineRule="auto"/>
        <w:sectPr>
          <w:type w:val="continuous"/>
          <w:pgSz w:w="11900" w:h="16840"/>
          <w:pgMar w:top="740" w:bottom="280" w:left="708" w:right="850"/>
          <w:cols w:num="2" w:equalWidth="0">
            <w:col w:w="1871" w:space="82"/>
            <w:col w:w="8389"/>
          </w:cols>
        </w:sectPr>
      </w:pPr>
    </w:p>
    <w:p>
      <w:pPr>
        <w:pStyle w:val="BodyText"/>
        <w:spacing w:line="228" w:lineRule="auto" w:before="3"/>
        <w:ind w:right="5588"/>
      </w:pPr>
      <w:r>
        <w:rPr/>
        <w:t>Governor's Office of Economic Development Division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Housing</w:t>
      </w:r>
      <w:r>
        <w:rPr>
          <w:spacing w:val="-8"/>
        </w:rPr>
        <w:t> </w:t>
      </w:r>
      <w:r>
        <w:rPr/>
        <w:t>&amp;</w:t>
      </w:r>
      <w:r>
        <w:rPr>
          <w:spacing w:val="-8"/>
        </w:rPr>
        <w:t> </w:t>
      </w:r>
      <w:r>
        <w:rPr/>
        <w:t>Community</w:t>
      </w:r>
      <w:r>
        <w:rPr>
          <w:spacing w:val="-8"/>
        </w:rPr>
        <w:t> </w:t>
      </w:r>
      <w:r>
        <w:rPr/>
        <w:t>Development Multi-Agency State Office Building</w:t>
      </w:r>
    </w:p>
    <w:p>
      <w:pPr>
        <w:pStyle w:val="BodyText"/>
        <w:spacing w:line="228" w:lineRule="auto"/>
        <w:ind w:right="7772"/>
      </w:pPr>
      <w:r>
        <w:rPr/>
        <w:t>195 North 1950 West Salt</w:t>
      </w:r>
      <w:r>
        <w:rPr>
          <w:spacing w:val="-16"/>
        </w:rPr>
        <w:t> </w:t>
      </w:r>
      <w:r>
        <w:rPr/>
        <w:t>Lake</w:t>
      </w:r>
      <w:r>
        <w:rPr>
          <w:spacing w:val="-15"/>
        </w:rPr>
        <w:t> </w:t>
      </w:r>
      <w:r>
        <w:rPr/>
        <w:t>City,</w:t>
      </w:r>
      <w:r>
        <w:rPr>
          <w:spacing w:val="-15"/>
        </w:rPr>
        <w:t> </w:t>
      </w:r>
      <w:r>
        <w:rPr/>
        <w:t>UT</w:t>
      </w:r>
      <w:r>
        <w:rPr>
          <w:spacing w:val="-16"/>
        </w:rPr>
        <w:t> </w:t>
      </w:r>
      <w:r>
        <w:rPr/>
        <w:t>84116</w:t>
      </w:r>
    </w:p>
    <w:p>
      <w:pPr>
        <w:pStyle w:val="BodyText"/>
        <w:spacing w:line="242" w:lineRule="exact"/>
      </w:pPr>
      <w:r>
        <w:rPr/>
        <w:t>(385)</w:t>
      </w:r>
      <w:r>
        <w:rPr>
          <w:spacing w:val="-9"/>
        </w:rPr>
        <w:t> </w:t>
      </w:r>
      <w:r>
        <w:rPr/>
        <w:t>566-</w:t>
      </w:r>
      <w:r>
        <w:rPr>
          <w:spacing w:val="-4"/>
        </w:rPr>
        <w:t>7595</w:t>
      </w:r>
    </w:p>
    <w:p>
      <w:pPr>
        <w:pStyle w:val="BodyText"/>
        <w:spacing w:line="228" w:lineRule="auto" w:before="236"/>
      </w:pPr>
      <w:r>
        <w:rPr/>
        <w:t>These</w:t>
      </w:r>
      <w:r>
        <w:rPr>
          <w:spacing w:val="-4"/>
        </w:rPr>
        <w:t> </w:t>
      </w:r>
      <w:r>
        <w:rPr/>
        <w:t>notices</w:t>
      </w:r>
      <w:r>
        <w:rPr>
          <w:spacing w:val="-4"/>
        </w:rPr>
        <w:t> </w:t>
      </w:r>
      <w:r>
        <w:rPr/>
        <w:t>satisfy</w:t>
      </w:r>
      <w:r>
        <w:rPr>
          <w:spacing w:val="-4"/>
        </w:rPr>
        <w:t> </w:t>
      </w:r>
      <w:r>
        <w:rPr/>
        <w:t>two</w:t>
      </w:r>
      <w:r>
        <w:rPr>
          <w:spacing w:val="-4"/>
        </w:rPr>
        <w:t> </w:t>
      </w:r>
      <w:r>
        <w:rPr/>
        <w:t>separate</w:t>
      </w:r>
      <w:r>
        <w:rPr>
          <w:spacing w:val="-4"/>
        </w:rPr>
        <w:t> </w:t>
      </w:r>
      <w:r>
        <w:rPr/>
        <w:t>but</w:t>
      </w:r>
      <w:r>
        <w:rPr>
          <w:spacing w:val="-4"/>
        </w:rPr>
        <w:t> </w:t>
      </w:r>
      <w:r>
        <w:rPr/>
        <w:t>related</w:t>
      </w:r>
      <w:r>
        <w:rPr>
          <w:spacing w:val="-4"/>
        </w:rPr>
        <w:t> </w:t>
      </w:r>
      <w:r>
        <w:rPr/>
        <w:t>procedural</w:t>
      </w:r>
      <w:r>
        <w:rPr>
          <w:spacing w:val="-4"/>
        </w:rPr>
        <w:t> </w:t>
      </w:r>
      <w:r>
        <w:rPr/>
        <w:t>requirements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activities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undertaken</w:t>
      </w:r>
      <w:r>
        <w:rPr>
          <w:spacing w:val="-4"/>
        </w:rPr>
        <w:t> </w:t>
      </w:r>
      <w:r>
        <w:rPr/>
        <w:t>by Box Elder County.</w:t>
      </w:r>
    </w:p>
    <w:p>
      <w:pPr>
        <w:pStyle w:val="Heading2"/>
        <w:spacing w:before="229"/>
      </w:pPr>
      <w:r>
        <w:rPr/>
        <w:t>REQUEST</w:t>
      </w:r>
      <w:r>
        <w:rPr>
          <w:spacing w:val="-11"/>
        </w:rPr>
        <w:t> </w:t>
      </w:r>
      <w:r>
        <w:rPr/>
        <w:t>FOR</w:t>
      </w:r>
      <w:r>
        <w:rPr>
          <w:spacing w:val="-5"/>
        </w:rPr>
        <w:t> </w:t>
      </w:r>
      <w:r>
        <w:rPr/>
        <w:t>RELEASE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FUNDS</w:t>
      </w:r>
    </w:p>
    <w:p>
      <w:pPr>
        <w:pStyle w:val="BodyText"/>
        <w:spacing w:line="228" w:lineRule="auto" w:before="4"/>
      </w:pPr>
      <w:r>
        <w:rPr/>
        <w:t>On or about November 8, 2026 the State of Utah, Governor’s Office of Economic Development, Division of</w:t>
      </w:r>
      <w:r>
        <w:rPr>
          <w:spacing w:val="-3"/>
        </w:rPr>
        <w:t> </w:t>
      </w:r>
      <w:r>
        <w:rPr/>
        <w:t>Housing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Development</w:t>
      </w:r>
      <w:r>
        <w:rPr>
          <w:spacing w:val="-3"/>
        </w:rPr>
        <w:t> </w:t>
      </w:r>
      <w:r>
        <w:rPr/>
        <w:t>(DHCD),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submit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request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U.S.</w:t>
      </w:r>
      <w:r>
        <w:rPr>
          <w:spacing w:val="-3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Housing and Urban Development for the release of Community Development Block Grant (CDBG) funds under Title I of the Housing and Community Development</w:t>
      </w:r>
      <w:r>
        <w:rPr>
          <w:spacing w:val="-9"/>
        </w:rPr>
        <w:t> </w:t>
      </w:r>
      <w:r>
        <w:rPr/>
        <w:t>Act of 1974, Public Law 93-383, as amended in 42</w:t>
      </w:r>
    </w:p>
    <w:p>
      <w:pPr>
        <w:pStyle w:val="BodyText"/>
        <w:spacing w:line="228" w:lineRule="auto"/>
        <w:ind w:right="97"/>
      </w:pPr>
      <w:r>
        <w:rPr/>
        <w:t>U.S.C.</w:t>
      </w:r>
      <w:r>
        <w:rPr>
          <w:spacing w:val="-4"/>
        </w:rPr>
        <w:t> </w:t>
      </w:r>
      <w:r>
        <w:rPr/>
        <w:t>5301</w:t>
      </w:r>
      <w:r>
        <w:rPr>
          <w:spacing w:val="-4"/>
        </w:rPr>
        <w:t> </w:t>
      </w:r>
      <w:r>
        <w:rPr/>
        <w:t>et</w:t>
      </w:r>
      <w:r>
        <w:rPr>
          <w:spacing w:val="-4"/>
        </w:rPr>
        <w:t> </w:t>
      </w:r>
      <w:r>
        <w:rPr/>
        <w:t>seq.,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undertake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known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Riverside</w:t>
      </w:r>
      <w:r>
        <w:rPr>
          <w:spacing w:val="-4"/>
        </w:rPr>
        <w:t> </w:t>
      </w:r>
      <w:r>
        <w:rPr/>
        <w:t>North</w:t>
      </w:r>
      <w:r>
        <w:rPr>
          <w:spacing w:val="-4"/>
        </w:rPr>
        <w:t> </w:t>
      </w:r>
      <w:r>
        <w:rPr/>
        <w:t>Garland</w:t>
      </w:r>
      <w:r>
        <w:rPr>
          <w:spacing w:val="-4"/>
        </w:rPr>
        <w:t> </w:t>
      </w:r>
      <w:r>
        <w:rPr/>
        <w:t>Waterline Improvements, located north of Plymouth, Utah 84330.</w:t>
      </w:r>
    </w:p>
    <w:p>
      <w:pPr>
        <w:pStyle w:val="BodyText"/>
        <w:spacing w:line="228" w:lineRule="auto" w:before="238"/>
        <w:ind w:right="97"/>
      </w:pPr>
      <w:r>
        <w:rPr/>
        <w:t>The Riverside North Garland Water Company proposes improvements to its existing culinary water system located east and west of Interstate 15 and north of Plymouth, Utah.</w:t>
      </w:r>
      <w:r>
        <w:rPr>
          <w:spacing w:val="-3"/>
        </w:rPr>
        <w:t> </w:t>
      </w:r>
      <w:r>
        <w:rPr/>
        <w:t>The proposed project would be</w:t>
      </w:r>
      <w:r>
        <w:rPr>
          <w:spacing w:val="-1"/>
        </w:rPr>
        <w:t> </w:t>
      </w:r>
      <w:r>
        <w:rPr/>
        <w:t>funded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part</w:t>
      </w:r>
      <w:r>
        <w:rPr>
          <w:spacing w:val="-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Development</w:t>
      </w:r>
      <w:r>
        <w:rPr>
          <w:spacing w:val="-2"/>
        </w:rPr>
        <w:t> </w:t>
      </w:r>
      <w:r>
        <w:rPr/>
        <w:t>Block</w:t>
      </w:r>
      <w:r>
        <w:rPr>
          <w:spacing w:val="-1"/>
        </w:rPr>
        <w:t> </w:t>
      </w:r>
      <w:r>
        <w:rPr/>
        <w:t>Grant</w:t>
      </w:r>
      <w:r>
        <w:rPr>
          <w:spacing w:val="-1"/>
        </w:rPr>
        <w:t> </w:t>
      </w:r>
      <w:r>
        <w:rPr/>
        <w:t>program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intended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improve system capacity, reliability, and delivery of potable water within the existing service area.</w:t>
      </w:r>
      <w:r>
        <w:rPr>
          <w:spacing w:val="-2"/>
        </w:rPr>
        <w:t> </w:t>
      </w:r>
      <w:r>
        <w:rPr/>
        <w:t>The</w:t>
      </w:r>
      <w:r>
        <w:rPr>
          <w:spacing w:val="-11"/>
        </w:rPr>
        <w:t> </w:t>
      </w:r>
      <w:r>
        <w:rPr/>
        <w:t>Area of Potential Effects (APE) consists of a linear corridor encompassing approximately 4,200 linear feet of pipeline</w:t>
      </w:r>
      <w:r>
        <w:rPr>
          <w:spacing w:val="-3"/>
        </w:rPr>
        <w:t> </w:t>
      </w:r>
      <w:r>
        <w:rPr/>
        <w:t>improvements,</w:t>
      </w:r>
      <w:r>
        <w:rPr>
          <w:spacing w:val="-3"/>
        </w:rPr>
        <w:t> </w:t>
      </w:r>
      <w:r>
        <w:rPr/>
        <w:t>extending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existing</w:t>
      </w:r>
      <w:r>
        <w:rPr>
          <w:spacing w:val="-3"/>
        </w:rPr>
        <w:t> </w:t>
      </w:r>
      <w:r>
        <w:rPr/>
        <w:t>well</w:t>
      </w:r>
      <w:r>
        <w:rPr>
          <w:spacing w:val="-3"/>
        </w:rPr>
        <w:t> </w:t>
      </w:r>
      <w:r>
        <w:rPr/>
        <w:t>site</w:t>
      </w:r>
      <w:r>
        <w:rPr>
          <w:spacing w:val="-3"/>
        </w:rPr>
        <w:t> </w:t>
      </w:r>
      <w:r>
        <w:rPr/>
        <w:t>west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Interstate</w:t>
      </w:r>
      <w:r>
        <w:rPr>
          <w:spacing w:val="-3"/>
        </w:rPr>
        <w:t> </w:t>
      </w:r>
      <w:r>
        <w:rPr/>
        <w:t>15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existing</w:t>
      </w:r>
      <w:r>
        <w:rPr>
          <w:spacing w:val="-3"/>
        </w:rPr>
        <w:t> </w:t>
      </w:r>
      <w:r>
        <w:rPr/>
        <w:t>reservoir complex</w:t>
      </w:r>
      <w:r>
        <w:rPr>
          <w:spacing w:val="-3"/>
        </w:rPr>
        <w:t> </w:t>
      </w:r>
      <w:r>
        <w:rPr/>
        <w:t>east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Interstate</w:t>
      </w:r>
      <w:r>
        <w:rPr>
          <w:spacing w:val="-4"/>
        </w:rPr>
        <w:t> </w:t>
      </w:r>
      <w:r>
        <w:rPr/>
        <w:t>15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distribution</w:t>
      </w:r>
      <w:r>
        <w:rPr>
          <w:spacing w:val="-3"/>
        </w:rPr>
        <w:t> </w:t>
      </w:r>
      <w:r>
        <w:rPr/>
        <w:t>network</w:t>
      </w:r>
      <w:r>
        <w:rPr>
          <w:spacing w:val="-4"/>
        </w:rPr>
        <w:t> </w:t>
      </w:r>
      <w:r>
        <w:rPr/>
        <w:t>along</w:t>
      </w:r>
      <w:r>
        <w:rPr>
          <w:spacing w:val="-3"/>
        </w:rPr>
        <w:t> </w:t>
      </w:r>
      <w:r>
        <w:rPr/>
        <w:t>6000</w:t>
      </w:r>
      <w:r>
        <w:rPr>
          <w:spacing w:val="-4"/>
        </w:rPr>
        <w:t> </w:t>
      </w:r>
      <w:r>
        <w:rPr/>
        <w:t>West.</w:t>
      </w:r>
      <w:r>
        <w:rPr>
          <w:spacing w:val="-7"/>
        </w:rPr>
        <w:t> </w:t>
      </w:r>
      <w:r>
        <w:rPr/>
        <w:t>The</w:t>
      </w:r>
      <w:r>
        <w:rPr>
          <w:spacing w:val="-15"/>
        </w:rPr>
        <w:t> </w:t>
      </w:r>
      <w:r>
        <w:rPr/>
        <w:t>APE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limited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previously developed and maintained utility corridors, including roadway rights-of-way and an existing dirt access road.</w:t>
      </w:r>
      <w:r>
        <w:rPr>
          <w:spacing w:val="-8"/>
        </w:rPr>
        <w:t> </w:t>
      </w:r>
      <w:r>
        <w:rPr/>
        <w:t>Although CDBG funds will only be used for pipeline improvements and installations, the general undertaking includes the following project components: Phase 1 - Welling Well Rehabilitation (Existing Facility): Rehabilitation of an existing well within its current footprint to meet Division of Drinking Water (DDW) requirements. No expansion beyond the previously disturbed well site is proposed. Phase 2 - New Well Connection (Approximately 300 Linear Feet): Construction of approximately 300 linear feet of new 6-inch diameter pipeline to connect the existing well to the existing water transmission system.</w:t>
      </w:r>
    </w:p>
    <w:p>
      <w:pPr>
        <w:pStyle w:val="BodyText"/>
        <w:spacing w:line="228" w:lineRule="auto"/>
        <w:ind w:right="4"/>
      </w:pPr>
      <w:r>
        <w:rPr/>
        <w:t>Installation will occur within an existing disturbed access road. Phase 3 - Distribution Line Upgrade (Approximately 3,900 Linear Feet): Replacement and upsizing of approximately 3,900 linear feet of existing 6-inch pipeline along 6000 West with a new 10-inch diameter pipeline to improve system</w:t>
      </w:r>
      <w:r>
        <w:rPr/>
        <w:t> capacity and conveyance. Work will occur within existing roadway rights-of-way and utility corridors. Existing</w:t>
      </w:r>
      <w:r>
        <w:rPr>
          <w:spacing w:val="-3"/>
        </w:rPr>
        <w:t> </w:t>
      </w:r>
      <w:r>
        <w:rPr/>
        <w:t>pipeline</w:t>
      </w:r>
      <w:r>
        <w:rPr>
          <w:spacing w:val="-3"/>
        </w:rPr>
        <w:t> </w:t>
      </w:r>
      <w:r>
        <w:rPr/>
        <w:t>infrastructure</w:t>
      </w:r>
      <w:r>
        <w:rPr>
          <w:spacing w:val="-3"/>
        </w:rPr>
        <w:t> </w:t>
      </w:r>
      <w:r>
        <w:rPr/>
        <w:t>within</w:t>
      </w:r>
      <w:r>
        <w:rPr>
          <w:spacing w:val="-3"/>
        </w:rPr>
        <w:t> </w:t>
      </w:r>
      <w:r>
        <w:rPr/>
        <w:t>the</w:t>
      </w:r>
      <w:r>
        <w:rPr>
          <w:spacing w:val="-15"/>
        </w:rPr>
        <w:t> </w:t>
      </w:r>
      <w:r>
        <w:rPr/>
        <w:t>APE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remain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place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specifically</w:t>
      </w:r>
      <w:r>
        <w:rPr>
          <w:spacing w:val="-3"/>
        </w:rPr>
        <w:t> </w:t>
      </w:r>
      <w:r>
        <w:rPr/>
        <w:t>improved</w:t>
      </w:r>
      <w:r>
        <w:rPr>
          <w:spacing w:val="-3"/>
        </w:rPr>
        <w:t> </w:t>
      </w:r>
      <w:r>
        <w:rPr/>
        <w:t>but is included in this Environmental</w:t>
      </w:r>
      <w:r>
        <w:rPr>
          <w:spacing w:val="-9"/>
        </w:rPr>
        <w:t> </w:t>
      </w:r>
      <w:r>
        <w:rPr/>
        <w:t>Assessment (EA) to evaluate the full extent of potential environmental effects associated with the undertaking. The project does not involve expansion of the service area or construction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previously</w:t>
      </w:r>
      <w:r>
        <w:rPr>
          <w:spacing w:val="-3"/>
        </w:rPr>
        <w:t> </w:t>
      </w:r>
      <w:r>
        <w:rPr/>
        <w:t>undisturbed</w:t>
      </w:r>
      <w:r>
        <w:rPr>
          <w:spacing w:val="-3"/>
        </w:rPr>
        <w:t> </w:t>
      </w:r>
      <w:r>
        <w:rPr/>
        <w:t>locations.</w:t>
      </w:r>
      <w:r>
        <w:rPr>
          <w:spacing w:val="-15"/>
        </w:rPr>
        <w:t> </w:t>
      </w:r>
      <w:r>
        <w:rPr/>
        <w:t>All</w:t>
      </w:r>
      <w:r>
        <w:rPr>
          <w:spacing w:val="-3"/>
        </w:rPr>
        <w:t> </w:t>
      </w:r>
      <w:r>
        <w:rPr/>
        <w:t>ground</w:t>
      </w:r>
      <w:r>
        <w:rPr>
          <w:spacing w:val="-3"/>
        </w:rPr>
        <w:t> </w:t>
      </w:r>
      <w:r>
        <w:rPr/>
        <w:t>disturbance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confined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existing</w:t>
      </w:r>
      <w:r>
        <w:rPr>
          <w:spacing w:val="-3"/>
        </w:rPr>
        <w:t> </w:t>
      </w:r>
      <w:r>
        <w:rPr/>
        <w:t>rights-of-way, access roads, and previously disturbed areas.</w:t>
      </w:r>
    </w:p>
    <w:p>
      <w:pPr>
        <w:pStyle w:val="BodyText"/>
        <w:spacing w:line="246" w:lineRule="exact" w:before="222"/>
      </w:pPr>
      <w:r>
        <w:rPr/>
        <w:t>This</w:t>
      </w:r>
      <w:r>
        <w:rPr>
          <w:spacing w:val="-7"/>
        </w:rPr>
        <w:t> </w:t>
      </w:r>
      <w:r>
        <w:rPr/>
        <w:t>project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requesting</w:t>
      </w:r>
      <w:r>
        <w:rPr>
          <w:spacing w:val="-4"/>
        </w:rPr>
        <w:t> </w:t>
      </w:r>
      <w:r>
        <w:rPr/>
        <w:t>$195,000.00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CDBG</w:t>
      </w:r>
      <w:r>
        <w:rPr>
          <w:spacing w:val="-4"/>
        </w:rPr>
        <w:t> </w:t>
      </w:r>
      <w:r>
        <w:rPr/>
        <w:t>funding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part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projected</w:t>
      </w:r>
      <w:r>
        <w:rPr>
          <w:spacing w:val="-5"/>
        </w:rPr>
        <w:t> </w:t>
      </w:r>
      <w:r>
        <w:rPr/>
        <w:t>total</w:t>
      </w:r>
      <w:r>
        <w:rPr>
          <w:spacing w:val="-5"/>
        </w:rPr>
        <w:t> </w:t>
      </w:r>
      <w:r>
        <w:rPr/>
        <w:t>cost</w:t>
      </w:r>
      <w:r>
        <w:rPr>
          <w:spacing w:val="-4"/>
        </w:rPr>
        <w:t> </w:t>
      </w:r>
      <w:r>
        <w:rPr>
          <w:spacing w:val="-5"/>
        </w:rPr>
        <w:t>of:</w:t>
      </w:r>
    </w:p>
    <w:p>
      <w:pPr>
        <w:pStyle w:val="BodyText"/>
        <w:spacing w:line="246" w:lineRule="exact"/>
      </w:pPr>
      <w:r>
        <w:rPr>
          <w:spacing w:val="-2"/>
        </w:rPr>
        <w:t>$1,019,910.00</w:t>
      </w:r>
    </w:p>
    <w:p>
      <w:pPr>
        <w:pStyle w:val="BodyText"/>
        <w:spacing w:before="214"/>
        <w:ind w:left="0"/>
      </w:pPr>
    </w:p>
    <w:p>
      <w:pPr>
        <w:pStyle w:val="Heading2"/>
        <w:spacing w:before="0"/>
      </w:pPr>
      <w:r>
        <w:rPr/>
        <w:t>FINDING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/>
        <w:t>SIGNIFICANT</w:t>
      </w:r>
      <w:r>
        <w:rPr>
          <w:spacing w:val="-9"/>
        </w:rPr>
        <w:t> </w:t>
      </w:r>
      <w:r>
        <w:rPr>
          <w:spacing w:val="-2"/>
        </w:rPr>
        <w:t>IMPACT</w:t>
      </w:r>
    </w:p>
    <w:p>
      <w:pPr>
        <w:pStyle w:val="BodyText"/>
        <w:spacing w:line="228" w:lineRule="auto" w:before="4"/>
        <w:ind w:right="28"/>
      </w:pPr>
      <w:r>
        <w:rPr/>
        <w:t>DHCD has determined that the project will have no significant environmental impact. Therefore, an Environmental</w:t>
      </w:r>
      <w:r>
        <w:rPr>
          <w:spacing w:val="-6"/>
        </w:rPr>
        <w:t> </w:t>
      </w:r>
      <w:r>
        <w:rPr/>
        <w:t>Impact</w:t>
      </w:r>
      <w:r>
        <w:rPr>
          <w:spacing w:val="-6"/>
        </w:rPr>
        <w:t> </w:t>
      </w:r>
      <w:r>
        <w:rPr/>
        <w:t>Statement</w:t>
      </w:r>
      <w:r>
        <w:rPr>
          <w:spacing w:val="-6"/>
        </w:rPr>
        <w:t> </w:t>
      </w:r>
      <w:r>
        <w:rPr/>
        <w:t>under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National</w:t>
      </w:r>
      <w:r>
        <w:rPr>
          <w:spacing w:val="-6"/>
        </w:rPr>
        <w:t> </w:t>
      </w:r>
      <w:r>
        <w:rPr/>
        <w:t>Environmental</w:t>
      </w:r>
      <w:r>
        <w:rPr>
          <w:spacing w:val="-6"/>
        </w:rPr>
        <w:t> </w:t>
      </w:r>
      <w:r>
        <w:rPr/>
        <w:t>Protection</w:t>
      </w:r>
      <w:r>
        <w:rPr>
          <w:spacing w:val="-6"/>
        </w:rPr>
        <w:t> </w:t>
      </w:r>
      <w:r>
        <w:rPr/>
        <w:t>Policy</w:t>
      </w:r>
      <w:r>
        <w:rPr>
          <w:spacing w:val="-16"/>
        </w:rPr>
        <w:t> </w:t>
      </w:r>
      <w:r>
        <w:rPr/>
        <w:t>Act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1969</w:t>
      </w:r>
      <w:r>
        <w:rPr>
          <w:spacing w:val="-6"/>
        </w:rPr>
        <w:t> </w:t>
      </w:r>
      <w:r>
        <w:rPr/>
        <w:t>(NEPA) is not required.</w:t>
      </w:r>
      <w:r>
        <w:rPr>
          <w:spacing w:val="-8"/>
        </w:rPr>
        <w:t> </w:t>
      </w:r>
      <w:r>
        <w:rPr/>
        <w:t>Additional project information is contained within the Environmental Review Record</w:t>
      </w:r>
      <w:r>
        <w:rPr/>
        <w:t> (ERR) on file with the Utah DHCD office. Email </w:t>
      </w:r>
      <w:hyperlink r:id="rId5">
        <w:r>
          <w:rPr>
            <w:u w:val="single"/>
          </w:rPr>
          <w:t>brandoncc@utah.gov</w:t>
        </w:r>
      </w:hyperlink>
      <w:r>
        <w:rPr>
          <w:u w:val="none"/>
        </w:rPr>
        <w:t> for electronic copies of the ERR.</w:t>
      </w:r>
    </w:p>
    <w:p>
      <w:pPr>
        <w:pStyle w:val="Heading2"/>
      </w:pPr>
      <w:r>
        <w:rPr/>
        <w:t>PUBLIC</w:t>
      </w:r>
      <w:r>
        <w:rPr>
          <w:spacing w:val="-6"/>
        </w:rPr>
        <w:t> </w:t>
      </w:r>
      <w:r>
        <w:rPr>
          <w:spacing w:val="-2"/>
        </w:rPr>
        <w:t>COMMENTS</w:t>
      </w:r>
    </w:p>
    <w:p>
      <w:pPr>
        <w:pStyle w:val="BodyText"/>
        <w:spacing w:line="228" w:lineRule="auto" w:before="4"/>
        <w:ind w:right="272"/>
        <w:jc w:val="both"/>
      </w:pPr>
      <w:r>
        <w:rPr/>
        <w:t>Any individual, group, or agency may email comments to DHCD’s Environmental Review Specialist at </w:t>
      </w:r>
      <w:hyperlink r:id="rId5">
        <w:r>
          <w:rPr>
            <w:u w:val="single"/>
          </w:rPr>
          <w:t>brandoncc@utah.gov</w:t>
        </w:r>
      </w:hyperlink>
      <w:r>
        <w:rPr>
          <w:u w:val="none"/>
        </w:rPr>
        <w:t>.</w:t>
      </w:r>
      <w:r>
        <w:rPr>
          <w:spacing w:val="-15"/>
          <w:u w:val="none"/>
        </w:rPr>
        <w:t> </w:t>
      </w:r>
      <w:r>
        <w:rPr>
          <w:u w:val="none"/>
        </w:rPr>
        <w:t>All</w:t>
      </w:r>
      <w:r>
        <w:rPr>
          <w:spacing w:val="-3"/>
          <w:u w:val="none"/>
        </w:rPr>
        <w:t> </w:t>
      </w:r>
      <w:r>
        <w:rPr>
          <w:u w:val="none"/>
        </w:rPr>
        <w:t>comments</w:t>
      </w:r>
      <w:r>
        <w:rPr>
          <w:spacing w:val="-3"/>
          <w:u w:val="none"/>
        </w:rPr>
        <w:t> </w:t>
      </w:r>
      <w:r>
        <w:rPr>
          <w:u w:val="none"/>
        </w:rPr>
        <w:t>received</w:t>
      </w:r>
      <w:r>
        <w:rPr>
          <w:spacing w:val="-3"/>
          <w:u w:val="none"/>
        </w:rPr>
        <w:t> </w:t>
      </w:r>
      <w:r>
        <w:rPr>
          <w:u w:val="none"/>
        </w:rPr>
        <w:t>by</w:t>
      </w:r>
      <w:r>
        <w:rPr>
          <w:spacing w:val="-3"/>
          <w:u w:val="none"/>
        </w:rPr>
        <w:t> </w:t>
      </w:r>
      <w:r>
        <w:rPr>
          <w:u w:val="none"/>
        </w:rPr>
        <w:t>November</w:t>
      </w:r>
      <w:r>
        <w:rPr>
          <w:spacing w:val="-3"/>
          <w:u w:val="none"/>
        </w:rPr>
        <w:t> </w:t>
      </w:r>
      <w:r>
        <w:rPr>
          <w:u w:val="none"/>
        </w:rPr>
        <w:t>7,</w:t>
      </w:r>
      <w:r>
        <w:rPr>
          <w:spacing w:val="-3"/>
          <w:u w:val="none"/>
        </w:rPr>
        <w:t> </w:t>
      </w:r>
      <w:r>
        <w:rPr>
          <w:u w:val="none"/>
        </w:rPr>
        <w:t>2026,</w:t>
      </w:r>
      <w:r>
        <w:rPr>
          <w:spacing w:val="-2"/>
          <w:u w:val="none"/>
        </w:rPr>
        <w:t> </w:t>
      </w:r>
      <w:r>
        <w:rPr>
          <w:u w:val="none"/>
        </w:rPr>
        <w:t>will</w:t>
      </w:r>
      <w:r>
        <w:rPr>
          <w:spacing w:val="-2"/>
          <w:u w:val="none"/>
        </w:rPr>
        <w:t> </w:t>
      </w:r>
      <w:r>
        <w:rPr>
          <w:u w:val="none"/>
        </w:rPr>
        <w:t>be</w:t>
      </w:r>
      <w:r>
        <w:rPr>
          <w:spacing w:val="-3"/>
          <w:u w:val="none"/>
        </w:rPr>
        <w:t> </w:t>
      </w:r>
      <w:r>
        <w:rPr>
          <w:u w:val="none"/>
        </w:rPr>
        <w:t>considered</w:t>
      </w:r>
      <w:r>
        <w:rPr>
          <w:spacing w:val="-3"/>
          <w:u w:val="none"/>
        </w:rPr>
        <w:t> </w:t>
      </w:r>
      <w:r>
        <w:rPr>
          <w:u w:val="none"/>
        </w:rPr>
        <w:t>by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3"/>
          <w:u w:val="none"/>
        </w:rPr>
        <w:t> </w:t>
      </w:r>
      <w:r>
        <w:rPr>
          <w:u w:val="none"/>
        </w:rPr>
        <w:t>State</w:t>
      </w:r>
      <w:r>
        <w:rPr>
          <w:spacing w:val="-3"/>
          <w:u w:val="none"/>
        </w:rPr>
        <w:t> </w:t>
      </w:r>
      <w:r>
        <w:rPr>
          <w:u w:val="none"/>
        </w:rPr>
        <w:t>of Utah</w:t>
      </w:r>
      <w:r>
        <w:rPr>
          <w:spacing w:val="-3"/>
          <w:u w:val="none"/>
        </w:rPr>
        <w:t> </w:t>
      </w:r>
      <w:r>
        <w:rPr>
          <w:u w:val="none"/>
        </w:rPr>
        <w:t>prior</w:t>
      </w:r>
      <w:r>
        <w:rPr>
          <w:spacing w:val="-3"/>
          <w:u w:val="none"/>
        </w:rPr>
        <w:t> </w:t>
      </w:r>
      <w:r>
        <w:rPr>
          <w:u w:val="none"/>
        </w:rPr>
        <w:t>to</w:t>
      </w:r>
      <w:r>
        <w:rPr>
          <w:spacing w:val="-3"/>
          <w:u w:val="none"/>
        </w:rPr>
        <w:t> </w:t>
      </w:r>
      <w:r>
        <w:rPr>
          <w:u w:val="none"/>
        </w:rPr>
        <w:t>authorizing</w:t>
      </w:r>
      <w:r>
        <w:rPr>
          <w:spacing w:val="-3"/>
          <w:u w:val="none"/>
        </w:rPr>
        <w:t> </w:t>
      </w:r>
      <w:r>
        <w:rPr>
          <w:u w:val="none"/>
        </w:rPr>
        <w:t>submission</w:t>
      </w:r>
      <w:r>
        <w:rPr>
          <w:spacing w:val="-3"/>
          <w:u w:val="none"/>
        </w:rPr>
        <w:t> </w:t>
      </w:r>
      <w:r>
        <w:rPr>
          <w:u w:val="none"/>
        </w:rPr>
        <w:t>of</w:t>
      </w:r>
      <w:r>
        <w:rPr>
          <w:spacing w:val="-3"/>
          <w:u w:val="none"/>
        </w:rPr>
        <w:t> </w:t>
      </w:r>
      <w:r>
        <w:rPr>
          <w:u w:val="none"/>
        </w:rPr>
        <w:t>a</w:t>
      </w:r>
      <w:r>
        <w:rPr>
          <w:spacing w:val="-3"/>
          <w:u w:val="none"/>
        </w:rPr>
        <w:t> </w:t>
      </w:r>
      <w:r>
        <w:rPr>
          <w:u w:val="none"/>
        </w:rPr>
        <w:t>request</w:t>
      </w:r>
      <w:r>
        <w:rPr>
          <w:spacing w:val="-3"/>
          <w:u w:val="none"/>
        </w:rPr>
        <w:t> </w:t>
      </w:r>
      <w:r>
        <w:rPr>
          <w:u w:val="none"/>
        </w:rPr>
        <w:t>for</w:t>
      </w:r>
      <w:r>
        <w:rPr>
          <w:spacing w:val="-3"/>
          <w:u w:val="none"/>
        </w:rPr>
        <w:t> </w:t>
      </w:r>
      <w:r>
        <w:rPr>
          <w:u w:val="none"/>
        </w:rPr>
        <w:t>release</w:t>
      </w:r>
      <w:r>
        <w:rPr>
          <w:spacing w:val="-3"/>
          <w:u w:val="none"/>
        </w:rPr>
        <w:t> </w:t>
      </w:r>
      <w:r>
        <w:rPr>
          <w:u w:val="none"/>
        </w:rPr>
        <w:t>of</w:t>
      </w:r>
      <w:r>
        <w:rPr>
          <w:spacing w:val="-3"/>
          <w:u w:val="none"/>
        </w:rPr>
        <w:t> </w:t>
      </w:r>
      <w:r>
        <w:rPr>
          <w:u w:val="none"/>
        </w:rPr>
        <w:t>funds.</w:t>
      </w:r>
      <w:r>
        <w:rPr>
          <w:spacing w:val="-3"/>
          <w:u w:val="none"/>
        </w:rPr>
        <w:t> </w:t>
      </w:r>
      <w:r>
        <w:rPr>
          <w:u w:val="none"/>
        </w:rPr>
        <w:t>Comments</w:t>
      </w:r>
      <w:r>
        <w:rPr>
          <w:spacing w:val="-3"/>
          <w:u w:val="none"/>
        </w:rPr>
        <w:t> </w:t>
      </w:r>
      <w:r>
        <w:rPr>
          <w:u w:val="none"/>
        </w:rPr>
        <w:t>should</w:t>
      </w:r>
      <w:r>
        <w:rPr>
          <w:spacing w:val="-3"/>
          <w:u w:val="none"/>
        </w:rPr>
        <w:t> </w:t>
      </w:r>
      <w:r>
        <w:rPr>
          <w:u w:val="none"/>
        </w:rPr>
        <w:t>specify</w:t>
      </w:r>
      <w:r>
        <w:rPr>
          <w:spacing w:val="-3"/>
          <w:u w:val="none"/>
        </w:rPr>
        <w:t> </w:t>
      </w:r>
      <w:r>
        <w:rPr>
          <w:u w:val="none"/>
        </w:rPr>
        <w:t>which Notice they are addressing.</w:t>
      </w:r>
    </w:p>
    <w:p>
      <w:pPr>
        <w:pStyle w:val="BodyText"/>
        <w:spacing w:after="0" w:line="228" w:lineRule="auto"/>
        <w:jc w:val="both"/>
        <w:sectPr>
          <w:type w:val="continuous"/>
          <w:pgSz w:w="11900" w:h="16840"/>
          <w:pgMar w:top="740" w:bottom="280" w:left="708" w:right="850"/>
        </w:sectPr>
      </w:pPr>
    </w:p>
    <w:p>
      <w:pPr>
        <w:pStyle w:val="Heading2"/>
        <w:spacing w:before="70"/>
      </w:pPr>
      <w:r>
        <w:rPr>
          <w:spacing w:val="-2"/>
        </w:rPr>
        <w:t>ENVIRONMENTAL</w:t>
      </w:r>
      <w:r>
        <w:rPr>
          <w:spacing w:val="-11"/>
        </w:rPr>
        <w:t> </w:t>
      </w:r>
      <w:r>
        <w:rPr>
          <w:spacing w:val="-2"/>
        </w:rPr>
        <w:t>CERTIFICATION</w:t>
      </w:r>
    </w:p>
    <w:p>
      <w:pPr>
        <w:pStyle w:val="BodyText"/>
        <w:spacing w:line="228" w:lineRule="auto" w:before="4"/>
      </w:pPr>
      <w:r>
        <w:rPr/>
        <w:t>DHCD certifies to HUD that</w:t>
      </w:r>
      <w:r>
        <w:rPr>
          <w:spacing w:val="-2"/>
        </w:rPr>
        <w:t> </w:t>
      </w:r>
      <w:r>
        <w:rPr/>
        <w:t>Tricia Davis Winter, in her official capacity as DHCD Managing Director, consents to accept the jurisdiction of the Federal Courts if an action is brought to enforce responsibilities in</w:t>
      </w:r>
      <w:r>
        <w:rPr>
          <w:spacing w:val="-4"/>
        </w:rPr>
        <w:t> </w:t>
      </w:r>
      <w:r>
        <w:rPr/>
        <w:t>relation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environmental</w:t>
      </w:r>
      <w:r>
        <w:rPr>
          <w:spacing w:val="-4"/>
        </w:rPr>
        <w:t> </w:t>
      </w:r>
      <w:r>
        <w:rPr/>
        <w:t>review</w:t>
      </w:r>
      <w:r>
        <w:rPr>
          <w:spacing w:val="-4"/>
        </w:rPr>
        <w:t> </w:t>
      </w:r>
      <w:r>
        <w:rPr/>
        <w:t>process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responsibilities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satisfied.</w:t>
      </w:r>
      <w:r>
        <w:rPr>
          <w:spacing w:val="-4"/>
        </w:rPr>
        <w:t> </w:t>
      </w:r>
      <w:r>
        <w:rPr/>
        <w:t>HUD’s approval of the certification satisfies its responsibilities under NEPA</w:t>
      </w:r>
      <w:r>
        <w:rPr>
          <w:spacing w:val="-11"/>
        </w:rPr>
        <w:t> </w:t>
      </w:r>
      <w:r>
        <w:rPr/>
        <w:t>and related laws and authorities and allows DHCD to use Program funds.</w:t>
      </w:r>
    </w:p>
    <w:p>
      <w:pPr>
        <w:pStyle w:val="Heading2"/>
      </w:pPr>
      <w:r>
        <w:rPr>
          <w:u w:val="single"/>
        </w:rPr>
        <w:t>OBJECTIONS</w:t>
      </w:r>
      <w:r>
        <w:rPr>
          <w:spacing w:val="-10"/>
          <w:u w:val="single"/>
        </w:rPr>
        <w:t> </w:t>
      </w:r>
      <w:r>
        <w:rPr>
          <w:u w:val="single"/>
        </w:rPr>
        <w:t>TO</w:t>
      </w:r>
      <w:r>
        <w:rPr>
          <w:spacing w:val="-5"/>
          <w:u w:val="single"/>
        </w:rPr>
        <w:t> </w:t>
      </w:r>
      <w:r>
        <w:rPr>
          <w:u w:val="single"/>
        </w:rPr>
        <w:t>HUD</w:t>
      </w:r>
      <w:r>
        <w:rPr>
          <w:spacing w:val="-6"/>
          <w:u w:val="single"/>
        </w:rPr>
        <w:t> </w:t>
      </w:r>
      <w:r>
        <w:rPr>
          <w:u w:val="single"/>
        </w:rPr>
        <w:t>RELEASE</w:t>
      </w:r>
      <w:r>
        <w:rPr>
          <w:spacing w:val="-5"/>
          <w:u w:val="single"/>
        </w:rPr>
        <w:t> </w:t>
      </w:r>
      <w:r>
        <w:rPr>
          <w:u w:val="single"/>
        </w:rPr>
        <w:t>OF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FUNDS</w:t>
      </w:r>
    </w:p>
    <w:p>
      <w:pPr>
        <w:pStyle w:val="BodyText"/>
        <w:spacing w:line="228" w:lineRule="auto" w:before="4"/>
      </w:pPr>
      <w:r>
        <w:rPr/>
        <w:t>HUD will accept objections to its release of funds and DHCD’s certification for a period of fifteen days following the anticipated submission date or its actual receipt of the request (whichever is later) only if they are on one of the following bases: (a) the certification was not executed by the Certifying Officer of DHCD;</w:t>
      </w:r>
      <w:r>
        <w:rPr>
          <w:spacing w:val="-3"/>
        </w:rPr>
        <w:t> </w:t>
      </w:r>
      <w:r>
        <w:rPr/>
        <w:t>(b)</w:t>
      </w:r>
      <w:r>
        <w:rPr>
          <w:spacing w:val="-3"/>
        </w:rPr>
        <w:t> </w:t>
      </w:r>
      <w:r>
        <w:rPr/>
        <w:t>DHCD</w:t>
      </w:r>
      <w:r>
        <w:rPr>
          <w:spacing w:val="-3"/>
        </w:rPr>
        <w:t> </w:t>
      </w:r>
      <w:r>
        <w:rPr/>
        <w:t>has</w:t>
      </w:r>
      <w:r>
        <w:rPr>
          <w:spacing w:val="-3"/>
        </w:rPr>
        <w:t> </w:t>
      </w:r>
      <w:r>
        <w:rPr/>
        <w:t>omitted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step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failed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decision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finding</w:t>
      </w:r>
      <w:r>
        <w:rPr>
          <w:spacing w:val="-3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U.S.</w:t>
      </w:r>
      <w:r>
        <w:rPr>
          <w:spacing w:val="-3"/>
        </w:rPr>
        <w:t> </w:t>
      </w:r>
      <w:r>
        <w:rPr/>
        <w:t>Department of Housing and Urban Development regulations at 24 CFR Part 58; (c) the grant recipient or other participants in the development process have committed funds, incurred costs, or undertaken activities not authorized by 24 CFR Part 58 before approval of a release of funds by HUD; or (d) another Federal agency, acting pursuant to 40 CFR part 1504, has submitted a written finding that the project is unsatisfactory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standpoint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environmental</w:t>
      </w:r>
      <w:r>
        <w:rPr>
          <w:spacing w:val="-3"/>
        </w:rPr>
        <w:t> </w:t>
      </w:r>
      <w:r>
        <w:rPr/>
        <w:t>quality.</w:t>
      </w:r>
      <w:r>
        <w:rPr>
          <w:spacing w:val="40"/>
        </w:rPr>
        <w:t> </w:t>
      </w:r>
      <w:r>
        <w:rPr/>
        <w:t>Objections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prepared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submitted via email in accordance with the required procedures (24 CFR Part 58, Sec. 58.76) and shall be addressed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Noemi</w:t>
      </w:r>
      <w:r>
        <w:rPr>
          <w:spacing w:val="-6"/>
        </w:rPr>
        <w:t> </w:t>
      </w:r>
      <w:r>
        <w:rPr/>
        <w:t>Ghirghi,</w:t>
      </w:r>
      <w:r>
        <w:rPr>
          <w:spacing w:val="-6"/>
        </w:rPr>
        <w:t> </w:t>
      </w:r>
      <w:r>
        <w:rPr/>
        <w:t>CPD</w:t>
      </w:r>
      <w:r>
        <w:rPr>
          <w:spacing w:val="-6"/>
        </w:rPr>
        <w:t> </w:t>
      </w:r>
      <w:r>
        <w:rPr/>
        <w:t>Region</w:t>
      </w:r>
      <w:r>
        <w:rPr>
          <w:spacing w:val="-6"/>
        </w:rPr>
        <w:t> </w:t>
      </w:r>
      <w:r>
        <w:rPr/>
        <w:t>VIII</w:t>
      </w:r>
      <w:r>
        <w:rPr>
          <w:spacing w:val="-6"/>
        </w:rPr>
        <w:t> </w:t>
      </w:r>
      <w:r>
        <w:rPr/>
        <w:t>Director,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hyperlink r:id="rId6">
        <w:r>
          <w:rPr/>
          <w:t>CPDRROFDEN@hud.gov</w:t>
        </w:r>
      </w:hyperlink>
      <w:r>
        <w:rPr/>
        <w:t>.</w:t>
      </w:r>
      <w:r>
        <w:rPr>
          <w:spacing w:val="-6"/>
        </w:rPr>
        <w:t> </w:t>
      </w:r>
      <w:r>
        <w:rPr/>
        <w:t>Potential</w:t>
      </w:r>
      <w:r>
        <w:rPr>
          <w:spacing w:val="-6"/>
        </w:rPr>
        <w:t> </w:t>
      </w:r>
      <w:r>
        <w:rPr/>
        <w:t>objectors should contact </w:t>
      </w:r>
      <w:hyperlink r:id="rId6">
        <w:r>
          <w:rPr/>
          <w:t>CPDRROFDEN@hud.gov</w:t>
        </w:r>
      </w:hyperlink>
      <w:r>
        <w:rPr/>
        <w:t> to verify the actual last day of the objection period.</w:t>
      </w:r>
    </w:p>
    <w:p>
      <w:pPr>
        <w:pStyle w:val="BodyText"/>
        <w:spacing w:line="246" w:lineRule="exact" w:before="225"/>
      </w:pPr>
      <w:r>
        <w:rPr/>
        <w:t>Tricia</w:t>
      </w:r>
      <w:r>
        <w:rPr>
          <w:spacing w:val="-12"/>
        </w:rPr>
        <w:t> </w:t>
      </w:r>
      <w:r>
        <w:rPr/>
        <w:t>Davis</w:t>
      </w:r>
      <w:r>
        <w:rPr>
          <w:spacing w:val="-11"/>
        </w:rPr>
        <w:t> </w:t>
      </w:r>
      <w:r>
        <w:rPr/>
        <w:t>Winter,</w:t>
      </w:r>
      <w:r>
        <w:rPr>
          <w:spacing w:val="-12"/>
        </w:rPr>
        <w:t> </w:t>
      </w:r>
      <w:r>
        <w:rPr/>
        <w:t>Managing</w:t>
      </w:r>
      <w:r>
        <w:rPr>
          <w:spacing w:val="-11"/>
        </w:rPr>
        <w:t> </w:t>
      </w:r>
      <w:r>
        <w:rPr>
          <w:spacing w:val="-2"/>
        </w:rPr>
        <w:t>Director</w:t>
      </w:r>
    </w:p>
    <w:p>
      <w:pPr>
        <w:pStyle w:val="BodyText"/>
        <w:spacing w:line="228" w:lineRule="auto" w:before="4"/>
        <w:ind w:right="3816"/>
      </w:pPr>
      <w:r>
        <w:rPr/>
        <w:t>State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Utah</w:t>
      </w:r>
      <w:r>
        <w:rPr>
          <w:spacing w:val="-6"/>
        </w:rPr>
        <w:t> </w:t>
      </w:r>
      <w:r>
        <w:rPr/>
        <w:t>Governor’s</w:t>
      </w:r>
      <w:r>
        <w:rPr>
          <w:spacing w:val="-6"/>
        </w:rPr>
        <w:t> </w:t>
      </w:r>
      <w:r>
        <w:rPr/>
        <w:t>Office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Economic</w:t>
      </w:r>
      <w:r>
        <w:rPr>
          <w:spacing w:val="-6"/>
        </w:rPr>
        <w:t> </w:t>
      </w:r>
      <w:r>
        <w:rPr/>
        <w:t>Development Division of Housing &amp; Community Development</w:t>
      </w:r>
    </w:p>
    <w:sectPr>
      <w:pgSz w:w="11900" w:h="16840"/>
      <w:pgMar w:top="62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3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left="131" w:right="1930" w:firstLine="260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28" w:line="246" w:lineRule="exact"/>
      <w:ind w:left="152"/>
      <w:jc w:val="center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randoncc@utah.gov" TargetMode="External"/><Relationship Id="rId6" Type="http://schemas.openxmlformats.org/officeDocument/2006/relationships/hyperlink" Target="mailto:CPDRROFDEN@hud.gov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2026-10-22T21:44:29Z</dcterms:created>
  <dcterms:modified xsi:type="dcterms:W3CDTF">2026-10-22T21:44:29Z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2026-10-22T00:00:00Z</vt:filetime>
  </property>
  <property fmtid="{D5CDD505-2E9C-101B-9397-08002B2CF9AE}" pid="5" name="Producer">
    <vt:lpwstr>Skia/PDF m153</vt:lpwstr>
  </property>
</Properties>
</file>