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FD3AB" w14:textId="77777777" w:rsidR="005C25DF" w:rsidRPr="00330434" w:rsidRDefault="005C25DF" w:rsidP="00940D95">
      <w:pPr>
        <w:pStyle w:val="TitleCenterBold"/>
        <w:spacing w:before="0"/>
        <w:rPr>
          <w:lang w:val="es-AR"/>
        </w:rPr>
      </w:pPr>
      <w:r>
        <w:rPr>
          <w:bCs/>
          <w:lang/>
        </w:rPr>
        <w:t>Aviso de Audiencia Pública</w:t>
      </w:r>
    </w:p>
    <w:p w14:paraId="62F83A20" w14:textId="77777777" w:rsidR="005C25DF" w:rsidRPr="00330434" w:rsidRDefault="00CB0A45" w:rsidP="00940D95">
      <w:pPr>
        <w:pStyle w:val="TitleCenterBold"/>
        <w:spacing w:before="200"/>
        <w:rPr>
          <w:lang w:val="es-AR"/>
        </w:rPr>
      </w:pPr>
      <w:r>
        <w:rPr>
          <w:bCs/>
          <w:lang/>
        </w:rPr>
        <w:t>Condado de Salt Lake, Utah</w:t>
      </w:r>
    </w:p>
    <w:p w14:paraId="67DAC7A5" w14:textId="77777777" w:rsidR="005C25DF" w:rsidRPr="00330434" w:rsidRDefault="005C25DF" w:rsidP="00940D95">
      <w:pPr>
        <w:pStyle w:val="ParaNORMAL"/>
        <w:spacing w:before="200" w:line="240" w:lineRule="auto"/>
        <w:rPr>
          <w:lang w:val="es-AR"/>
        </w:rPr>
      </w:pPr>
      <w:r>
        <w:rPr>
          <w:smallCaps/>
          <w:lang/>
        </w:rPr>
        <w:t>Se da Aviso Público</w:t>
      </w:r>
      <w:r>
        <w:rPr>
          <w:lang/>
        </w:rPr>
        <w:t xml:space="preserve"> de que el martes 4 de agosto de 2026, según lo enmendado el martes 18 de agosto de 2026, el Consejo del Condado (el </w:t>
      </w:r>
      <w:r>
        <w:rPr>
          <w:i/>
          <w:iCs/>
          <w:lang/>
        </w:rPr>
        <w:t>“Consejo del Condado”</w:t>
      </w:r>
      <w:r>
        <w:rPr>
          <w:lang/>
        </w:rPr>
        <w:t xml:space="preserve">) del Condado de Salt Lake, Utah (el </w:t>
      </w:r>
      <w:r>
        <w:rPr>
          <w:i/>
          <w:iCs/>
          <w:lang/>
        </w:rPr>
        <w:t>“Condado”</w:t>
      </w:r>
      <w:r>
        <w:rPr>
          <w:lang/>
        </w:rPr>
        <w:t xml:space="preserve">) adoptó una resolución (la </w:t>
      </w:r>
      <w:r>
        <w:rPr>
          <w:i/>
          <w:iCs/>
          <w:lang/>
        </w:rPr>
        <w:t>“Resolución”</w:t>
      </w:r>
      <w:r>
        <w:rPr>
          <w:lang/>
        </w:rPr>
        <w:t xml:space="preserve">) para estipular una elección local de bonos especiales que se llevará a cabo en el Condado el martes 3 de noviembre de 2026, con el propósito de presentar a los electores calificados del Condado el asunto de la emisión de bonos de obligación general por un monto que no exceda los $128,000,000 (la </w:t>
      </w:r>
      <w:r>
        <w:rPr>
          <w:i/>
          <w:iCs/>
          <w:lang/>
        </w:rPr>
        <w:t>“Elección Local de Bonos Especiales”</w:t>
      </w:r>
      <w:r>
        <w:rPr>
          <w:lang/>
        </w:rPr>
        <w:t>) y convocar una audiencia pública para recibir opiniones del público con respecto a la emisión de bonos de obligación general y el posible impacto económico que la mejora, instalación o propiedad para la cual los bonos paguen total o parcialmente el costo tendrá en el sector privado, conforme a la Sección 11-14-318 del Código Comentado de Utah de 1953, según lo enmendado.</w:t>
      </w:r>
    </w:p>
    <w:p w14:paraId="4F2A05F8" w14:textId="77777777" w:rsidR="005C25DF" w:rsidRPr="00330434" w:rsidRDefault="005C25DF" w:rsidP="00940D95">
      <w:pPr>
        <w:pStyle w:val="TitleCenterBold"/>
        <w:spacing w:before="200" w:line="240" w:lineRule="auto"/>
        <w:rPr>
          <w:b w:val="0"/>
          <w:lang w:val="es-AR"/>
        </w:rPr>
      </w:pPr>
      <w:r>
        <w:rPr>
          <w:b w:val="0"/>
          <w:lang/>
        </w:rPr>
        <w:t>Propósito para la Emisión de Bonos de Obligación General</w:t>
      </w:r>
    </w:p>
    <w:p w14:paraId="1A33CCB1" w14:textId="77777777" w:rsidR="005C25DF" w:rsidRPr="00330434" w:rsidRDefault="005C25DF" w:rsidP="00940D95">
      <w:pPr>
        <w:pStyle w:val="ParaNORMAL"/>
        <w:spacing w:before="200" w:line="240" w:lineRule="auto"/>
        <w:rPr>
          <w:lang w:val="es-AR"/>
        </w:rPr>
      </w:pPr>
      <w:r>
        <w:rPr>
          <w:lang/>
        </w:rPr>
        <w:t>Si los votantes elegibles lo aprueban en la Elección Local de Bonos Especiales, el Condado tiene la intención de emitir bonos de obligación general con el propósito de brindar fondos para</w:t>
      </w:r>
      <w:r>
        <w:rPr>
          <w:color w:val="000000" w:themeColor="text1"/>
          <w:lang/>
        </w:rPr>
        <w:t xml:space="preserve"> reparar, completar, adquirir, construir o renovar espacios abiertos, hábitats naturales, parques, senderos comunitarios y centros recreativos, así como otras instalaciones relacionadas,</w:t>
      </w:r>
      <w:r>
        <w:rPr>
          <w:i/>
          <w:iCs/>
          <w:lang/>
        </w:rPr>
        <w:t xml:space="preserve"> </w:t>
      </w:r>
      <w:r>
        <w:rPr>
          <w:lang/>
        </w:rPr>
        <w:t>a cargo del Condado, y, en la medida de lo necesario, para proporcionar fondos destinados al reembolso, al momento de su vencimiento o con anterioridad a este, de bonos de obligación general del Condado.</w:t>
      </w:r>
    </w:p>
    <w:p w14:paraId="504074B9" w14:textId="77777777" w:rsidR="005C25DF" w:rsidRPr="00330434" w:rsidRDefault="005C25DF" w:rsidP="00940D95">
      <w:pPr>
        <w:pStyle w:val="TitleCenterBold"/>
        <w:spacing w:before="200" w:line="240" w:lineRule="auto"/>
        <w:rPr>
          <w:b w:val="0"/>
          <w:lang w:val="es-AR"/>
        </w:rPr>
      </w:pPr>
      <w:r>
        <w:rPr>
          <w:b w:val="0"/>
          <w:lang/>
        </w:rPr>
        <w:t>Monto Principal Máximo de los Bonos de Obligación General</w:t>
      </w:r>
    </w:p>
    <w:p w14:paraId="53CAAF8D" w14:textId="77777777" w:rsidR="005C25DF" w:rsidRPr="00330434" w:rsidRDefault="005C25DF" w:rsidP="00940D95">
      <w:pPr>
        <w:pStyle w:val="ParaNORMAL"/>
        <w:spacing w:before="200" w:line="240" w:lineRule="auto"/>
        <w:rPr>
          <w:lang w:val="es-AR"/>
        </w:rPr>
      </w:pPr>
      <w:r>
        <w:rPr>
          <w:lang/>
        </w:rPr>
        <w:t xml:space="preserve">Si los votantes elegibles lo aprueban en la Elección Local de Bonos Especiales, </w:t>
      </w:r>
      <w:r>
        <w:rPr>
          <w:sz w:val="22"/>
          <w:lang/>
        </w:rPr>
        <w:t>e</w:t>
      </w:r>
      <w:r>
        <w:rPr>
          <w:lang/>
        </w:rPr>
        <w:t>l Condado tiene la intención de emitir bonos de obligación general por un monto que no exceda los $128,000,000, en una o más series y en una o más ocasiones.</w:t>
      </w:r>
    </w:p>
    <w:p w14:paraId="21BDA5F7" w14:textId="77777777" w:rsidR="005C25DF" w:rsidRPr="00330434" w:rsidRDefault="005C25DF" w:rsidP="00940D95">
      <w:pPr>
        <w:pStyle w:val="TitleCenterBold"/>
        <w:spacing w:before="200" w:line="240" w:lineRule="auto"/>
        <w:rPr>
          <w:b w:val="0"/>
          <w:lang w:val="es-AR"/>
        </w:rPr>
      </w:pPr>
      <w:r>
        <w:rPr>
          <w:b w:val="0"/>
          <w:lang/>
        </w:rPr>
        <w:t>Los Impuestos, si los hubiera, que se Propone Pignorar</w:t>
      </w:r>
    </w:p>
    <w:p w14:paraId="0394C43C" w14:textId="77777777" w:rsidR="005C25DF" w:rsidRPr="00330434" w:rsidRDefault="005C25DF" w:rsidP="00940D95">
      <w:pPr>
        <w:pStyle w:val="ParaNORMAL"/>
        <w:spacing w:before="200" w:line="240" w:lineRule="auto"/>
        <w:rPr>
          <w:lang w:val="es-AR"/>
        </w:rPr>
      </w:pPr>
      <w:r>
        <w:rPr>
          <w:lang/>
        </w:rPr>
        <w:t xml:space="preserve">El Condado propone pignorar la plena fe y el crédito del Condado para el pago de sus bonos de obligación general y puede estar obligado a imponer y recaudar los impuestos </w:t>
      </w:r>
      <w:r>
        <w:rPr>
          <w:i/>
          <w:iCs/>
          <w:lang/>
        </w:rPr>
        <w:t>ad valorem</w:t>
      </w:r>
      <w:r>
        <w:rPr>
          <w:lang/>
        </w:rPr>
        <w:t xml:space="preserve"> suficientes para pagar los bonos de obligación general, según lo dispuesto por la ley.</w:t>
      </w:r>
    </w:p>
    <w:p w14:paraId="7D38DA8E" w14:textId="77777777" w:rsidR="005C25DF" w:rsidRPr="00330434" w:rsidRDefault="005C25DF" w:rsidP="00940D95">
      <w:pPr>
        <w:pStyle w:val="TitleCenterBold"/>
        <w:spacing w:before="200" w:line="240" w:lineRule="auto"/>
        <w:rPr>
          <w:b w:val="0"/>
          <w:lang w:val="es-AR"/>
        </w:rPr>
      </w:pPr>
      <w:r>
        <w:rPr>
          <w:b w:val="0"/>
          <w:lang/>
        </w:rPr>
        <w:t>Hora, Lugar y Ubicación de la Audiencia Pública</w:t>
      </w:r>
    </w:p>
    <w:p w14:paraId="09257299" w14:textId="77777777" w:rsidR="005C25DF" w:rsidRPr="00330434" w:rsidRDefault="005C25DF" w:rsidP="00940D95">
      <w:pPr>
        <w:pStyle w:val="ParaNORMAL"/>
        <w:spacing w:before="200" w:line="240" w:lineRule="auto"/>
        <w:rPr>
          <w:lang w:val="es-AR"/>
        </w:rPr>
      </w:pPr>
      <w:r>
        <w:rPr>
          <w:lang/>
        </w:rPr>
        <w:t>El Condado llevará a cabo una audiencia pública a las 6:00 p. m. el 6 de octubre de 2026.  La audiencia pública se llevará a cabo en el lugar habitual de las reuniones del Consejo del Condado, ubicado en las Cámaras Gubernamentales, N1-100, 2001 South State Street</w:t>
      </w:r>
      <w:r>
        <w:rPr>
          <w:color w:val="000000"/>
          <w:lang/>
        </w:rPr>
        <w:t>, Salt Lake City, Utah</w:t>
      </w:r>
      <w:r>
        <w:rPr>
          <w:lang/>
        </w:rPr>
        <w:t>.  Se invita a todos los miembros del público a asistir y participar en la audiencia pública.  Antes de la audiencia pública, se pueden enviar comentarios por escrito al Consejo del Condado, a la atención del Secretario del Condado, en la oficina del Secretario del Condado (como Secretario del Consejo), ubicada en 2001 South State Street, N2-700</w:t>
      </w:r>
      <w:r>
        <w:rPr>
          <w:color w:val="000000"/>
          <w:lang/>
        </w:rPr>
        <w:t>, PO Box 144575, Salt Lake City, Utah 84114-4575.</w:t>
      </w:r>
    </w:p>
    <w:p w14:paraId="7CAA188B" w14:textId="77777777" w:rsidR="005C25DF" w:rsidRPr="00330434" w:rsidRDefault="005C25DF" w:rsidP="00940D95">
      <w:pPr>
        <w:pStyle w:val="ParaNORMAL"/>
        <w:keepNext/>
        <w:spacing w:before="200" w:line="240" w:lineRule="exact"/>
        <w:rPr>
          <w:lang w:val="es-AR"/>
        </w:rPr>
      </w:pPr>
      <w:r>
        <w:rPr>
          <w:smallCaps/>
          <w:lang/>
        </w:rPr>
        <w:t>Fechado</w:t>
      </w:r>
      <w:r>
        <w:rPr>
          <w:lang/>
        </w:rPr>
        <w:t xml:space="preserve"> este 18 de agosto de 2026.</w:t>
      </w:r>
    </w:p>
    <w:p w14:paraId="247C78D8" w14:textId="77777777" w:rsidR="005C25DF" w:rsidRPr="00330434" w:rsidRDefault="005C25DF" w:rsidP="00940D95">
      <w:pPr>
        <w:keepNext/>
        <w:spacing w:line="240" w:lineRule="exact"/>
        <w:rPr>
          <w:lang w:val="es-AR"/>
        </w:rPr>
      </w:pPr>
    </w:p>
    <w:p w14:paraId="5634C31F" w14:textId="77777777" w:rsidR="005C25DF" w:rsidRDefault="00BA01A7" w:rsidP="007F3B0B">
      <w:pPr>
        <w:pStyle w:val="Signature1"/>
        <w:spacing w:line="240" w:lineRule="exact"/>
        <w:ind w:left="5310"/>
      </w:pPr>
      <w:r>
        <w:rPr>
          <w:lang/>
        </w:rPr>
        <w:t>Condado de Salt Lake, Utah</w:t>
      </w:r>
    </w:p>
    <w:p w14:paraId="412E4F22" w14:textId="77777777" w:rsidR="005C25DF" w:rsidRDefault="005C25DF" w:rsidP="00CF6CAD">
      <w:pPr>
        <w:pStyle w:val="Signature1"/>
        <w:spacing w:line="240" w:lineRule="exact"/>
        <w:ind w:left="5220" w:firstLine="0"/>
        <w:rPr>
          <w:smallCaps/>
        </w:rPr>
      </w:pPr>
    </w:p>
    <w:p w14:paraId="289EA125" w14:textId="1E46DBD4" w:rsidR="005C25DF" w:rsidRPr="00330434" w:rsidRDefault="005C25DF" w:rsidP="00CF6CAD">
      <w:pPr>
        <w:pStyle w:val="Signature1"/>
        <w:tabs>
          <w:tab w:val="left" w:pos="5040"/>
        </w:tabs>
        <w:spacing w:line="240" w:lineRule="exact"/>
        <w:ind w:left="5220" w:firstLine="0"/>
        <w:rPr>
          <w:lang w:val="es-AR"/>
        </w:rPr>
      </w:pPr>
      <w:r>
        <w:rPr>
          <w:lang/>
        </w:rPr>
        <w:t xml:space="preserve">Por </w:t>
      </w:r>
      <w:r>
        <w:rPr>
          <w:u w:val="single"/>
          <w:lang/>
        </w:rPr>
        <w:t xml:space="preserve">/f/ Lannie Chapman                          </w:t>
      </w:r>
    </w:p>
    <w:p w14:paraId="6898E174" w14:textId="77777777" w:rsidR="005C25DF" w:rsidRPr="00BA01A7" w:rsidRDefault="00BA01A7" w:rsidP="00CF6CAD">
      <w:pPr>
        <w:pStyle w:val="Signature1"/>
        <w:keepNext w:val="0"/>
        <w:spacing w:line="240" w:lineRule="exact"/>
        <w:ind w:left="5220" w:firstLine="0"/>
      </w:pPr>
      <w:r>
        <w:rPr>
          <w:lang/>
        </w:rPr>
        <w:t>Secretaria del Condado</w:t>
      </w:r>
    </w:p>
    <w:sectPr w:rsidR="005C25DF" w:rsidRPr="00BA01A7" w:rsidSect="001C1398">
      <w:footerReference w:type="default" r:id="rId7"/>
      <w:pgSz w:w="12240" w:h="15840"/>
      <w:pgMar w:top="1080" w:right="1440" w:bottom="810" w:left="1440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E4A60" w14:textId="77777777" w:rsidR="00F81745" w:rsidRDefault="00F81745">
      <w:pPr>
        <w:spacing w:line="240" w:lineRule="auto"/>
      </w:pPr>
      <w:r>
        <w:separator/>
      </w:r>
    </w:p>
  </w:endnote>
  <w:endnote w:type="continuationSeparator" w:id="0">
    <w:p w14:paraId="04F6AA0E" w14:textId="77777777" w:rsidR="00F81745" w:rsidRDefault="00F817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AC6F3" w14:textId="77777777" w:rsidR="005C25DF" w:rsidRPr="00330434" w:rsidRDefault="005C25DF">
    <w:pPr>
      <w:pStyle w:val="Footer"/>
      <w:jc w:val="both"/>
      <w:rPr>
        <w:lang w:val="es-AR"/>
      </w:rPr>
    </w:pPr>
    <w:r>
      <w:rPr>
        <w:rStyle w:val="PageNumber"/>
        <w:lang/>
      </w:rPr>
      <w:tab/>
      <w:t>Anexo 1-</w:t>
    </w:r>
    <w:r>
      <w:rPr>
        <w:rStyle w:val="PageNumber"/>
        <w:lang/>
      </w:rPr>
      <w:fldChar w:fldCharType="begin"/>
    </w:r>
    <w:r>
      <w:rPr>
        <w:rStyle w:val="PageNumber"/>
        <w:lang/>
      </w:rPr>
      <w:instrText xml:space="preserve"> PAGE </w:instrText>
    </w:r>
    <w:r>
      <w:rPr>
        <w:rStyle w:val="PageNumber"/>
        <w:lang/>
      </w:rPr>
      <w:fldChar w:fldCharType="separate"/>
    </w:r>
    <w:r>
      <w:rPr>
        <w:rStyle w:val="PageNumber"/>
        <w:noProof/>
        <w:lang/>
      </w:rPr>
      <w:t>2</w:t>
    </w:r>
    <w:r>
      <w:rPr>
        <w:rStyle w:val="PageNumber"/>
        <w:lang/>
      </w:rPr>
      <w:fldChar w:fldCharType="end"/>
    </w:r>
    <w:r>
      <w:rPr>
        <w:sz w:val="18"/>
        <w:lang/>
      </w:rPr>
      <w:tab/>
      <w:t>Resolución de la Elección Local de Bonos Especiales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66CA4" w14:textId="77777777" w:rsidR="00F81745" w:rsidRDefault="00F81745">
      <w:pPr>
        <w:spacing w:line="240" w:lineRule="auto"/>
      </w:pPr>
      <w:r>
        <w:separator/>
      </w:r>
    </w:p>
  </w:footnote>
  <w:footnote w:type="continuationSeparator" w:id="0">
    <w:p w14:paraId="3A1464D9" w14:textId="77777777" w:rsidR="00F81745" w:rsidRDefault="00F817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708C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7FB265A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237E0B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0D62BE7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B6CC5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208C10F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AFD27E2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F2033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A762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D0A4C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5642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2"/>
    <w:multiLevelType w:val="multilevel"/>
    <w:tmpl w:val="00000000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5519419">
    <w:abstractNumId w:val="11"/>
  </w:num>
  <w:num w:numId="2" w16cid:durableId="2135324396">
    <w:abstractNumId w:val="10"/>
  </w:num>
  <w:num w:numId="3" w16cid:durableId="1787118744">
    <w:abstractNumId w:val="8"/>
  </w:num>
  <w:num w:numId="4" w16cid:durableId="11957885">
    <w:abstractNumId w:val="7"/>
  </w:num>
  <w:num w:numId="5" w16cid:durableId="2131821670">
    <w:abstractNumId w:val="6"/>
  </w:num>
  <w:num w:numId="6" w16cid:durableId="2135905156">
    <w:abstractNumId w:val="5"/>
  </w:num>
  <w:num w:numId="7" w16cid:durableId="1533609456">
    <w:abstractNumId w:val="9"/>
  </w:num>
  <w:num w:numId="8" w16cid:durableId="1083141752">
    <w:abstractNumId w:val="4"/>
  </w:num>
  <w:num w:numId="9" w16cid:durableId="208226443">
    <w:abstractNumId w:val="3"/>
  </w:num>
  <w:num w:numId="10" w16cid:durableId="1793205237">
    <w:abstractNumId w:val="2"/>
  </w:num>
  <w:num w:numId="11" w16cid:durableId="246304446">
    <w:abstractNumId w:val="1"/>
  </w:num>
  <w:num w:numId="12" w16cid:durableId="1509710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F8"/>
    <w:rsid w:val="0000465F"/>
    <w:rsid w:val="000332A5"/>
    <w:rsid w:val="00037499"/>
    <w:rsid w:val="00042B7A"/>
    <w:rsid w:val="00065013"/>
    <w:rsid w:val="000663F5"/>
    <w:rsid w:val="00093884"/>
    <w:rsid w:val="000B4382"/>
    <w:rsid w:val="000D30F5"/>
    <w:rsid w:val="000D5BAC"/>
    <w:rsid w:val="000D6207"/>
    <w:rsid w:val="000E1C4B"/>
    <w:rsid w:val="00110EAF"/>
    <w:rsid w:val="00115418"/>
    <w:rsid w:val="00130005"/>
    <w:rsid w:val="00137C4C"/>
    <w:rsid w:val="00152A79"/>
    <w:rsid w:val="00153013"/>
    <w:rsid w:val="00170D48"/>
    <w:rsid w:val="0017182A"/>
    <w:rsid w:val="00172442"/>
    <w:rsid w:val="001A22F8"/>
    <w:rsid w:val="001A5C5F"/>
    <w:rsid w:val="001C1398"/>
    <w:rsid w:val="001F39D1"/>
    <w:rsid w:val="00216391"/>
    <w:rsid w:val="002624BD"/>
    <w:rsid w:val="00273BF0"/>
    <w:rsid w:val="002755C3"/>
    <w:rsid w:val="00297CD3"/>
    <w:rsid w:val="002A391F"/>
    <w:rsid w:val="002B1C36"/>
    <w:rsid w:val="002F03A7"/>
    <w:rsid w:val="002F67A9"/>
    <w:rsid w:val="00300EE5"/>
    <w:rsid w:val="00307C66"/>
    <w:rsid w:val="003146F6"/>
    <w:rsid w:val="00330434"/>
    <w:rsid w:val="00357719"/>
    <w:rsid w:val="00357E98"/>
    <w:rsid w:val="003601AB"/>
    <w:rsid w:val="00362960"/>
    <w:rsid w:val="003A6E79"/>
    <w:rsid w:val="003B10AF"/>
    <w:rsid w:val="003D1F32"/>
    <w:rsid w:val="003D638F"/>
    <w:rsid w:val="003E0A41"/>
    <w:rsid w:val="003E0D66"/>
    <w:rsid w:val="003F4588"/>
    <w:rsid w:val="00400D25"/>
    <w:rsid w:val="00406D17"/>
    <w:rsid w:val="004523D4"/>
    <w:rsid w:val="00490F9F"/>
    <w:rsid w:val="004A12DC"/>
    <w:rsid w:val="004A5F80"/>
    <w:rsid w:val="004A65D0"/>
    <w:rsid w:val="004B0079"/>
    <w:rsid w:val="004C35B9"/>
    <w:rsid w:val="004C7A2A"/>
    <w:rsid w:val="004D104F"/>
    <w:rsid w:val="004D1469"/>
    <w:rsid w:val="004F28CC"/>
    <w:rsid w:val="005067C3"/>
    <w:rsid w:val="005136C2"/>
    <w:rsid w:val="00522B63"/>
    <w:rsid w:val="005340B4"/>
    <w:rsid w:val="00536561"/>
    <w:rsid w:val="0056544B"/>
    <w:rsid w:val="00583F03"/>
    <w:rsid w:val="0058753A"/>
    <w:rsid w:val="005915B6"/>
    <w:rsid w:val="005A53FA"/>
    <w:rsid w:val="005C25DF"/>
    <w:rsid w:val="005D05CE"/>
    <w:rsid w:val="005D3D1F"/>
    <w:rsid w:val="005E340C"/>
    <w:rsid w:val="005E4096"/>
    <w:rsid w:val="005E4C2A"/>
    <w:rsid w:val="005F147F"/>
    <w:rsid w:val="005F270B"/>
    <w:rsid w:val="00602579"/>
    <w:rsid w:val="00603342"/>
    <w:rsid w:val="006104B3"/>
    <w:rsid w:val="00613B10"/>
    <w:rsid w:val="006370E6"/>
    <w:rsid w:val="006376D1"/>
    <w:rsid w:val="006407E2"/>
    <w:rsid w:val="006623CC"/>
    <w:rsid w:val="00676C7A"/>
    <w:rsid w:val="00681EEF"/>
    <w:rsid w:val="006C2271"/>
    <w:rsid w:val="006E26B8"/>
    <w:rsid w:val="007229BE"/>
    <w:rsid w:val="00730AF7"/>
    <w:rsid w:val="007314F0"/>
    <w:rsid w:val="007375DB"/>
    <w:rsid w:val="00743C3B"/>
    <w:rsid w:val="0074549A"/>
    <w:rsid w:val="00760D8A"/>
    <w:rsid w:val="007654C1"/>
    <w:rsid w:val="00767C70"/>
    <w:rsid w:val="00770514"/>
    <w:rsid w:val="007731BB"/>
    <w:rsid w:val="00794A82"/>
    <w:rsid w:val="007C38A1"/>
    <w:rsid w:val="007D6B85"/>
    <w:rsid w:val="007F3B0B"/>
    <w:rsid w:val="007F7495"/>
    <w:rsid w:val="00816777"/>
    <w:rsid w:val="0082715C"/>
    <w:rsid w:val="0083682C"/>
    <w:rsid w:val="00857A13"/>
    <w:rsid w:val="00875A1F"/>
    <w:rsid w:val="0089270B"/>
    <w:rsid w:val="008962C8"/>
    <w:rsid w:val="008B7845"/>
    <w:rsid w:val="008E29DC"/>
    <w:rsid w:val="008E4381"/>
    <w:rsid w:val="008E70A9"/>
    <w:rsid w:val="008F23EE"/>
    <w:rsid w:val="008F3C41"/>
    <w:rsid w:val="008F4F21"/>
    <w:rsid w:val="00901FD5"/>
    <w:rsid w:val="009077E0"/>
    <w:rsid w:val="0091069E"/>
    <w:rsid w:val="009150D1"/>
    <w:rsid w:val="009209D3"/>
    <w:rsid w:val="0093012E"/>
    <w:rsid w:val="00940D95"/>
    <w:rsid w:val="00960F22"/>
    <w:rsid w:val="0097371A"/>
    <w:rsid w:val="009A625D"/>
    <w:rsid w:val="009F0782"/>
    <w:rsid w:val="009F71FE"/>
    <w:rsid w:val="00A01D1F"/>
    <w:rsid w:val="00A155A2"/>
    <w:rsid w:val="00A37A16"/>
    <w:rsid w:val="00A4038F"/>
    <w:rsid w:val="00A412B6"/>
    <w:rsid w:val="00A656CD"/>
    <w:rsid w:val="00A74D87"/>
    <w:rsid w:val="00A94363"/>
    <w:rsid w:val="00AA0899"/>
    <w:rsid w:val="00AA3489"/>
    <w:rsid w:val="00AA4C74"/>
    <w:rsid w:val="00AA5748"/>
    <w:rsid w:val="00AB581F"/>
    <w:rsid w:val="00AC582D"/>
    <w:rsid w:val="00B01DF1"/>
    <w:rsid w:val="00B23AE1"/>
    <w:rsid w:val="00B23F88"/>
    <w:rsid w:val="00B417F0"/>
    <w:rsid w:val="00B50D45"/>
    <w:rsid w:val="00B52205"/>
    <w:rsid w:val="00B62FC4"/>
    <w:rsid w:val="00B638AB"/>
    <w:rsid w:val="00B80260"/>
    <w:rsid w:val="00B83179"/>
    <w:rsid w:val="00B94881"/>
    <w:rsid w:val="00BA01A7"/>
    <w:rsid w:val="00BB66A7"/>
    <w:rsid w:val="00BE5197"/>
    <w:rsid w:val="00BF1383"/>
    <w:rsid w:val="00C0195D"/>
    <w:rsid w:val="00C05453"/>
    <w:rsid w:val="00C255F3"/>
    <w:rsid w:val="00C42D4C"/>
    <w:rsid w:val="00C43F15"/>
    <w:rsid w:val="00C46E24"/>
    <w:rsid w:val="00C6518B"/>
    <w:rsid w:val="00C77B1D"/>
    <w:rsid w:val="00CA0A99"/>
    <w:rsid w:val="00CA30F1"/>
    <w:rsid w:val="00CA312E"/>
    <w:rsid w:val="00CB0A45"/>
    <w:rsid w:val="00CB5B03"/>
    <w:rsid w:val="00CC02B7"/>
    <w:rsid w:val="00CC6A92"/>
    <w:rsid w:val="00CD69E0"/>
    <w:rsid w:val="00CE3021"/>
    <w:rsid w:val="00CF6CAD"/>
    <w:rsid w:val="00D05B58"/>
    <w:rsid w:val="00D1755F"/>
    <w:rsid w:val="00D22B59"/>
    <w:rsid w:val="00D375E6"/>
    <w:rsid w:val="00D441AF"/>
    <w:rsid w:val="00D5070F"/>
    <w:rsid w:val="00D55DE3"/>
    <w:rsid w:val="00D63B05"/>
    <w:rsid w:val="00D91BA8"/>
    <w:rsid w:val="00D94F87"/>
    <w:rsid w:val="00D9636E"/>
    <w:rsid w:val="00DA4E56"/>
    <w:rsid w:val="00DC1A59"/>
    <w:rsid w:val="00DC39E7"/>
    <w:rsid w:val="00DC7FF9"/>
    <w:rsid w:val="00DE37D2"/>
    <w:rsid w:val="00DF4A01"/>
    <w:rsid w:val="00E013A5"/>
    <w:rsid w:val="00E16BD0"/>
    <w:rsid w:val="00E173AD"/>
    <w:rsid w:val="00E255F5"/>
    <w:rsid w:val="00E31186"/>
    <w:rsid w:val="00E46CAF"/>
    <w:rsid w:val="00E73877"/>
    <w:rsid w:val="00EA3F6C"/>
    <w:rsid w:val="00EB2F3E"/>
    <w:rsid w:val="00EC4599"/>
    <w:rsid w:val="00EC59C1"/>
    <w:rsid w:val="00ED3B2F"/>
    <w:rsid w:val="00EF351D"/>
    <w:rsid w:val="00EF6090"/>
    <w:rsid w:val="00EF68AE"/>
    <w:rsid w:val="00F31290"/>
    <w:rsid w:val="00F36707"/>
    <w:rsid w:val="00F46C9D"/>
    <w:rsid w:val="00F611FE"/>
    <w:rsid w:val="00F7254A"/>
    <w:rsid w:val="00F7365C"/>
    <w:rsid w:val="00F76293"/>
    <w:rsid w:val="00F80C4C"/>
    <w:rsid w:val="00F81745"/>
    <w:rsid w:val="00F926AE"/>
    <w:rsid w:val="00FA6994"/>
    <w:rsid w:val="00FC277A"/>
    <w:rsid w:val="00FC7418"/>
    <w:rsid w:val="00FC77C2"/>
    <w:rsid w:val="00FD0871"/>
    <w:rsid w:val="00FD1743"/>
    <w:rsid w:val="00FE6D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563221"/>
  <w15:docId w15:val="{9BAB9D3E-BFD4-436E-AD01-651F8B6A1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"/>
    <w:qFormat/>
    <w:rsid w:val="009209D3"/>
    <w:pPr>
      <w:spacing w:line="280" w:lineRule="exact"/>
    </w:pPr>
    <w:rPr>
      <w:rFonts w:ascii="Times New Roman" w:hAnsi="Times New Roman"/>
      <w:sz w:val="24"/>
    </w:rPr>
  </w:style>
  <w:style w:type="paragraph" w:styleId="Heading1">
    <w:name w:val="heading 1"/>
    <w:aliases w:val="h1"/>
    <w:basedOn w:val="Normal"/>
    <w:next w:val="Normal"/>
    <w:qFormat/>
    <w:pPr>
      <w:keepNext/>
      <w:keepLines/>
      <w:spacing w:before="360"/>
      <w:ind w:left="1800" w:right="1267" w:hanging="1080"/>
      <w:jc w:val="both"/>
      <w:outlineLvl w:val="0"/>
    </w:pPr>
    <w:rPr>
      <w:b/>
      <w:smallCaps/>
    </w:rPr>
  </w:style>
  <w:style w:type="paragraph" w:styleId="Heading2">
    <w:name w:val="heading 2"/>
    <w:aliases w:val="h2"/>
    <w:basedOn w:val="Heading1"/>
    <w:next w:val="Normal"/>
    <w:qFormat/>
    <w:pPr>
      <w:ind w:left="0" w:firstLine="0"/>
      <w:outlineLvl w:val="1"/>
    </w:pPr>
    <w:rPr>
      <w:smallCaps w:val="0"/>
    </w:rPr>
  </w:style>
  <w:style w:type="paragraph" w:styleId="Heading3">
    <w:name w:val="heading 3"/>
    <w:aliases w:val="h3"/>
    <w:basedOn w:val="Heading1"/>
    <w:next w:val="Normal"/>
    <w:qFormat/>
    <w:pPr>
      <w:ind w:left="0" w:firstLine="0"/>
      <w:outlineLvl w:val="2"/>
    </w:pPr>
    <w:rPr>
      <w:smallCaps w:val="0"/>
    </w:rPr>
  </w:style>
  <w:style w:type="paragraph" w:styleId="Heading4">
    <w:name w:val="heading 4"/>
    <w:aliases w:val="h4"/>
    <w:basedOn w:val="Heading1"/>
    <w:next w:val="Normal"/>
    <w:qFormat/>
    <w:pPr>
      <w:ind w:left="0" w:firstLine="0"/>
      <w:outlineLvl w:val="3"/>
    </w:pPr>
    <w:rPr>
      <w:smallCaps w:val="0"/>
    </w:rPr>
  </w:style>
  <w:style w:type="paragraph" w:styleId="Heading5">
    <w:name w:val="heading 5"/>
    <w:basedOn w:val="Normal"/>
    <w:next w:val="Normal"/>
    <w:qFormat/>
    <w:pPr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outlineLvl w:val="5"/>
    </w:pPr>
  </w:style>
  <w:style w:type="paragraph" w:styleId="Heading7">
    <w:name w:val="heading 7"/>
    <w:basedOn w:val="Normal"/>
    <w:next w:val="Normal"/>
    <w:qFormat/>
    <w:pPr>
      <w:outlineLvl w:val="6"/>
    </w:pPr>
    <w:rPr>
      <w:i/>
    </w:rPr>
  </w:style>
  <w:style w:type="paragraph" w:styleId="Heading8">
    <w:name w:val="heading 8"/>
    <w:basedOn w:val="Normal"/>
    <w:next w:val="Normal"/>
    <w:qFormat/>
    <w:pPr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outlineLvl w:val="8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Pr>
      <w:rFonts w:ascii="Times" w:hAnsi="Times"/>
    </w:rPr>
  </w:style>
  <w:style w:type="character" w:styleId="EndnoteReference">
    <w:name w:val="endnote reference"/>
    <w:basedOn w:val="DefaultParagraphFont"/>
    <w:rPr>
      <w:rFonts w:ascii="Times" w:hAnsi="Times"/>
      <w:vertAlign w:val="superscript"/>
    </w:rPr>
  </w:style>
  <w:style w:type="paragraph" w:styleId="TOC8">
    <w:name w:val="toc 8"/>
    <w:aliases w:val="t8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1">
    <w:name w:val="toc 1"/>
    <w:aliases w:val="t1"/>
    <w:basedOn w:val="Normal"/>
    <w:next w:val="Normal"/>
    <w:pPr>
      <w:tabs>
        <w:tab w:val="left" w:pos="2160"/>
        <w:tab w:val="right" w:leader="dot" w:pos="9360"/>
      </w:tabs>
      <w:spacing w:before="280" w:after="120"/>
      <w:ind w:left="2160" w:right="1267" w:hanging="2160"/>
    </w:pPr>
    <w:rPr>
      <w:smallCaps/>
    </w:rPr>
  </w:style>
  <w:style w:type="paragraph" w:styleId="TOC7">
    <w:name w:val="toc 7"/>
    <w:aliases w:val="t7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6">
    <w:name w:val="toc 6"/>
    <w:aliases w:val="t6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paragraph" w:styleId="TOC5">
    <w:name w:val="toc 5"/>
    <w:aliases w:val="t5"/>
    <w:basedOn w:val="TOC1"/>
    <w:next w:val="Normal"/>
    <w:pPr>
      <w:tabs>
        <w:tab w:val="left" w:pos="1440"/>
      </w:tabs>
      <w:spacing w:before="0" w:after="0"/>
    </w:pPr>
    <w:rPr>
      <w:smallCaps w:val="0"/>
    </w:rPr>
  </w:style>
  <w:style w:type="paragraph" w:styleId="TOC4">
    <w:name w:val="toc 4"/>
    <w:aliases w:val="t4"/>
    <w:basedOn w:val="TOC1"/>
    <w:next w:val="Normal"/>
    <w:pPr>
      <w:tabs>
        <w:tab w:val="clear" w:pos="2160"/>
      </w:tabs>
      <w:spacing w:after="0"/>
      <w:ind w:left="0" w:firstLine="0"/>
    </w:pPr>
    <w:rPr>
      <w:smallCaps w:val="0"/>
    </w:rPr>
  </w:style>
  <w:style w:type="paragraph" w:styleId="TOC3">
    <w:name w:val="toc 3"/>
    <w:aliases w:val="t3"/>
    <w:basedOn w:val="TOC1"/>
    <w:next w:val="Normal"/>
    <w:pPr>
      <w:tabs>
        <w:tab w:val="clear" w:pos="2160"/>
        <w:tab w:val="left" w:pos="2520"/>
      </w:tabs>
      <w:spacing w:before="0" w:after="0"/>
      <w:ind w:left="2520" w:hanging="1080"/>
    </w:pPr>
    <w:rPr>
      <w:smallCaps w:val="0"/>
    </w:rPr>
  </w:style>
  <w:style w:type="paragraph" w:styleId="TOC2">
    <w:name w:val="toc 2"/>
    <w:aliases w:val="t2"/>
    <w:basedOn w:val="TOC1"/>
    <w:next w:val="Normal"/>
    <w:pPr>
      <w:tabs>
        <w:tab w:val="clear" w:pos="2160"/>
        <w:tab w:val="left" w:pos="2520"/>
      </w:tabs>
      <w:spacing w:before="0" w:after="0"/>
      <w:ind w:left="2520" w:hanging="1980"/>
    </w:pPr>
    <w:rPr>
      <w:smallCaps w:val="0"/>
    </w:rPr>
  </w:style>
  <w:style w:type="paragraph" w:customStyle="1" w:styleId="relineborder">
    <w:name w:val="reline border"/>
    <w:aliases w:val="rlb"/>
    <w:basedOn w:val="Normal"/>
    <w:pPr>
      <w:pBdr>
        <w:top w:val="single" w:sz="2" w:space="1" w:color="000000"/>
      </w:pBdr>
      <w:ind w:left="1800" w:right="1440"/>
    </w:pPr>
  </w:style>
  <w:style w:type="character" w:customStyle="1" w:styleId="Style1">
    <w:name w:val="Style1"/>
    <w:basedOn w:val="DefaultParagraphFont"/>
  </w:style>
  <w:style w:type="paragraph" w:styleId="Title">
    <w:name w:val="Title"/>
    <w:basedOn w:val="Normal"/>
    <w:qFormat/>
    <w:pPr>
      <w:spacing w:after="280"/>
      <w:jc w:val="center"/>
      <w:outlineLvl w:val="0"/>
    </w:pPr>
  </w:style>
  <w:style w:type="paragraph" w:styleId="TOAHeading">
    <w:name w:val="toa heading"/>
    <w:basedOn w:val="Normal"/>
    <w:next w:val="Normal"/>
    <w:pPr>
      <w:spacing w:before="120"/>
    </w:pPr>
    <w:rPr>
      <w:b/>
    </w:rPr>
  </w:style>
  <w:style w:type="paragraph" w:styleId="BodyText3">
    <w:name w:val="Body Text 3"/>
    <w:basedOn w:val="Normal"/>
    <w:pPr>
      <w:spacing w:after="120"/>
    </w:pPr>
  </w:style>
  <w:style w:type="paragraph" w:styleId="BodyTextIndent3">
    <w:name w:val="Body Text Indent 3"/>
    <w:basedOn w:val="Normal"/>
    <w:pPr>
      <w:spacing w:after="120"/>
      <w:ind w:left="360"/>
    </w:pPr>
  </w:style>
  <w:style w:type="character" w:styleId="CommentReference">
    <w:name w:val="annotation reference"/>
    <w:basedOn w:val="DefaultParagraphFont"/>
    <w:rPr>
      <w:rFonts w:ascii="Times" w:hAnsi="Times"/>
      <w:sz w:val="24"/>
    </w:rPr>
  </w:style>
  <w:style w:type="character" w:styleId="LineNumber">
    <w:name w:val="line number"/>
    <w:basedOn w:val="DefaultParagraphFont"/>
    <w:rPr>
      <w:rFonts w:ascii="Times" w:hAnsi="Times"/>
      <w:sz w:val="24"/>
    </w:rPr>
  </w:style>
  <w:style w:type="paragraph" w:styleId="CommentText">
    <w:name w:val="annotation text"/>
    <w:basedOn w:val="Normal"/>
    <w:link w:val="CommentTextChar"/>
  </w:style>
  <w:style w:type="paragraph" w:styleId="Footer">
    <w:name w:val="footer"/>
    <w:aliases w:val="f"/>
    <w:basedOn w:val="Normal"/>
    <w:pPr>
      <w:tabs>
        <w:tab w:val="center" w:pos="4680"/>
        <w:tab w:val="right" w:pos="9360"/>
      </w:tabs>
    </w:pPr>
  </w:style>
  <w:style w:type="paragraph" w:styleId="Header">
    <w:name w:val="header"/>
    <w:aliases w:val="h"/>
    <w:basedOn w:val="Normal"/>
    <w:pPr>
      <w:tabs>
        <w:tab w:val="center" w:pos="4680"/>
        <w:tab w:val="right" w:pos="9360"/>
      </w:tabs>
    </w:pPr>
  </w:style>
  <w:style w:type="character" w:styleId="FootnoteReference">
    <w:name w:val="footnote reference"/>
    <w:aliases w:val="fr"/>
    <w:basedOn w:val="DefaultParagraphFont"/>
    <w:rPr>
      <w:rFonts w:ascii="Times" w:hAnsi="Times"/>
      <w:position w:val="6"/>
      <w:sz w:val="20"/>
      <w:vertAlign w:val="baseline"/>
    </w:rPr>
  </w:style>
  <w:style w:type="paragraph" w:styleId="FootnoteText">
    <w:name w:val="footnote text"/>
    <w:aliases w:val="ft"/>
    <w:basedOn w:val="Normal"/>
    <w:pPr>
      <w:spacing w:after="240" w:line="240" w:lineRule="exact"/>
      <w:ind w:left="720" w:hanging="720"/>
      <w:jc w:val="both"/>
    </w:pPr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TOC9">
    <w:name w:val="toc 9"/>
    <w:aliases w:val="t9"/>
    <w:basedOn w:val="TOC1"/>
    <w:next w:val="Normal"/>
    <w:pPr>
      <w:tabs>
        <w:tab w:val="clear" w:pos="2160"/>
      </w:tabs>
      <w:spacing w:before="0" w:after="0"/>
      <w:ind w:left="0" w:firstLine="0"/>
    </w:pPr>
    <w:rPr>
      <w:smallCaps w:val="0"/>
    </w:rPr>
  </w:style>
  <w:style w:type="character" w:styleId="PageNumber">
    <w:name w:val="page number"/>
    <w:basedOn w:val="DefaultParagraphFont"/>
    <w:rPr>
      <w:rFonts w:ascii="Times" w:hAnsi="Times"/>
      <w:sz w:val="24"/>
    </w:rPr>
  </w:style>
  <w:style w:type="paragraph" w:styleId="EnvelopeReturn">
    <w:name w:val="envelope return"/>
    <w:basedOn w:val="Normal"/>
  </w:style>
  <w:style w:type="paragraph" w:styleId="Index1">
    <w:name w:val="index 1"/>
    <w:basedOn w:val="Normal"/>
    <w:next w:val="Normal"/>
    <w:autoRedefine/>
    <w:pPr>
      <w:ind w:left="240" w:hanging="240"/>
    </w:pPr>
  </w:style>
  <w:style w:type="paragraph" w:customStyle="1" w:styleId="legend">
    <w:name w:val="legend"/>
    <w:aliases w:val="ld"/>
    <w:basedOn w:val="Normal"/>
    <w:rPr>
      <w:sz w:val="18"/>
    </w:rPr>
  </w:style>
  <w:style w:type="paragraph" w:customStyle="1" w:styleId="SubParaLevel0DS">
    <w:name w:val="SubParaLevel0DS"/>
    <w:aliases w:val="s0ds"/>
    <w:basedOn w:val="ParaNORMALDS"/>
    <w:pPr>
      <w:ind w:left="720"/>
    </w:pPr>
  </w:style>
  <w:style w:type="paragraph" w:customStyle="1" w:styleId="ParaNORMALDS">
    <w:name w:val="ParaNORMALDS"/>
    <w:aliases w:val="pds"/>
    <w:basedOn w:val="Normal"/>
    <w:pPr>
      <w:spacing w:line="600" w:lineRule="exact"/>
      <w:ind w:firstLine="720"/>
      <w:jc w:val="both"/>
    </w:pPr>
  </w:style>
  <w:style w:type="paragraph" w:customStyle="1" w:styleId="re">
    <w:name w:val="re"/>
    <w:basedOn w:val="Normal"/>
    <w:next w:val="Normal"/>
    <w:pPr>
      <w:tabs>
        <w:tab w:val="center" w:pos="4680"/>
      </w:tabs>
      <w:spacing w:before="400"/>
      <w:ind w:left="720" w:right="720"/>
    </w:pPr>
  </w:style>
  <w:style w:type="paragraph" w:customStyle="1" w:styleId="HangingIndentDS">
    <w:name w:val="HangingIndentDS"/>
    <w:aliases w:val="hids"/>
    <w:basedOn w:val="ParaNORMALDS"/>
    <w:pPr>
      <w:tabs>
        <w:tab w:val="left" w:pos="720"/>
      </w:tabs>
      <w:ind w:left="720" w:hanging="720"/>
    </w:pPr>
  </w:style>
  <w:style w:type="paragraph" w:styleId="Date">
    <w:name w:val="Date"/>
    <w:basedOn w:val="Normal"/>
    <w:next w:val="Normal"/>
    <w:pPr>
      <w:spacing w:after="640"/>
      <w:jc w:val="center"/>
    </w:pPr>
  </w:style>
  <w:style w:type="paragraph" w:customStyle="1" w:styleId="Signature1">
    <w:name w:val="Signature1"/>
    <w:aliases w:val="sig,s"/>
    <w:basedOn w:val="Normal"/>
    <w:pPr>
      <w:keepNext/>
      <w:tabs>
        <w:tab w:val="decimal" w:leader="underscore" w:pos="9360"/>
      </w:tabs>
      <w:ind w:left="4968" w:hanging="288"/>
    </w:pPr>
  </w:style>
  <w:style w:type="paragraph" w:customStyle="1" w:styleId="NormalCenterBold">
    <w:name w:val="NormalCenterBold"/>
    <w:aliases w:val="ncb"/>
    <w:basedOn w:val="TitleCenterBold"/>
    <w:next w:val="ParaNORMAL"/>
    <w:pPr>
      <w:spacing w:before="0"/>
    </w:pPr>
  </w:style>
  <w:style w:type="paragraph" w:customStyle="1" w:styleId="TitleCenterBold">
    <w:name w:val="TitleCenterBold"/>
    <w:aliases w:val="tcb"/>
    <w:basedOn w:val="Normal"/>
    <w:next w:val="ParaNORMAL"/>
    <w:qFormat/>
    <w:pPr>
      <w:keepNext/>
      <w:spacing w:before="360"/>
      <w:jc w:val="center"/>
    </w:pPr>
    <w:rPr>
      <w:b/>
      <w:smallCaps/>
    </w:rPr>
  </w:style>
  <w:style w:type="paragraph" w:customStyle="1" w:styleId="ParaNORMAL">
    <w:name w:val="ParaNORMAL"/>
    <w:aliases w:val="p,i,party,ohhar,RG Quick Para,ParaFLUSH2,B Indent,ParaNtcbORMAL,paragraph,OHHpara,P,ORPara,ParaNtcbORM"/>
    <w:basedOn w:val="Normal"/>
    <w:qFormat/>
    <w:pPr>
      <w:spacing w:before="280"/>
      <w:ind w:firstLine="720"/>
      <w:jc w:val="both"/>
    </w:pPr>
  </w:style>
  <w:style w:type="paragraph" w:customStyle="1" w:styleId="TitleCenterBoldDS">
    <w:name w:val="TitleCenterBoldDS"/>
    <w:aliases w:val="tcbds"/>
    <w:basedOn w:val="Normal"/>
    <w:next w:val="ParaNORMALDS"/>
    <w:pPr>
      <w:keepNext/>
      <w:spacing w:before="600"/>
      <w:jc w:val="center"/>
    </w:pPr>
    <w:rPr>
      <w:b/>
      <w:smallCaps/>
    </w:rPr>
  </w:style>
  <w:style w:type="paragraph" w:customStyle="1" w:styleId="TitleLeftDS">
    <w:name w:val="TitleLeftDS"/>
    <w:aliases w:val="tlds"/>
    <w:basedOn w:val="TitleCenterBoldDS"/>
    <w:next w:val="ParaSECTIONDS"/>
    <w:pPr>
      <w:tabs>
        <w:tab w:val="left" w:pos="1980"/>
      </w:tabs>
      <w:spacing w:before="400"/>
      <w:ind w:left="1980" w:hanging="1980"/>
      <w:jc w:val="left"/>
    </w:pPr>
    <w:rPr>
      <w:b w:val="0"/>
    </w:rPr>
  </w:style>
  <w:style w:type="paragraph" w:customStyle="1" w:styleId="ParaSECTIONDS">
    <w:name w:val="ParaSECTIONDS"/>
    <w:aliases w:val="psds"/>
    <w:basedOn w:val="ParaNORMALDS"/>
    <w:pPr>
      <w:tabs>
        <w:tab w:val="right" w:pos="1980"/>
        <w:tab w:val="left" w:pos="2340"/>
      </w:tabs>
      <w:ind w:firstLine="0"/>
    </w:pPr>
  </w:style>
  <w:style w:type="paragraph" w:customStyle="1" w:styleId="Signature2">
    <w:name w:val="Signature2"/>
    <w:aliases w:val="sig2"/>
    <w:basedOn w:val="Signature1"/>
    <w:pPr>
      <w:tabs>
        <w:tab w:val="left" w:pos="4680"/>
      </w:tabs>
      <w:ind w:left="4950" w:hanging="4950"/>
    </w:pPr>
  </w:style>
  <w:style w:type="paragraph" w:customStyle="1" w:styleId="ParaNUMBEREDDS">
    <w:name w:val="ParaNUMBEREDDS"/>
    <w:aliases w:val="pnds"/>
    <w:basedOn w:val="ParaNORMALDS"/>
    <w:pPr>
      <w:tabs>
        <w:tab w:val="right" w:pos="1080"/>
        <w:tab w:val="left" w:pos="1440"/>
      </w:tabs>
      <w:ind w:firstLine="0"/>
    </w:pPr>
  </w:style>
  <w:style w:type="paragraph" w:customStyle="1" w:styleId="SubParaLevel1DS">
    <w:name w:val="SubParaLevel1DS"/>
    <w:aliases w:val="s1ds"/>
    <w:basedOn w:val="SubParaLevel0DS"/>
    <w:pPr>
      <w:tabs>
        <w:tab w:val="right" w:pos="1800"/>
        <w:tab w:val="left" w:pos="2160"/>
      </w:tabs>
      <w:ind w:firstLine="0"/>
    </w:pPr>
  </w:style>
  <w:style w:type="paragraph" w:customStyle="1" w:styleId="SubParaLevel2DS">
    <w:name w:val="SubParaLevel2 DS"/>
    <w:aliases w:val="s2ds"/>
    <w:basedOn w:val="SubParaLevel0DS"/>
    <w:pPr>
      <w:tabs>
        <w:tab w:val="right" w:pos="2520"/>
        <w:tab w:val="left" w:pos="2880"/>
      </w:tabs>
      <w:ind w:left="1440" w:firstLine="0"/>
    </w:pPr>
  </w:style>
  <w:style w:type="paragraph" w:customStyle="1" w:styleId="SubParaLevel3DS">
    <w:name w:val="SubParaLevel3 DS"/>
    <w:aliases w:val="s3ds"/>
    <w:basedOn w:val="SubParaLevel0DS"/>
    <w:pPr>
      <w:tabs>
        <w:tab w:val="right" w:pos="3240"/>
        <w:tab w:val="left" w:pos="3600"/>
      </w:tabs>
      <w:ind w:left="2160" w:firstLine="0"/>
    </w:pPr>
  </w:style>
  <w:style w:type="paragraph" w:customStyle="1" w:styleId="SubParaLevel4DS">
    <w:name w:val="SubParaLevel4 DS"/>
    <w:aliases w:val="s4ds"/>
    <w:basedOn w:val="SubParaLevel0DS"/>
    <w:pPr>
      <w:tabs>
        <w:tab w:val="right" w:pos="3960"/>
        <w:tab w:val="left" w:pos="4320"/>
      </w:tabs>
      <w:ind w:left="2880" w:firstLine="0"/>
    </w:pPr>
  </w:style>
  <w:style w:type="paragraph" w:customStyle="1" w:styleId="ParaFLUSHDS">
    <w:name w:val="ParaFLUSHDS"/>
    <w:aliases w:val="pfds"/>
    <w:basedOn w:val="ParaNORMALDS"/>
    <w:pPr>
      <w:ind w:firstLine="0"/>
    </w:pPr>
  </w:style>
  <w:style w:type="paragraph" w:customStyle="1" w:styleId="DoubleLine">
    <w:name w:val="DoubleLine"/>
    <w:aliases w:val="d"/>
    <w:basedOn w:val="Normal"/>
    <w:next w:val="Normal"/>
    <w:pPr>
      <w:pBdr>
        <w:bottom w:val="double" w:sz="6" w:space="0" w:color="auto"/>
      </w:pBdr>
    </w:pPr>
  </w:style>
  <w:style w:type="paragraph" w:customStyle="1" w:styleId="re1">
    <w:name w:val="re1"/>
    <w:basedOn w:val="Normal"/>
    <w:pPr>
      <w:tabs>
        <w:tab w:val="center" w:pos="4680"/>
      </w:tabs>
      <w:ind w:left="720" w:right="720"/>
      <w:jc w:val="center"/>
    </w:pPr>
  </w:style>
  <w:style w:type="paragraph" w:customStyle="1" w:styleId="CoverCenter">
    <w:name w:val="CoverCenter"/>
    <w:aliases w:val="c"/>
    <w:basedOn w:val="TitleCenterBold"/>
    <w:pPr>
      <w:spacing w:before="0"/>
    </w:pPr>
    <w:rPr>
      <w:b w:val="0"/>
    </w:rPr>
  </w:style>
  <w:style w:type="paragraph" w:customStyle="1" w:styleId="QuotedTextDS">
    <w:name w:val="QuotedTextDS"/>
    <w:aliases w:val="qtds"/>
    <w:basedOn w:val="Normal"/>
    <w:pPr>
      <w:spacing w:before="220" w:after="60"/>
      <w:ind w:left="1440" w:right="1440"/>
      <w:jc w:val="both"/>
    </w:pPr>
  </w:style>
  <w:style w:type="paragraph" w:customStyle="1" w:styleId="ParaFLUSH">
    <w:name w:val="ParaFLUSH"/>
    <w:aliases w:val="pf"/>
    <w:basedOn w:val="ParaNORMAL"/>
    <w:qFormat/>
    <w:pPr>
      <w:ind w:firstLine="0"/>
    </w:pPr>
  </w:style>
  <w:style w:type="paragraph" w:customStyle="1" w:styleId="SubParaLevel1">
    <w:name w:val="SubParaLevel1"/>
    <w:aliases w:val="s1,S1"/>
    <w:basedOn w:val="ParaNORMAL"/>
    <w:pPr>
      <w:tabs>
        <w:tab w:val="right" w:pos="1800"/>
        <w:tab w:val="left" w:pos="2160"/>
      </w:tabs>
      <w:ind w:left="720" w:firstLine="0"/>
    </w:pPr>
  </w:style>
  <w:style w:type="paragraph" w:customStyle="1" w:styleId="SubParaLevel0">
    <w:name w:val="SubParaLevel0"/>
    <w:aliases w:val="s0"/>
    <w:basedOn w:val="SubParaLevel1"/>
    <w:pPr>
      <w:tabs>
        <w:tab w:val="clear" w:pos="1800"/>
        <w:tab w:val="clear" w:pos="2160"/>
      </w:tabs>
      <w:ind w:firstLine="720"/>
    </w:pPr>
  </w:style>
  <w:style w:type="paragraph" w:customStyle="1" w:styleId="ParaSECTION">
    <w:name w:val="ParaSECTION"/>
    <w:aliases w:val="ps,ps ,ParaSECTION2"/>
    <w:basedOn w:val="ParaNORMAL"/>
    <w:pPr>
      <w:tabs>
        <w:tab w:val="right" w:pos="1699"/>
        <w:tab w:val="left" w:pos="2016"/>
      </w:tabs>
      <w:ind w:firstLine="0"/>
    </w:pPr>
  </w:style>
  <w:style w:type="paragraph" w:customStyle="1" w:styleId="cc">
    <w:name w:val="cc"/>
    <w:basedOn w:val="Normal"/>
    <w:next w:val="Normal"/>
    <w:pPr>
      <w:keepNext/>
      <w:tabs>
        <w:tab w:val="left" w:pos="720"/>
      </w:tabs>
      <w:spacing w:before="360"/>
    </w:pPr>
  </w:style>
  <w:style w:type="paragraph" w:customStyle="1" w:styleId="hangingindent">
    <w:name w:val="hanging indent"/>
    <w:aliases w:val="hang"/>
    <w:basedOn w:val="ParaNORMAL"/>
    <w:pPr>
      <w:ind w:left="720" w:hanging="720"/>
    </w:pPr>
  </w:style>
  <w:style w:type="paragraph" w:customStyle="1" w:styleId="TitleLeft">
    <w:name w:val="TitleLeft"/>
    <w:aliases w:val="tl"/>
    <w:basedOn w:val="TitleCenterBold"/>
    <w:next w:val="Normal"/>
    <w:pPr>
      <w:tabs>
        <w:tab w:val="left" w:pos="1699"/>
      </w:tabs>
      <w:spacing w:before="320"/>
      <w:ind w:left="1699" w:hanging="1699"/>
      <w:jc w:val="left"/>
    </w:pPr>
    <w:rPr>
      <w:b w:val="0"/>
    </w:rPr>
  </w:style>
  <w:style w:type="paragraph" w:customStyle="1" w:styleId="ParaNUMBERED">
    <w:name w:val="ParaNUMBERED"/>
    <w:aliases w:val="pn,ParaNormal"/>
    <w:basedOn w:val="ParaNORMAL"/>
    <w:pPr>
      <w:tabs>
        <w:tab w:val="right" w:pos="936"/>
        <w:tab w:val="left" w:pos="1238"/>
      </w:tabs>
      <w:ind w:firstLine="0"/>
    </w:pPr>
  </w:style>
  <w:style w:type="paragraph" w:customStyle="1" w:styleId="SubParaLevel2">
    <w:name w:val="SubParaLevel2"/>
    <w:aliases w:val="s2"/>
    <w:basedOn w:val="SubParaLevel1"/>
    <w:pPr>
      <w:tabs>
        <w:tab w:val="clear" w:pos="1800"/>
        <w:tab w:val="clear" w:pos="2160"/>
        <w:tab w:val="right" w:pos="2520"/>
        <w:tab w:val="left" w:pos="2880"/>
      </w:tabs>
      <w:ind w:left="1440"/>
    </w:pPr>
  </w:style>
  <w:style w:type="paragraph" w:customStyle="1" w:styleId="QuotedText">
    <w:name w:val="QuotedText"/>
    <w:aliases w:val="qt"/>
    <w:basedOn w:val="ParaNORMAL"/>
    <w:pPr>
      <w:ind w:left="1440" w:right="1440" w:firstLine="0"/>
    </w:pPr>
  </w:style>
  <w:style w:type="paragraph" w:customStyle="1" w:styleId="SubParaLevel3">
    <w:name w:val="SubParaLevel3"/>
    <w:aliases w:val="s3"/>
    <w:basedOn w:val="SubParaLevel1"/>
    <w:pPr>
      <w:tabs>
        <w:tab w:val="clear" w:pos="1800"/>
        <w:tab w:val="clear" w:pos="2160"/>
        <w:tab w:val="right" w:pos="3240"/>
        <w:tab w:val="left" w:pos="3600"/>
      </w:tabs>
      <w:ind w:left="2160"/>
    </w:pPr>
  </w:style>
  <w:style w:type="paragraph" w:customStyle="1" w:styleId="SubParaLevel4">
    <w:name w:val="SubParaLevel4"/>
    <w:aliases w:val="s4"/>
    <w:basedOn w:val="SubParaLevel1"/>
    <w:pPr>
      <w:tabs>
        <w:tab w:val="clear" w:pos="1800"/>
        <w:tab w:val="clear" w:pos="2160"/>
        <w:tab w:val="right" w:pos="3960"/>
        <w:tab w:val="left" w:pos="4320"/>
      </w:tabs>
      <w:ind w:left="2880"/>
    </w:pPr>
  </w:style>
  <w:style w:type="paragraph" w:styleId="IndexHeading">
    <w:name w:val="index heading"/>
    <w:basedOn w:val="Normal"/>
    <w:next w:val="Index1"/>
    <w:rPr>
      <w:b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</w:style>
  <w:style w:type="paragraph" w:customStyle="1" w:styleId="mn">
    <w:name w:val="mn"/>
    <w:basedOn w:val="ParaNORMAL"/>
  </w:style>
  <w:style w:type="character" w:customStyle="1" w:styleId="DeltaViewInsertion">
    <w:name w:val="DeltaView Insertion"/>
    <w:rPr>
      <w:b/>
      <w:color w:val="000000"/>
      <w:spacing w:val="0"/>
      <w:u w:val="double"/>
    </w:rPr>
  </w:style>
  <w:style w:type="character" w:customStyle="1" w:styleId="DeltaViewDeletion">
    <w:name w:val="DeltaView Deletion"/>
    <w:rPr>
      <w:strike/>
      <w:color w:val="FF0000"/>
      <w:spacing w:val="0"/>
    </w:rPr>
  </w:style>
  <w:style w:type="character" w:customStyle="1" w:styleId="CommentTextChar">
    <w:name w:val="Comment Text Char"/>
    <w:basedOn w:val="DefaultParagraphFont"/>
    <w:link w:val="CommentText"/>
    <w:rsid w:val="00B263B9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467</Words>
  <Characters>2664</Characters>
  <Application>Microsoft Office Word</Application>
  <DocSecurity>0</DocSecurity>
  <Lines>22</Lines>
  <Paragraphs>6</Paragraphs>
  <ScaleCrop>false</ScaleCrop>
  <Company>Salt Lake County</Company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Luciana Gallo</cp:lastModifiedBy>
  <cp:revision>6</cp:revision>
  <cp:lastPrinted>1900-01-01T08:00:00Z</cp:lastPrinted>
  <dcterms:created xsi:type="dcterms:W3CDTF">1900-01-01T08:00:00Z</dcterms:created>
  <dcterms:modified xsi:type="dcterms:W3CDTF">2026-09-17T23:16:00Z</dcterms:modified>
</cp:coreProperties>
</file>