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AA707" w14:textId="77777777" w:rsidR="005C25DF" w:rsidRDefault="005C25DF" w:rsidP="00940D95">
      <w:pPr>
        <w:pStyle w:val="TitleCenterBold"/>
        <w:spacing w:before="0"/>
      </w:pPr>
      <w:r>
        <w:t>Notice of Public Hearing</w:t>
      </w:r>
    </w:p>
    <w:p w14:paraId="4EB68DB6" w14:textId="389CD2CD" w:rsidR="005C25DF" w:rsidRDefault="00CB0A45" w:rsidP="00940D95">
      <w:pPr>
        <w:pStyle w:val="TitleCenterBold"/>
        <w:spacing w:before="200"/>
      </w:pPr>
      <w:r>
        <w:t>Salt Lake County</w:t>
      </w:r>
      <w:r w:rsidR="005C25DF">
        <w:t>, Utah</w:t>
      </w:r>
    </w:p>
    <w:p w14:paraId="4C67549C" w14:textId="1EF9B6E4" w:rsidR="005C25DF" w:rsidRDefault="005C25DF" w:rsidP="00940D95">
      <w:pPr>
        <w:pStyle w:val="ParaNORMAL"/>
        <w:spacing w:before="200" w:line="240" w:lineRule="auto"/>
      </w:pPr>
      <w:r>
        <w:rPr>
          <w:smallCaps/>
        </w:rPr>
        <w:t>Public Notice is Hereby Given</w:t>
      </w:r>
      <w:r>
        <w:t xml:space="preserve"> that on </w:t>
      </w:r>
      <w:r w:rsidR="009A625D">
        <w:t>Tuesday</w:t>
      </w:r>
      <w:r>
        <w:t xml:space="preserve">, </w:t>
      </w:r>
      <w:r w:rsidR="00042B7A">
        <w:t>August 4</w:t>
      </w:r>
      <w:r w:rsidR="00EF68AE">
        <w:t>, 202</w:t>
      </w:r>
      <w:r w:rsidR="000332A5">
        <w:t>6</w:t>
      </w:r>
      <w:r>
        <w:t xml:space="preserve">, </w:t>
      </w:r>
      <w:r w:rsidR="00C6518B">
        <w:t xml:space="preserve">as amended on Tuesday, August 18, 2026, </w:t>
      </w:r>
      <w:r>
        <w:t xml:space="preserve">the </w:t>
      </w:r>
      <w:r w:rsidR="00CB0A45">
        <w:t>County Council</w:t>
      </w:r>
      <w:r>
        <w:t xml:space="preserve"> (the </w:t>
      </w:r>
      <w:r>
        <w:rPr>
          <w:i/>
        </w:rPr>
        <w:t>“</w:t>
      </w:r>
      <w:r w:rsidR="00CB0A45">
        <w:rPr>
          <w:i/>
        </w:rPr>
        <w:t>County Council</w:t>
      </w:r>
      <w:r>
        <w:rPr>
          <w:i/>
        </w:rPr>
        <w:t>”</w:t>
      </w:r>
      <w:r>
        <w:t xml:space="preserve">) of </w:t>
      </w:r>
      <w:r w:rsidR="00DC39E7">
        <w:t xml:space="preserve">Salt Lake </w:t>
      </w:r>
      <w:r w:rsidR="00CB0A45">
        <w:t>County</w:t>
      </w:r>
      <w:r>
        <w:t xml:space="preserve">, Utah (the </w:t>
      </w:r>
      <w:r>
        <w:rPr>
          <w:i/>
        </w:rPr>
        <w:t>“</w:t>
      </w:r>
      <w:r w:rsidR="00CB0A45">
        <w:rPr>
          <w:i/>
        </w:rPr>
        <w:t>County</w:t>
      </w:r>
      <w:r>
        <w:rPr>
          <w:i/>
        </w:rPr>
        <w:t>”</w:t>
      </w:r>
      <w:r>
        <w:t xml:space="preserve">) adopted a resolution (the </w:t>
      </w:r>
      <w:r>
        <w:rPr>
          <w:i/>
        </w:rPr>
        <w:t>“Resolution”</w:t>
      </w:r>
      <w:r>
        <w:t xml:space="preserve">), providing for a local special bond election to be held in the </w:t>
      </w:r>
      <w:r w:rsidR="00CB0A45">
        <w:t>County</w:t>
      </w:r>
      <w:r>
        <w:t xml:space="preserve"> on Tuesday, </w:t>
      </w:r>
      <w:r w:rsidR="00EF68AE">
        <w:t xml:space="preserve">November </w:t>
      </w:r>
      <w:r w:rsidR="000332A5">
        <w:t>3</w:t>
      </w:r>
      <w:r>
        <w:t>, 20</w:t>
      </w:r>
      <w:r w:rsidR="00EF68AE">
        <w:t>2</w:t>
      </w:r>
      <w:r w:rsidR="000332A5">
        <w:t>6</w:t>
      </w:r>
      <w:r>
        <w:t xml:space="preserve">, for the purpose of submitting to the qualified electors of the </w:t>
      </w:r>
      <w:r w:rsidR="00CB0A45">
        <w:t>County</w:t>
      </w:r>
      <w:r>
        <w:t xml:space="preserve"> the question of the issuance of general obligation bonds in an amount not to exceed $</w:t>
      </w:r>
      <w:r w:rsidR="007C38A1">
        <w:t>1</w:t>
      </w:r>
      <w:r w:rsidR="00C6518B">
        <w:t>28</w:t>
      </w:r>
      <w:r w:rsidR="003E0A41">
        <w:t>,000,000</w:t>
      </w:r>
      <w:r>
        <w:t xml:space="preserve"> (the </w:t>
      </w:r>
      <w:r>
        <w:rPr>
          <w:i/>
        </w:rPr>
        <w:t>“Local Special Bond Election”</w:t>
      </w:r>
      <w:r>
        <w:t xml:space="preserve">) and calling a public hearing to receive input from the public with respect to the issuance of general obligation bonds and the potential economic impact that the improvement, facility, or property for which the bonds pay all or part of the cost will have on the private sector, pursuant to the Section 11-14-318 of the Utah Code Annotated </w:t>
      </w:r>
      <w:r w:rsidR="007C38A1">
        <w:t>1953</w:t>
      </w:r>
      <w:r>
        <w:t>, as amended.</w:t>
      </w:r>
    </w:p>
    <w:p w14:paraId="3325C82E" w14:textId="77777777" w:rsidR="005C25DF" w:rsidRDefault="005C25DF" w:rsidP="00940D95">
      <w:pPr>
        <w:pStyle w:val="TitleCenterBold"/>
        <w:spacing w:before="200" w:line="240" w:lineRule="auto"/>
        <w:rPr>
          <w:b w:val="0"/>
        </w:rPr>
      </w:pPr>
      <w:r>
        <w:rPr>
          <w:b w:val="0"/>
        </w:rPr>
        <w:t>Purpose for the Issuance of General Obligation Bonds</w:t>
      </w:r>
    </w:p>
    <w:p w14:paraId="4B7D4894" w14:textId="14228638" w:rsidR="005C25DF" w:rsidRDefault="005C25DF" w:rsidP="00940D95">
      <w:pPr>
        <w:pStyle w:val="ParaNORMAL"/>
        <w:spacing w:before="200" w:line="240" w:lineRule="auto"/>
      </w:pPr>
      <w:r>
        <w:t xml:space="preserve">If approved by eligible voters at the Local Special Bond Election, the </w:t>
      </w:r>
      <w:r w:rsidR="00CB0A45">
        <w:t>County</w:t>
      </w:r>
      <w:r>
        <w:t xml:space="preserve"> intends to issue general obligation bonds for the purpose of </w:t>
      </w:r>
      <w:r w:rsidR="00115418">
        <w:t>providing funds for</w:t>
      </w:r>
      <w:r w:rsidR="000332A5" w:rsidRPr="000332A5">
        <w:rPr>
          <w:color w:val="000000" w:themeColor="text1"/>
        </w:rPr>
        <w:t xml:space="preserve"> </w:t>
      </w:r>
      <w:r w:rsidR="000D6207">
        <w:rPr>
          <w:color w:val="000000" w:themeColor="text1"/>
        </w:rPr>
        <w:t xml:space="preserve">repairing, completing, </w:t>
      </w:r>
      <w:r w:rsidR="000332A5" w:rsidRPr="00390383">
        <w:rPr>
          <w:color w:val="000000" w:themeColor="text1"/>
        </w:rPr>
        <w:t xml:space="preserve">acquiring, </w:t>
      </w:r>
      <w:r w:rsidR="000D6207">
        <w:rPr>
          <w:color w:val="000000" w:themeColor="text1"/>
        </w:rPr>
        <w:t>constructing or renovating</w:t>
      </w:r>
      <w:r w:rsidR="000332A5">
        <w:rPr>
          <w:color w:val="000000" w:themeColor="text1"/>
        </w:rPr>
        <w:t xml:space="preserve"> open space, natural habitat, parks</w:t>
      </w:r>
      <w:r w:rsidR="000D6207">
        <w:rPr>
          <w:color w:val="000000" w:themeColor="text1"/>
        </w:rPr>
        <w:t>,</w:t>
      </w:r>
      <w:r w:rsidR="000332A5">
        <w:rPr>
          <w:color w:val="000000" w:themeColor="text1"/>
        </w:rPr>
        <w:t xml:space="preserve"> community trails </w:t>
      </w:r>
      <w:r w:rsidR="000D6207">
        <w:rPr>
          <w:color w:val="000000" w:themeColor="text1"/>
        </w:rPr>
        <w:t xml:space="preserve">and recreational </w:t>
      </w:r>
      <w:proofErr w:type="spellStart"/>
      <w:r w:rsidR="000D6207">
        <w:rPr>
          <w:color w:val="000000" w:themeColor="text1"/>
        </w:rPr>
        <w:t>facilites</w:t>
      </w:r>
      <w:proofErr w:type="spellEnd"/>
      <w:r w:rsidR="000D6207">
        <w:rPr>
          <w:color w:val="000000" w:themeColor="text1"/>
        </w:rPr>
        <w:t xml:space="preserve"> </w:t>
      </w:r>
      <w:r w:rsidR="000332A5">
        <w:rPr>
          <w:color w:val="000000" w:themeColor="text1"/>
        </w:rPr>
        <w:t xml:space="preserve">and </w:t>
      </w:r>
      <w:r w:rsidR="000D6207">
        <w:rPr>
          <w:color w:val="000000" w:themeColor="text1"/>
        </w:rPr>
        <w:t xml:space="preserve">other </w:t>
      </w:r>
      <w:r w:rsidR="000332A5">
        <w:rPr>
          <w:color w:val="000000" w:themeColor="text1"/>
        </w:rPr>
        <w:t>related facilities</w:t>
      </w:r>
      <w:r w:rsidR="000332A5">
        <w:rPr>
          <w:i/>
        </w:rPr>
        <w:t xml:space="preserve"> </w:t>
      </w:r>
      <w:r w:rsidR="000332A5">
        <w:t>under the charge of the County</w:t>
      </w:r>
      <w:r w:rsidRPr="007F438D">
        <w:t>,</w:t>
      </w:r>
      <w:r>
        <w:t xml:space="preserve"> and, to the extent necessary, for providing moneys for the refunding, at or prior to the maturity thereof, of general obligation bonds of the </w:t>
      </w:r>
      <w:r w:rsidR="00CB0A45">
        <w:t>County</w:t>
      </w:r>
      <w:r>
        <w:t>.</w:t>
      </w:r>
    </w:p>
    <w:p w14:paraId="205634A1" w14:textId="77777777" w:rsidR="005C25DF" w:rsidRDefault="005C25DF" w:rsidP="00940D95">
      <w:pPr>
        <w:pStyle w:val="TitleCenterBold"/>
        <w:spacing w:before="200" w:line="240" w:lineRule="auto"/>
        <w:rPr>
          <w:b w:val="0"/>
        </w:rPr>
      </w:pPr>
      <w:r>
        <w:rPr>
          <w:b w:val="0"/>
        </w:rPr>
        <w:t>Maximum Principal Amount of the General Obligation Bonds</w:t>
      </w:r>
    </w:p>
    <w:p w14:paraId="262DB651" w14:textId="0E527BF7" w:rsidR="005C25DF" w:rsidRDefault="005C25DF" w:rsidP="00940D95">
      <w:pPr>
        <w:pStyle w:val="ParaNORMAL"/>
        <w:spacing w:before="200" w:line="240" w:lineRule="auto"/>
      </w:pPr>
      <w:r>
        <w:t xml:space="preserve">If approved by eligible voters at the Local Special Bond Election, </w:t>
      </w:r>
      <w:r>
        <w:rPr>
          <w:sz w:val="22"/>
        </w:rPr>
        <w:t>t</w:t>
      </w:r>
      <w:r>
        <w:t xml:space="preserve">he </w:t>
      </w:r>
      <w:r w:rsidR="00CB0A45">
        <w:t>County</w:t>
      </w:r>
      <w:r>
        <w:t xml:space="preserve"> intends to issue general obligation bonds in an amount not to exceed $</w:t>
      </w:r>
      <w:r w:rsidR="007C38A1">
        <w:t>1</w:t>
      </w:r>
      <w:r w:rsidR="00C6518B">
        <w:t>28</w:t>
      </w:r>
      <w:r w:rsidR="003E0A41">
        <w:t>,000,000</w:t>
      </w:r>
      <w:r>
        <w:t>, in one or more series at one or more times.</w:t>
      </w:r>
    </w:p>
    <w:p w14:paraId="42B8133F" w14:textId="77777777" w:rsidR="005C25DF" w:rsidRDefault="005C25DF" w:rsidP="00940D95">
      <w:pPr>
        <w:pStyle w:val="TitleCenterBold"/>
        <w:spacing w:before="200" w:line="240" w:lineRule="auto"/>
        <w:rPr>
          <w:b w:val="0"/>
        </w:rPr>
      </w:pPr>
      <w:r>
        <w:rPr>
          <w:b w:val="0"/>
        </w:rPr>
        <w:t>The Taxes, if any, Proposed to be Pledged</w:t>
      </w:r>
    </w:p>
    <w:p w14:paraId="2AC73F37" w14:textId="2A21C6F1" w:rsidR="005C25DF" w:rsidRDefault="005C25DF" w:rsidP="00940D95">
      <w:pPr>
        <w:pStyle w:val="ParaNORMAL"/>
        <w:spacing w:before="200" w:line="240" w:lineRule="auto"/>
      </w:pPr>
      <w:r>
        <w:t xml:space="preserve">The </w:t>
      </w:r>
      <w:r w:rsidR="00CB0A45">
        <w:t>County</w:t>
      </w:r>
      <w:r>
        <w:t xml:space="preserve"> proposes to pledge the full faith and credit of the </w:t>
      </w:r>
      <w:r w:rsidR="00CB0A45">
        <w:t>County</w:t>
      </w:r>
      <w:r>
        <w:t xml:space="preserve"> for the payment of its general obligation bonds and may be obligated to levy and collect ad valorem taxes sufficient to pay the general obligation bonds, as provided by law.</w:t>
      </w:r>
    </w:p>
    <w:p w14:paraId="38D0E6F7" w14:textId="77777777" w:rsidR="005C25DF" w:rsidRDefault="005C25DF" w:rsidP="00940D95">
      <w:pPr>
        <w:pStyle w:val="TitleCenterBold"/>
        <w:spacing w:before="200" w:line="240" w:lineRule="auto"/>
        <w:rPr>
          <w:b w:val="0"/>
        </w:rPr>
      </w:pPr>
      <w:r>
        <w:rPr>
          <w:b w:val="0"/>
        </w:rPr>
        <w:t>Time, Place and Location of Public Hearing</w:t>
      </w:r>
    </w:p>
    <w:p w14:paraId="41395E3C" w14:textId="50A2AD49" w:rsidR="005C25DF" w:rsidRDefault="005C25DF" w:rsidP="00940D95">
      <w:pPr>
        <w:pStyle w:val="ParaNORMAL"/>
        <w:spacing w:before="200" w:line="240" w:lineRule="auto"/>
      </w:pPr>
      <w:r>
        <w:t xml:space="preserve">The </w:t>
      </w:r>
      <w:r w:rsidR="00CB0A45">
        <w:t>County</w:t>
      </w:r>
      <w:r>
        <w:t xml:space="preserve"> will hold a public hearing at </w:t>
      </w:r>
      <w:r w:rsidR="00042B7A">
        <w:t>6</w:t>
      </w:r>
      <w:r w:rsidR="009150D1">
        <w:t>:00</w:t>
      </w:r>
      <w:r>
        <w:t xml:space="preserve"> p.m. on </w:t>
      </w:r>
      <w:r w:rsidR="00042B7A">
        <w:t>October 6</w:t>
      </w:r>
      <w:r w:rsidR="00CA0A99">
        <w:t>, 202</w:t>
      </w:r>
      <w:r w:rsidR="000332A5">
        <w:t>6</w:t>
      </w:r>
      <w:r>
        <w:t xml:space="preserve">.  The public hearing will be held </w:t>
      </w:r>
      <w:r w:rsidR="00CA0A99">
        <w:t xml:space="preserve">at the regular meeting place of the </w:t>
      </w:r>
      <w:r w:rsidR="00CB0A45">
        <w:t>County Council</w:t>
      </w:r>
      <w:r w:rsidR="00CA0A99">
        <w:t xml:space="preserve">, located </w:t>
      </w:r>
      <w:r w:rsidR="00CB0A45">
        <w:t>in the Governmental Chambers, N1-100, 2001 South State Street</w:t>
      </w:r>
      <w:r w:rsidR="00CB0A45">
        <w:rPr>
          <w:color w:val="000000"/>
        </w:rPr>
        <w:t>, Salt Lake City, Utah</w:t>
      </w:r>
      <w:r>
        <w:t xml:space="preserve">.  All members of the public are invited to attend and participate in the public hearing.  Prior to the public hearing, written comments may be submitted to the </w:t>
      </w:r>
      <w:r w:rsidR="00CB0A45">
        <w:t>County Council</w:t>
      </w:r>
      <w:r>
        <w:t xml:space="preserve">, to the attention of the </w:t>
      </w:r>
      <w:r w:rsidR="00CB0A45">
        <w:t>County Clerk</w:t>
      </w:r>
      <w:r>
        <w:t xml:space="preserve">, </w:t>
      </w:r>
      <w:r w:rsidR="00CA0A99">
        <w:t xml:space="preserve">at the </w:t>
      </w:r>
      <w:r w:rsidR="00CB0A45">
        <w:t>office of the County Clerk (as Council Clerk)</w:t>
      </w:r>
      <w:r w:rsidR="00CA0A99">
        <w:t xml:space="preserve">, located at </w:t>
      </w:r>
      <w:r w:rsidR="00CB0A45">
        <w:t>2001 South State Street, N2-700</w:t>
      </w:r>
      <w:r w:rsidR="00CA0A99">
        <w:rPr>
          <w:color w:val="000000"/>
        </w:rPr>
        <w:t xml:space="preserve">, </w:t>
      </w:r>
      <w:r w:rsidR="00CB0A45">
        <w:rPr>
          <w:color w:val="000000"/>
        </w:rPr>
        <w:t xml:space="preserve">PO Box 144575, </w:t>
      </w:r>
      <w:r w:rsidR="00CA0A99">
        <w:rPr>
          <w:color w:val="000000"/>
        </w:rPr>
        <w:t>Salt Lake City, Utah 8411</w:t>
      </w:r>
      <w:r w:rsidR="00CB0A45">
        <w:rPr>
          <w:color w:val="000000"/>
        </w:rPr>
        <w:t>4-4575</w:t>
      </w:r>
      <w:r w:rsidR="00CA0A99">
        <w:rPr>
          <w:color w:val="000000"/>
        </w:rPr>
        <w:t>.</w:t>
      </w:r>
    </w:p>
    <w:p w14:paraId="50E0E8BB" w14:textId="5846D2A6" w:rsidR="005C25DF" w:rsidRDefault="005C25DF" w:rsidP="00940D95">
      <w:pPr>
        <w:pStyle w:val="ParaNORMAL"/>
        <w:keepNext/>
        <w:spacing w:before="200" w:line="240" w:lineRule="exact"/>
      </w:pPr>
      <w:r>
        <w:rPr>
          <w:smallCaps/>
        </w:rPr>
        <w:t>Dated</w:t>
      </w:r>
      <w:r>
        <w:t xml:space="preserve"> </w:t>
      </w:r>
      <w:proofErr w:type="gramStart"/>
      <w:r>
        <w:t xml:space="preserve">this </w:t>
      </w:r>
      <w:r w:rsidR="00C6518B">
        <w:t>18</w:t>
      </w:r>
      <w:r w:rsidR="00CA0A99">
        <w:t>th</w:t>
      </w:r>
      <w:proofErr w:type="gramEnd"/>
      <w:r>
        <w:t xml:space="preserve"> day of </w:t>
      </w:r>
      <w:proofErr w:type="gramStart"/>
      <w:r w:rsidR="009A625D">
        <w:t>August</w:t>
      </w:r>
      <w:r>
        <w:t>,</w:t>
      </w:r>
      <w:proofErr w:type="gramEnd"/>
      <w:r>
        <w:t xml:space="preserve"> 20</w:t>
      </w:r>
      <w:r w:rsidR="008F23EE">
        <w:t>2</w:t>
      </w:r>
      <w:r w:rsidR="000332A5">
        <w:t>6</w:t>
      </w:r>
      <w:r>
        <w:t>.</w:t>
      </w:r>
    </w:p>
    <w:p w14:paraId="5F4D2BF8" w14:textId="77777777" w:rsidR="005C25DF" w:rsidRDefault="005C25DF" w:rsidP="00940D95">
      <w:pPr>
        <w:keepNext/>
        <w:spacing w:line="240" w:lineRule="exact"/>
      </w:pPr>
    </w:p>
    <w:p w14:paraId="2E9CA15C" w14:textId="0AE3AEC2" w:rsidR="005C25DF" w:rsidRDefault="00BA01A7" w:rsidP="00940D95">
      <w:pPr>
        <w:pStyle w:val="Signature1"/>
        <w:spacing w:line="240" w:lineRule="exact"/>
      </w:pPr>
      <w:r>
        <w:t>Salt Lake County</w:t>
      </w:r>
      <w:r w:rsidR="005C25DF">
        <w:t>, Utah</w:t>
      </w:r>
    </w:p>
    <w:p w14:paraId="42A53DD3" w14:textId="77777777" w:rsidR="005C25DF" w:rsidRDefault="005C25DF" w:rsidP="00940D95">
      <w:pPr>
        <w:pStyle w:val="Signature1"/>
        <w:spacing w:line="240" w:lineRule="exact"/>
        <w:ind w:left="4680" w:firstLine="0"/>
        <w:rPr>
          <w:smallCaps/>
        </w:rPr>
      </w:pPr>
    </w:p>
    <w:p w14:paraId="58418E02" w14:textId="078800E6" w:rsidR="005C25DF" w:rsidRDefault="005C25DF" w:rsidP="00940D95">
      <w:pPr>
        <w:pStyle w:val="Signature1"/>
        <w:spacing w:line="240" w:lineRule="exact"/>
        <w:ind w:left="4680" w:firstLine="0"/>
      </w:pPr>
      <w:r>
        <w:t>By</w:t>
      </w:r>
      <w:r w:rsidR="00940D95">
        <w:t xml:space="preserve"> </w:t>
      </w:r>
      <w:r w:rsidR="00940D95" w:rsidRPr="00940D95">
        <w:rPr>
          <w:u w:val="single"/>
        </w:rPr>
        <w:t>/s/ Lannie Chapman</w:t>
      </w:r>
      <w:r w:rsidR="00940D95">
        <w:rPr>
          <w:u w:val="single"/>
        </w:rPr>
        <w:t>                              </w:t>
      </w:r>
    </w:p>
    <w:p w14:paraId="0914D33C" w14:textId="4A9A1FCE" w:rsidR="005C25DF" w:rsidRPr="00BA01A7" w:rsidRDefault="00BA01A7" w:rsidP="00940D95">
      <w:pPr>
        <w:pStyle w:val="Signature1"/>
        <w:keepNext w:val="0"/>
        <w:spacing w:line="240" w:lineRule="exact"/>
        <w:ind w:left="5040" w:firstLine="0"/>
      </w:pPr>
      <w:r>
        <w:t>County Clerk</w:t>
      </w:r>
    </w:p>
    <w:sectPr w:rsidR="005C25DF" w:rsidRPr="00BA01A7" w:rsidSect="00940D95">
      <w:footerReference w:type="default" r:id="rId7"/>
      <w:pgSz w:w="12240" w:h="15840"/>
      <w:pgMar w:top="1080" w:right="1440" w:bottom="1080" w:left="1440"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4D7D0" w14:textId="77777777" w:rsidR="00CC6A92" w:rsidRDefault="00CC6A92">
      <w:pPr>
        <w:spacing w:line="240" w:lineRule="auto"/>
      </w:pPr>
      <w:r>
        <w:separator/>
      </w:r>
    </w:p>
  </w:endnote>
  <w:endnote w:type="continuationSeparator" w:id="0">
    <w:p w14:paraId="7E36A5E3" w14:textId="77777777" w:rsidR="00CC6A92" w:rsidRDefault="00CC6A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panose1 w:val="02040503060506020304"/>
    <w:charset w:val="4D"/>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C8B71" w14:textId="77777777" w:rsidR="005C25DF" w:rsidRDefault="005C25DF">
    <w:pPr>
      <w:pStyle w:val="Footer"/>
      <w:jc w:val="both"/>
    </w:pPr>
    <w:r>
      <w:rPr>
        <w:rStyle w:val="PageNumber"/>
      </w:rPr>
      <w:tab/>
      <w:t xml:space="preserve">Exhibit 1 -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sz w:val="18"/>
      </w:rPr>
      <w:tab/>
      <w:t>Local Special Bond Election Resolution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01E90" w14:textId="77777777" w:rsidR="00CC6A92" w:rsidRDefault="00CC6A92">
      <w:pPr>
        <w:spacing w:line="240" w:lineRule="auto"/>
      </w:pPr>
      <w:r>
        <w:separator/>
      </w:r>
    </w:p>
  </w:footnote>
  <w:footnote w:type="continuationSeparator" w:id="0">
    <w:p w14:paraId="607D5850" w14:textId="77777777" w:rsidR="00CC6A92" w:rsidRDefault="00CC6A9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708C6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FB265A4"/>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237E0BE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0D62BE7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B6CC5360"/>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208C10FC"/>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AFD27E2E"/>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3F2033B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3A762DCC"/>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DD0A4CF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5642DE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2"/>
    <w:multiLevelType w:val="multilevel"/>
    <w:tmpl w:val="00000000"/>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739471866">
    <w:abstractNumId w:val="11"/>
  </w:num>
  <w:num w:numId="2" w16cid:durableId="487674794">
    <w:abstractNumId w:val="10"/>
  </w:num>
  <w:num w:numId="3" w16cid:durableId="1588536178">
    <w:abstractNumId w:val="8"/>
  </w:num>
  <w:num w:numId="4" w16cid:durableId="209459062">
    <w:abstractNumId w:val="7"/>
  </w:num>
  <w:num w:numId="5" w16cid:durableId="921179550">
    <w:abstractNumId w:val="6"/>
  </w:num>
  <w:num w:numId="6" w16cid:durableId="63647156">
    <w:abstractNumId w:val="5"/>
  </w:num>
  <w:num w:numId="7" w16cid:durableId="274101806">
    <w:abstractNumId w:val="9"/>
  </w:num>
  <w:num w:numId="8" w16cid:durableId="311763790">
    <w:abstractNumId w:val="4"/>
  </w:num>
  <w:num w:numId="9" w16cid:durableId="319693808">
    <w:abstractNumId w:val="3"/>
  </w:num>
  <w:num w:numId="10" w16cid:durableId="1563251763">
    <w:abstractNumId w:val="2"/>
  </w:num>
  <w:num w:numId="11" w16cid:durableId="1627395189">
    <w:abstractNumId w:val="1"/>
  </w:num>
  <w:num w:numId="12" w16cid:durableId="1945452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intFractionalCharacterWidth/>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F8"/>
    <w:rsid w:val="0000465F"/>
    <w:rsid w:val="000332A5"/>
    <w:rsid w:val="00037499"/>
    <w:rsid w:val="00042B7A"/>
    <w:rsid w:val="00065013"/>
    <w:rsid w:val="000663F5"/>
    <w:rsid w:val="00093884"/>
    <w:rsid w:val="000B4382"/>
    <w:rsid w:val="000D30F5"/>
    <w:rsid w:val="000D5BAC"/>
    <w:rsid w:val="000D6207"/>
    <w:rsid w:val="000E1C4B"/>
    <w:rsid w:val="00110EAF"/>
    <w:rsid w:val="00115418"/>
    <w:rsid w:val="00130005"/>
    <w:rsid w:val="00137C4C"/>
    <w:rsid w:val="00152A79"/>
    <w:rsid w:val="00153013"/>
    <w:rsid w:val="00170D48"/>
    <w:rsid w:val="0017182A"/>
    <w:rsid w:val="00172442"/>
    <w:rsid w:val="001A22F8"/>
    <w:rsid w:val="001A5C5F"/>
    <w:rsid w:val="001F39D1"/>
    <w:rsid w:val="00216391"/>
    <w:rsid w:val="002624BD"/>
    <w:rsid w:val="00273BF0"/>
    <w:rsid w:val="002755C3"/>
    <w:rsid w:val="00297CD3"/>
    <w:rsid w:val="002A391F"/>
    <w:rsid w:val="002B1C36"/>
    <w:rsid w:val="002F03A7"/>
    <w:rsid w:val="002F67A9"/>
    <w:rsid w:val="00300EE5"/>
    <w:rsid w:val="00307C66"/>
    <w:rsid w:val="003146F6"/>
    <w:rsid w:val="00357719"/>
    <w:rsid w:val="00357E98"/>
    <w:rsid w:val="003601AB"/>
    <w:rsid w:val="00362960"/>
    <w:rsid w:val="003A6E79"/>
    <w:rsid w:val="003B10AF"/>
    <w:rsid w:val="003D1F32"/>
    <w:rsid w:val="003D638F"/>
    <w:rsid w:val="003E0A41"/>
    <w:rsid w:val="003E0D66"/>
    <w:rsid w:val="003F4588"/>
    <w:rsid w:val="00400D25"/>
    <w:rsid w:val="00406D17"/>
    <w:rsid w:val="004523D4"/>
    <w:rsid w:val="004A12DC"/>
    <w:rsid w:val="004A5F80"/>
    <w:rsid w:val="004A65D0"/>
    <w:rsid w:val="004B0079"/>
    <w:rsid w:val="004C35B9"/>
    <w:rsid w:val="004C7A2A"/>
    <w:rsid w:val="004D104F"/>
    <w:rsid w:val="004D1469"/>
    <w:rsid w:val="004F28CC"/>
    <w:rsid w:val="005067C3"/>
    <w:rsid w:val="005136C2"/>
    <w:rsid w:val="00522B63"/>
    <w:rsid w:val="005340B4"/>
    <w:rsid w:val="00536561"/>
    <w:rsid w:val="0056544B"/>
    <w:rsid w:val="00583F03"/>
    <w:rsid w:val="0058753A"/>
    <w:rsid w:val="005915B6"/>
    <w:rsid w:val="005A53FA"/>
    <w:rsid w:val="005C25DF"/>
    <w:rsid w:val="005D05CE"/>
    <w:rsid w:val="005D3D1F"/>
    <w:rsid w:val="005E340C"/>
    <w:rsid w:val="005E4096"/>
    <w:rsid w:val="005E4C2A"/>
    <w:rsid w:val="005F147F"/>
    <w:rsid w:val="005F270B"/>
    <w:rsid w:val="00602579"/>
    <w:rsid w:val="00603342"/>
    <w:rsid w:val="006104B3"/>
    <w:rsid w:val="00613B10"/>
    <w:rsid w:val="006370E6"/>
    <w:rsid w:val="006376D1"/>
    <w:rsid w:val="006407E2"/>
    <w:rsid w:val="006623CC"/>
    <w:rsid w:val="00676C7A"/>
    <w:rsid w:val="00681EEF"/>
    <w:rsid w:val="006C2271"/>
    <w:rsid w:val="006E26B8"/>
    <w:rsid w:val="007229BE"/>
    <w:rsid w:val="00730AF7"/>
    <w:rsid w:val="007314F0"/>
    <w:rsid w:val="007375DB"/>
    <w:rsid w:val="00743C3B"/>
    <w:rsid w:val="0074549A"/>
    <w:rsid w:val="00760D8A"/>
    <w:rsid w:val="007654C1"/>
    <w:rsid w:val="00767C70"/>
    <w:rsid w:val="00770514"/>
    <w:rsid w:val="007731BB"/>
    <w:rsid w:val="00794A82"/>
    <w:rsid w:val="007C38A1"/>
    <w:rsid w:val="007D6B85"/>
    <w:rsid w:val="007F7495"/>
    <w:rsid w:val="00816777"/>
    <w:rsid w:val="0082715C"/>
    <w:rsid w:val="0083682C"/>
    <w:rsid w:val="00857A13"/>
    <w:rsid w:val="00875A1F"/>
    <w:rsid w:val="0089270B"/>
    <w:rsid w:val="008962C8"/>
    <w:rsid w:val="008B7845"/>
    <w:rsid w:val="008E29DC"/>
    <w:rsid w:val="008E4381"/>
    <w:rsid w:val="008E70A9"/>
    <w:rsid w:val="008F23EE"/>
    <w:rsid w:val="008F3C41"/>
    <w:rsid w:val="008F4F21"/>
    <w:rsid w:val="00901FD5"/>
    <w:rsid w:val="009077E0"/>
    <w:rsid w:val="0091069E"/>
    <w:rsid w:val="009150D1"/>
    <w:rsid w:val="009209D3"/>
    <w:rsid w:val="0093012E"/>
    <w:rsid w:val="00940D95"/>
    <w:rsid w:val="00960F22"/>
    <w:rsid w:val="0097371A"/>
    <w:rsid w:val="009A625D"/>
    <w:rsid w:val="009F0782"/>
    <w:rsid w:val="009F71FE"/>
    <w:rsid w:val="00A01D1F"/>
    <w:rsid w:val="00A155A2"/>
    <w:rsid w:val="00A37A16"/>
    <w:rsid w:val="00A4038F"/>
    <w:rsid w:val="00A412B6"/>
    <w:rsid w:val="00A656CD"/>
    <w:rsid w:val="00A74D87"/>
    <w:rsid w:val="00A94363"/>
    <w:rsid w:val="00AA0899"/>
    <w:rsid w:val="00AA3489"/>
    <w:rsid w:val="00AA4C74"/>
    <w:rsid w:val="00AA5748"/>
    <w:rsid w:val="00AB581F"/>
    <w:rsid w:val="00AC582D"/>
    <w:rsid w:val="00B01DF1"/>
    <w:rsid w:val="00B23AE1"/>
    <w:rsid w:val="00B23F88"/>
    <w:rsid w:val="00B417F0"/>
    <w:rsid w:val="00B50D45"/>
    <w:rsid w:val="00B52205"/>
    <w:rsid w:val="00B62FC4"/>
    <w:rsid w:val="00B638AB"/>
    <w:rsid w:val="00B80260"/>
    <w:rsid w:val="00B83179"/>
    <w:rsid w:val="00B94881"/>
    <w:rsid w:val="00BA01A7"/>
    <w:rsid w:val="00BB66A7"/>
    <w:rsid w:val="00BE5197"/>
    <w:rsid w:val="00BF1383"/>
    <w:rsid w:val="00C0195D"/>
    <w:rsid w:val="00C05453"/>
    <w:rsid w:val="00C255F3"/>
    <w:rsid w:val="00C42D4C"/>
    <w:rsid w:val="00C43F15"/>
    <w:rsid w:val="00C46E24"/>
    <w:rsid w:val="00C6518B"/>
    <w:rsid w:val="00C77B1D"/>
    <w:rsid w:val="00CA0A99"/>
    <w:rsid w:val="00CA30F1"/>
    <w:rsid w:val="00CA312E"/>
    <w:rsid w:val="00CB0A45"/>
    <w:rsid w:val="00CB5B03"/>
    <w:rsid w:val="00CC02B7"/>
    <w:rsid w:val="00CC6A92"/>
    <w:rsid w:val="00CD69E0"/>
    <w:rsid w:val="00CE3021"/>
    <w:rsid w:val="00D05B58"/>
    <w:rsid w:val="00D1755F"/>
    <w:rsid w:val="00D22B59"/>
    <w:rsid w:val="00D375E6"/>
    <w:rsid w:val="00D441AF"/>
    <w:rsid w:val="00D5070F"/>
    <w:rsid w:val="00D55DE3"/>
    <w:rsid w:val="00D63B05"/>
    <w:rsid w:val="00D91BA8"/>
    <w:rsid w:val="00D94F87"/>
    <w:rsid w:val="00D9636E"/>
    <w:rsid w:val="00DA4E56"/>
    <w:rsid w:val="00DC1A59"/>
    <w:rsid w:val="00DC39E7"/>
    <w:rsid w:val="00DC7FF9"/>
    <w:rsid w:val="00DE37D2"/>
    <w:rsid w:val="00DF4A01"/>
    <w:rsid w:val="00E013A5"/>
    <w:rsid w:val="00E16BD0"/>
    <w:rsid w:val="00E173AD"/>
    <w:rsid w:val="00E255F5"/>
    <w:rsid w:val="00E31186"/>
    <w:rsid w:val="00E46CAF"/>
    <w:rsid w:val="00E73877"/>
    <w:rsid w:val="00EA3F6C"/>
    <w:rsid w:val="00EB2F3E"/>
    <w:rsid w:val="00EC4599"/>
    <w:rsid w:val="00EC59C1"/>
    <w:rsid w:val="00ED3B2F"/>
    <w:rsid w:val="00EF351D"/>
    <w:rsid w:val="00EF6090"/>
    <w:rsid w:val="00EF68AE"/>
    <w:rsid w:val="00F31290"/>
    <w:rsid w:val="00F36707"/>
    <w:rsid w:val="00F46C9D"/>
    <w:rsid w:val="00F611FE"/>
    <w:rsid w:val="00F7254A"/>
    <w:rsid w:val="00F7365C"/>
    <w:rsid w:val="00F76293"/>
    <w:rsid w:val="00F80C4C"/>
    <w:rsid w:val="00F926AE"/>
    <w:rsid w:val="00FA6994"/>
    <w:rsid w:val="00FC277A"/>
    <w:rsid w:val="00FC7418"/>
    <w:rsid w:val="00FC77C2"/>
    <w:rsid w:val="00FD0871"/>
    <w:rsid w:val="00FD1743"/>
    <w:rsid w:val="00FE6D5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812796"/>
  <w15:chartTrackingRefBased/>
  <w15:docId w15:val="{48450E90-BCD2-3D4D-B432-A1453F22A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
    <w:qFormat/>
    <w:rsid w:val="009209D3"/>
    <w:pPr>
      <w:spacing w:line="280" w:lineRule="exact"/>
    </w:pPr>
    <w:rPr>
      <w:rFonts w:ascii="Times New Roman" w:hAnsi="Times New Roman"/>
      <w:sz w:val="24"/>
    </w:rPr>
  </w:style>
  <w:style w:type="paragraph" w:styleId="Heading1">
    <w:name w:val="heading 1"/>
    <w:aliases w:val="h1"/>
    <w:basedOn w:val="Normal"/>
    <w:next w:val="Normal"/>
    <w:qFormat/>
    <w:pPr>
      <w:keepNext/>
      <w:keepLines/>
      <w:spacing w:before="360"/>
      <w:ind w:left="1800" w:right="1267" w:hanging="1080"/>
      <w:jc w:val="both"/>
      <w:outlineLvl w:val="0"/>
    </w:pPr>
    <w:rPr>
      <w:b/>
      <w:smallCaps/>
    </w:rPr>
  </w:style>
  <w:style w:type="paragraph" w:styleId="Heading2">
    <w:name w:val="heading 2"/>
    <w:aliases w:val="h2"/>
    <w:basedOn w:val="Heading1"/>
    <w:next w:val="Normal"/>
    <w:qFormat/>
    <w:pPr>
      <w:ind w:left="0" w:firstLine="0"/>
      <w:outlineLvl w:val="1"/>
    </w:pPr>
    <w:rPr>
      <w:smallCaps w:val="0"/>
    </w:rPr>
  </w:style>
  <w:style w:type="paragraph" w:styleId="Heading3">
    <w:name w:val="heading 3"/>
    <w:aliases w:val="h3"/>
    <w:basedOn w:val="Heading1"/>
    <w:next w:val="Normal"/>
    <w:qFormat/>
    <w:pPr>
      <w:ind w:left="0" w:firstLine="0"/>
      <w:outlineLvl w:val="2"/>
    </w:pPr>
    <w:rPr>
      <w:smallCaps w:val="0"/>
    </w:rPr>
  </w:style>
  <w:style w:type="paragraph" w:styleId="Heading4">
    <w:name w:val="heading 4"/>
    <w:aliases w:val="h4"/>
    <w:basedOn w:val="Heading1"/>
    <w:next w:val="Normal"/>
    <w:qFormat/>
    <w:pPr>
      <w:ind w:left="0" w:firstLine="0"/>
      <w:outlineLvl w:val="3"/>
    </w:pPr>
    <w:rPr>
      <w:smallCaps w:val="0"/>
    </w:rPr>
  </w:style>
  <w:style w:type="paragraph" w:styleId="Heading5">
    <w:name w:val="heading 5"/>
    <w:basedOn w:val="Normal"/>
    <w:next w:val="Normal"/>
    <w:qFormat/>
    <w:pPr>
      <w:outlineLvl w:val="4"/>
    </w:pPr>
    <w:rPr>
      <w:b/>
    </w:rPr>
  </w:style>
  <w:style w:type="paragraph" w:styleId="Heading6">
    <w:name w:val="heading 6"/>
    <w:basedOn w:val="Normal"/>
    <w:next w:val="Normal"/>
    <w:qFormat/>
    <w:pPr>
      <w:outlineLvl w:val="5"/>
    </w:pPr>
  </w:style>
  <w:style w:type="paragraph" w:styleId="Heading7">
    <w:name w:val="heading 7"/>
    <w:basedOn w:val="Normal"/>
    <w:next w:val="Normal"/>
    <w:qFormat/>
    <w:pPr>
      <w:outlineLvl w:val="6"/>
    </w:pPr>
    <w:rPr>
      <w:i/>
    </w:rPr>
  </w:style>
  <w:style w:type="paragraph" w:styleId="Heading8">
    <w:name w:val="heading 8"/>
    <w:basedOn w:val="Normal"/>
    <w:next w:val="Normal"/>
    <w:qFormat/>
    <w:pPr>
      <w:outlineLvl w:val="7"/>
    </w:pPr>
    <w:rPr>
      <w:i/>
    </w:rPr>
  </w:style>
  <w:style w:type="paragraph" w:styleId="Heading9">
    <w:name w:val="heading 9"/>
    <w:basedOn w:val="Normal"/>
    <w:next w:val="Normal"/>
    <w:qFormat/>
    <w:pPr>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rFonts w:ascii="Times" w:hAnsi="Times"/>
    </w:rPr>
  </w:style>
  <w:style w:type="character" w:styleId="EndnoteReference">
    <w:name w:val="endnote reference"/>
    <w:basedOn w:val="DefaultParagraphFont"/>
    <w:rPr>
      <w:rFonts w:ascii="Times" w:hAnsi="Times"/>
      <w:vertAlign w:val="superscript"/>
    </w:rPr>
  </w:style>
  <w:style w:type="paragraph" w:styleId="TOC8">
    <w:name w:val="toc 8"/>
    <w:aliases w:val="t8"/>
    <w:basedOn w:val="TOC1"/>
    <w:next w:val="Normal"/>
    <w:pPr>
      <w:tabs>
        <w:tab w:val="clear" w:pos="2160"/>
      </w:tabs>
      <w:spacing w:before="0" w:after="0"/>
      <w:ind w:left="0" w:firstLine="0"/>
    </w:pPr>
    <w:rPr>
      <w:smallCaps w:val="0"/>
    </w:rPr>
  </w:style>
  <w:style w:type="paragraph" w:styleId="TOC1">
    <w:name w:val="toc 1"/>
    <w:aliases w:val="t1"/>
    <w:basedOn w:val="Normal"/>
    <w:next w:val="Normal"/>
    <w:pPr>
      <w:tabs>
        <w:tab w:val="left" w:pos="2160"/>
        <w:tab w:val="right" w:leader="dot" w:pos="9360"/>
      </w:tabs>
      <w:spacing w:before="280" w:after="120"/>
      <w:ind w:left="2160" w:right="1267" w:hanging="2160"/>
    </w:pPr>
    <w:rPr>
      <w:smallCaps/>
    </w:rPr>
  </w:style>
  <w:style w:type="paragraph" w:styleId="TOC7">
    <w:name w:val="toc 7"/>
    <w:aliases w:val="t7"/>
    <w:basedOn w:val="TOC1"/>
    <w:next w:val="Normal"/>
    <w:pPr>
      <w:tabs>
        <w:tab w:val="clear" w:pos="2160"/>
      </w:tabs>
      <w:spacing w:before="0" w:after="0"/>
      <w:ind w:left="0" w:firstLine="0"/>
    </w:pPr>
    <w:rPr>
      <w:smallCaps w:val="0"/>
    </w:rPr>
  </w:style>
  <w:style w:type="paragraph" w:styleId="TOC6">
    <w:name w:val="toc 6"/>
    <w:aliases w:val="t6"/>
    <w:basedOn w:val="TOC1"/>
    <w:next w:val="Normal"/>
    <w:pPr>
      <w:tabs>
        <w:tab w:val="clear" w:pos="2160"/>
      </w:tabs>
      <w:spacing w:before="0" w:after="0"/>
      <w:ind w:left="0" w:firstLine="0"/>
    </w:pPr>
    <w:rPr>
      <w:smallCaps w:val="0"/>
    </w:rPr>
  </w:style>
  <w:style w:type="paragraph" w:styleId="TOC5">
    <w:name w:val="toc 5"/>
    <w:aliases w:val="t5"/>
    <w:basedOn w:val="TOC1"/>
    <w:next w:val="Normal"/>
    <w:pPr>
      <w:tabs>
        <w:tab w:val="left" w:pos="1440"/>
      </w:tabs>
      <w:spacing w:before="0" w:after="0"/>
    </w:pPr>
    <w:rPr>
      <w:smallCaps w:val="0"/>
    </w:rPr>
  </w:style>
  <w:style w:type="paragraph" w:styleId="TOC4">
    <w:name w:val="toc 4"/>
    <w:aliases w:val="t4"/>
    <w:basedOn w:val="TOC1"/>
    <w:next w:val="Normal"/>
    <w:pPr>
      <w:tabs>
        <w:tab w:val="clear" w:pos="2160"/>
      </w:tabs>
      <w:spacing w:after="0"/>
      <w:ind w:left="0" w:firstLine="0"/>
    </w:pPr>
    <w:rPr>
      <w:smallCaps w:val="0"/>
    </w:rPr>
  </w:style>
  <w:style w:type="paragraph" w:styleId="TOC3">
    <w:name w:val="toc 3"/>
    <w:aliases w:val="t3"/>
    <w:basedOn w:val="TOC1"/>
    <w:next w:val="Normal"/>
    <w:pPr>
      <w:tabs>
        <w:tab w:val="clear" w:pos="2160"/>
        <w:tab w:val="left" w:pos="2520"/>
      </w:tabs>
      <w:spacing w:before="0" w:after="0"/>
      <w:ind w:left="2520" w:hanging="1080"/>
    </w:pPr>
    <w:rPr>
      <w:smallCaps w:val="0"/>
    </w:rPr>
  </w:style>
  <w:style w:type="paragraph" w:styleId="TOC2">
    <w:name w:val="toc 2"/>
    <w:aliases w:val="t2"/>
    <w:basedOn w:val="TOC1"/>
    <w:next w:val="Normal"/>
    <w:pPr>
      <w:tabs>
        <w:tab w:val="clear" w:pos="2160"/>
        <w:tab w:val="left" w:pos="2520"/>
      </w:tabs>
      <w:spacing w:before="0" w:after="0"/>
      <w:ind w:left="2520" w:hanging="1980"/>
    </w:pPr>
    <w:rPr>
      <w:smallCaps w:val="0"/>
    </w:rPr>
  </w:style>
  <w:style w:type="paragraph" w:customStyle="1" w:styleId="relineborder">
    <w:name w:val="reline border"/>
    <w:aliases w:val="rlb"/>
    <w:basedOn w:val="Normal"/>
    <w:pPr>
      <w:pBdr>
        <w:top w:val="single" w:sz="2" w:space="1" w:color="000000"/>
      </w:pBdr>
      <w:ind w:left="1800" w:right="1440"/>
    </w:pPr>
  </w:style>
  <w:style w:type="character" w:customStyle="1" w:styleId="Style1">
    <w:name w:val="Style1"/>
    <w:basedOn w:val="DefaultParagraphFont"/>
  </w:style>
  <w:style w:type="paragraph" w:styleId="Title">
    <w:name w:val="Title"/>
    <w:basedOn w:val="Normal"/>
    <w:qFormat/>
    <w:pPr>
      <w:spacing w:after="280"/>
      <w:jc w:val="center"/>
      <w:outlineLvl w:val="0"/>
    </w:pPr>
  </w:style>
  <w:style w:type="paragraph" w:styleId="TOAHeading">
    <w:name w:val="toa heading"/>
    <w:basedOn w:val="Normal"/>
    <w:next w:val="Normal"/>
    <w:pPr>
      <w:spacing w:before="120"/>
    </w:pPr>
    <w:rPr>
      <w:b/>
    </w:rPr>
  </w:style>
  <w:style w:type="paragraph" w:styleId="BodyText3">
    <w:name w:val="Body Text 3"/>
    <w:basedOn w:val="Normal"/>
    <w:pPr>
      <w:spacing w:after="120"/>
    </w:pPr>
  </w:style>
  <w:style w:type="paragraph" w:styleId="BodyTextIndent3">
    <w:name w:val="Body Text Indent 3"/>
    <w:basedOn w:val="Normal"/>
    <w:pPr>
      <w:spacing w:after="120"/>
      <w:ind w:left="360"/>
    </w:pPr>
  </w:style>
  <w:style w:type="character" w:styleId="CommentReference">
    <w:name w:val="annotation reference"/>
    <w:basedOn w:val="DefaultParagraphFont"/>
    <w:rPr>
      <w:rFonts w:ascii="Times" w:hAnsi="Times"/>
      <w:sz w:val="24"/>
    </w:rPr>
  </w:style>
  <w:style w:type="character" w:styleId="LineNumber">
    <w:name w:val="line number"/>
    <w:basedOn w:val="DefaultParagraphFont"/>
    <w:rPr>
      <w:rFonts w:ascii="Times" w:hAnsi="Times"/>
      <w:sz w:val="24"/>
    </w:rPr>
  </w:style>
  <w:style w:type="paragraph" w:styleId="CommentText">
    <w:name w:val="annotation text"/>
    <w:basedOn w:val="Normal"/>
    <w:link w:val="CommentTextChar"/>
  </w:style>
  <w:style w:type="paragraph" w:styleId="Footer">
    <w:name w:val="footer"/>
    <w:aliases w:val="f"/>
    <w:basedOn w:val="Normal"/>
    <w:pPr>
      <w:tabs>
        <w:tab w:val="center" w:pos="4680"/>
        <w:tab w:val="right" w:pos="9360"/>
      </w:tabs>
    </w:pPr>
  </w:style>
  <w:style w:type="paragraph" w:styleId="Header">
    <w:name w:val="header"/>
    <w:aliases w:val="h"/>
    <w:basedOn w:val="Normal"/>
    <w:pPr>
      <w:tabs>
        <w:tab w:val="center" w:pos="4680"/>
        <w:tab w:val="right" w:pos="9360"/>
      </w:tabs>
    </w:pPr>
  </w:style>
  <w:style w:type="character" w:styleId="FootnoteReference">
    <w:name w:val="footnote reference"/>
    <w:aliases w:val="fr"/>
    <w:basedOn w:val="DefaultParagraphFont"/>
    <w:rPr>
      <w:rFonts w:ascii="Times" w:hAnsi="Times"/>
      <w:position w:val="6"/>
      <w:sz w:val="20"/>
      <w:vertAlign w:val="baseline"/>
    </w:rPr>
  </w:style>
  <w:style w:type="paragraph" w:styleId="FootnoteText">
    <w:name w:val="footnote text"/>
    <w:aliases w:val="ft"/>
    <w:basedOn w:val="Normal"/>
    <w:pPr>
      <w:spacing w:after="240" w:line="240" w:lineRule="exact"/>
      <w:ind w:left="720" w:hanging="720"/>
      <w:jc w:val="both"/>
    </w:pPr>
    <w:rPr>
      <w:sz w:val="20"/>
    </w:rPr>
  </w:style>
  <w:style w:type="paragraph" w:styleId="EnvelopeAddress">
    <w:name w:val="envelope address"/>
    <w:basedOn w:val="Normal"/>
    <w:pPr>
      <w:framePr w:w="7920" w:h="1980" w:hRule="exact" w:hSpace="180" w:wrap="auto" w:hAnchor="page" w:xAlign="center" w:yAlign="bottom"/>
      <w:ind w:left="2880"/>
    </w:pPr>
  </w:style>
  <w:style w:type="paragraph" w:styleId="TOC9">
    <w:name w:val="toc 9"/>
    <w:aliases w:val="t9"/>
    <w:basedOn w:val="TOC1"/>
    <w:next w:val="Normal"/>
    <w:pPr>
      <w:tabs>
        <w:tab w:val="clear" w:pos="2160"/>
      </w:tabs>
      <w:spacing w:before="0" w:after="0"/>
      <w:ind w:left="0" w:firstLine="0"/>
    </w:pPr>
    <w:rPr>
      <w:smallCaps w:val="0"/>
    </w:rPr>
  </w:style>
  <w:style w:type="character" w:styleId="PageNumber">
    <w:name w:val="page number"/>
    <w:basedOn w:val="DefaultParagraphFont"/>
    <w:rPr>
      <w:rFonts w:ascii="Times" w:hAnsi="Times"/>
      <w:sz w:val="24"/>
    </w:rPr>
  </w:style>
  <w:style w:type="paragraph" w:styleId="EnvelopeReturn">
    <w:name w:val="envelope return"/>
    <w:basedOn w:val="Normal"/>
  </w:style>
  <w:style w:type="paragraph" w:styleId="Index1">
    <w:name w:val="index 1"/>
    <w:basedOn w:val="Normal"/>
    <w:next w:val="Normal"/>
    <w:autoRedefine/>
    <w:pPr>
      <w:ind w:left="240" w:hanging="240"/>
    </w:pPr>
  </w:style>
  <w:style w:type="paragraph" w:customStyle="1" w:styleId="legend">
    <w:name w:val="legend"/>
    <w:aliases w:val="ld"/>
    <w:basedOn w:val="Normal"/>
    <w:rPr>
      <w:sz w:val="18"/>
    </w:rPr>
  </w:style>
  <w:style w:type="paragraph" w:customStyle="1" w:styleId="SubParaLevel0DS">
    <w:name w:val="SubParaLevel0DS"/>
    <w:aliases w:val="s0ds"/>
    <w:basedOn w:val="ParaNORMALDS"/>
    <w:pPr>
      <w:ind w:left="720"/>
    </w:pPr>
  </w:style>
  <w:style w:type="paragraph" w:customStyle="1" w:styleId="ParaNORMALDS">
    <w:name w:val="ParaNORMALDS"/>
    <w:aliases w:val="pds"/>
    <w:basedOn w:val="Normal"/>
    <w:pPr>
      <w:spacing w:line="600" w:lineRule="exact"/>
      <w:ind w:firstLine="720"/>
      <w:jc w:val="both"/>
    </w:pPr>
  </w:style>
  <w:style w:type="paragraph" w:customStyle="1" w:styleId="re">
    <w:name w:val="re"/>
    <w:basedOn w:val="Normal"/>
    <w:next w:val="Normal"/>
    <w:pPr>
      <w:tabs>
        <w:tab w:val="center" w:pos="4680"/>
      </w:tabs>
      <w:spacing w:before="400"/>
      <w:ind w:left="720" w:right="720"/>
    </w:pPr>
  </w:style>
  <w:style w:type="paragraph" w:customStyle="1" w:styleId="HangingIndentDS">
    <w:name w:val="HangingIndentDS"/>
    <w:aliases w:val="hids"/>
    <w:basedOn w:val="ParaNORMALDS"/>
    <w:pPr>
      <w:tabs>
        <w:tab w:val="left" w:pos="720"/>
      </w:tabs>
      <w:ind w:left="720" w:hanging="720"/>
    </w:pPr>
  </w:style>
  <w:style w:type="paragraph" w:styleId="Date">
    <w:name w:val="Date"/>
    <w:basedOn w:val="Normal"/>
    <w:next w:val="Normal"/>
    <w:pPr>
      <w:spacing w:after="640"/>
      <w:jc w:val="center"/>
    </w:pPr>
  </w:style>
  <w:style w:type="paragraph" w:customStyle="1" w:styleId="Signature1">
    <w:name w:val="Signature1"/>
    <w:aliases w:val="sig,s"/>
    <w:basedOn w:val="Normal"/>
    <w:pPr>
      <w:keepNext/>
      <w:tabs>
        <w:tab w:val="decimal" w:leader="underscore" w:pos="9360"/>
      </w:tabs>
      <w:ind w:left="4968" w:hanging="288"/>
    </w:pPr>
  </w:style>
  <w:style w:type="paragraph" w:customStyle="1" w:styleId="NormalCenterBold">
    <w:name w:val="NormalCenterBold"/>
    <w:aliases w:val="ncb"/>
    <w:basedOn w:val="TitleCenterBold"/>
    <w:next w:val="ParaNORMAL"/>
    <w:pPr>
      <w:spacing w:before="0"/>
    </w:pPr>
  </w:style>
  <w:style w:type="paragraph" w:customStyle="1" w:styleId="TitleCenterBold">
    <w:name w:val="TitleCenterBold"/>
    <w:aliases w:val="tcb"/>
    <w:basedOn w:val="Normal"/>
    <w:next w:val="ParaNORMAL"/>
    <w:qFormat/>
    <w:pPr>
      <w:keepNext/>
      <w:spacing w:before="360"/>
      <w:jc w:val="center"/>
    </w:pPr>
    <w:rPr>
      <w:b/>
      <w:smallCaps/>
    </w:rPr>
  </w:style>
  <w:style w:type="paragraph" w:customStyle="1" w:styleId="ParaNORMAL">
    <w:name w:val="ParaNORMAL"/>
    <w:aliases w:val="p,i,party,ohhar,RG Quick Para,ParaFLUSH2,B Indent,ParaNtcbORMAL,paragraph,OHHpara,P,ORPara,ParaNtcbORM"/>
    <w:basedOn w:val="Normal"/>
    <w:qFormat/>
    <w:pPr>
      <w:spacing w:before="280"/>
      <w:ind w:firstLine="720"/>
      <w:jc w:val="both"/>
    </w:pPr>
  </w:style>
  <w:style w:type="paragraph" w:customStyle="1" w:styleId="TitleCenterBoldDS">
    <w:name w:val="TitleCenterBoldDS"/>
    <w:aliases w:val="tcbds"/>
    <w:basedOn w:val="Normal"/>
    <w:next w:val="ParaNORMALDS"/>
    <w:pPr>
      <w:keepNext/>
      <w:spacing w:before="600"/>
      <w:jc w:val="center"/>
    </w:pPr>
    <w:rPr>
      <w:b/>
      <w:smallCaps/>
    </w:rPr>
  </w:style>
  <w:style w:type="paragraph" w:customStyle="1" w:styleId="TitleLeftDS">
    <w:name w:val="TitleLeftDS"/>
    <w:aliases w:val="tlds"/>
    <w:basedOn w:val="TitleCenterBoldDS"/>
    <w:next w:val="ParaSECTIONDS"/>
    <w:pPr>
      <w:tabs>
        <w:tab w:val="left" w:pos="1980"/>
      </w:tabs>
      <w:spacing w:before="400"/>
      <w:ind w:left="1980" w:hanging="1980"/>
      <w:jc w:val="left"/>
    </w:pPr>
    <w:rPr>
      <w:b w:val="0"/>
    </w:rPr>
  </w:style>
  <w:style w:type="paragraph" w:customStyle="1" w:styleId="ParaSECTIONDS">
    <w:name w:val="ParaSECTIONDS"/>
    <w:aliases w:val="psds"/>
    <w:basedOn w:val="ParaNORMALDS"/>
    <w:pPr>
      <w:tabs>
        <w:tab w:val="right" w:pos="1980"/>
        <w:tab w:val="left" w:pos="2340"/>
      </w:tabs>
      <w:ind w:firstLine="0"/>
    </w:pPr>
  </w:style>
  <w:style w:type="paragraph" w:customStyle="1" w:styleId="Signature2">
    <w:name w:val="Signature2"/>
    <w:aliases w:val="sig2"/>
    <w:basedOn w:val="Signature1"/>
    <w:pPr>
      <w:tabs>
        <w:tab w:val="left" w:pos="4680"/>
      </w:tabs>
      <w:ind w:left="4950" w:hanging="4950"/>
    </w:pPr>
  </w:style>
  <w:style w:type="paragraph" w:customStyle="1" w:styleId="ParaNUMBEREDDS">
    <w:name w:val="ParaNUMBEREDDS"/>
    <w:aliases w:val="pnds"/>
    <w:basedOn w:val="ParaNORMALDS"/>
    <w:pPr>
      <w:tabs>
        <w:tab w:val="right" w:pos="1080"/>
        <w:tab w:val="left" w:pos="1440"/>
      </w:tabs>
      <w:ind w:firstLine="0"/>
    </w:pPr>
  </w:style>
  <w:style w:type="paragraph" w:customStyle="1" w:styleId="SubParaLevel1DS">
    <w:name w:val="SubParaLevel1DS"/>
    <w:aliases w:val="s1ds"/>
    <w:basedOn w:val="SubParaLevel0DS"/>
    <w:pPr>
      <w:tabs>
        <w:tab w:val="right" w:pos="1800"/>
        <w:tab w:val="left" w:pos="2160"/>
      </w:tabs>
      <w:ind w:firstLine="0"/>
    </w:pPr>
  </w:style>
  <w:style w:type="paragraph" w:customStyle="1" w:styleId="SubParaLevel2DS">
    <w:name w:val="SubParaLevel2 DS"/>
    <w:aliases w:val="s2ds"/>
    <w:basedOn w:val="SubParaLevel0DS"/>
    <w:pPr>
      <w:tabs>
        <w:tab w:val="right" w:pos="2520"/>
        <w:tab w:val="left" w:pos="2880"/>
      </w:tabs>
      <w:ind w:left="1440" w:firstLine="0"/>
    </w:pPr>
  </w:style>
  <w:style w:type="paragraph" w:customStyle="1" w:styleId="SubParaLevel3DS">
    <w:name w:val="SubParaLevel3 DS"/>
    <w:aliases w:val="s3ds"/>
    <w:basedOn w:val="SubParaLevel0DS"/>
    <w:pPr>
      <w:tabs>
        <w:tab w:val="right" w:pos="3240"/>
        <w:tab w:val="left" w:pos="3600"/>
      </w:tabs>
      <w:ind w:left="2160" w:firstLine="0"/>
    </w:pPr>
  </w:style>
  <w:style w:type="paragraph" w:customStyle="1" w:styleId="SubParaLevel4DS">
    <w:name w:val="SubParaLevel4 DS"/>
    <w:aliases w:val="s4ds"/>
    <w:basedOn w:val="SubParaLevel0DS"/>
    <w:pPr>
      <w:tabs>
        <w:tab w:val="right" w:pos="3960"/>
        <w:tab w:val="left" w:pos="4320"/>
      </w:tabs>
      <w:ind w:left="2880" w:firstLine="0"/>
    </w:pPr>
  </w:style>
  <w:style w:type="paragraph" w:customStyle="1" w:styleId="ParaFLUSHDS">
    <w:name w:val="ParaFLUSHDS"/>
    <w:aliases w:val="pfds"/>
    <w:basedOn w:val="ParaNORMALDS"/>
    <w:pPr>
      <w:ind w:firstLine="0"/>
    </w:pPr>
  </w:style>
  <w:style w:type="paragraph" w:customStyle="1" w:styleId="DoubleLine">
    <w:name w:val="DoubleLine"/>
    <w:aliases w:val="d"/>
    <w:basedOn w:val="Normal"/>
    <w:next w:val="Normal"/>
    <w:pPr>
      <w:pBdr>
        <w:bottom w:val="double" w:sz="6" w:space="0" w:color="auto"/>
      </w:pBdr>
    </w:pPr>
  </w:style>
  <w:style w:type="paragraph" w:customStyle="1" w:styleId="re1">
    <w:name w:val="re1"/>
    <w:basedOn w:val="Normal"/>
    <w:pPr>
      <w:tabs>
        <w:tab w:val="center" w:pos="4680"/>
      </w:tabs>
      <w:ind w:left="720" w:right="720"/>
      <w:jc w:val="center"/>
    </w:pPr>
  </w:style>
  <w:style w:type="paragraph" w:customStyle="1" w:styleId="CoverCenter">
    <w:name w:val="CoverCenter"/>
    <w:aliases w:val="c"/>
    <w:basedOn w:val="TitleCenterBold"/>
    <w:pPr>
      <w:spacing w:before="0"/>
    </w:pPr>
    <w:rPr>
      <w:b w:val="0"/>
    </w:rPr>
  </w:style>
  <w:style w:type="paragraph" w:customStyle="1" w:styleId="QuotedTextDS">
    <w:name w:val="QuotedTextDS"/>
    <w:aliases w:val="qtds"/>
    <w:basedOn w:val="Normal"/>
    <w:pPr>
      <w:spacing w:before="220" w:after="60"/>
      <w:ind w:left="1440" w:right="1440"/>
      <w:jc w:val="both"/>
    </w:pPr>
  </w:style>
  <w:style w:type="paragraph" w:customStyle="1" w:styleId="ParaFLUSH">
    <w:name w:val="ParaFLUSH"/>
    <w:aliases w:val="pf"/>
    <w:basedOn w:val="ParaNORMAL"/>
    <w:qFormat/>
    <w:pPr>
      <w:ind w:firstLine="0"/>
    </w:pPr>
  </w:style>
  <w:style w:type="paragraph" w:customStyle="1" w:styleId="SubParaLevel1">
    <w:name w:val="SubParaLevel1"/>
    <w:aliases w:val="s1,S1"/>
    <w:basedOn w:val="ParaNORMAL"/>
    <w:pPr>
      <w:tabs>
        <w:tab w:val="right" w:pos="1800"/>
        <w:tab w:val="left" w:pos="2160"/>
      </w:tabs>
      <w:ind w:left="720" w:firstLine="0"/>
    </w:pPr>
  </w:style>
  <w:style w:type="paragraph" w:customStyle="1" w:styleId="SubParaLevel0">
    <w:name w:val="SubParaLevel0"/>
    <w:aliases w:val="s0"/>
    <w:basedOn w:val="SubParaLevel1"/>
    <w:pPr>
      <w:tabs>
        <w:tab w:val="clear" w:pos="1800"/>
        <w:tab w:val="clear" w:pos="2160"/>
      </w:tabs>
      <w:ind w:firstLine="720"/>
    </w:pPr>
  </w:style>
  <w:style w:type="paragraph" w:customStyle="1" w:styleId="ParaSECTION">
    <w:name w:val="ParaSECTION"/>
    <w:aliases w:val="ps,ps ,ParaSECTION2"/>
    <w:basedOn w:val="ParaNORMAL"/>
    <w:pPr>
      <w:tabs>
        <w:tab w:val="right" w:pos="1699"/>
        <w:tab w:val="left" w:pos="2016"/>
      </w:tabs>
      <w:ind w:firstLine="0"/>
    </w:pPr>
  </w:style>
  <w:style w:type="paragraph" w:customStyle="1" w:styleId="cc">
    <w:name w:val="cc"/>
    <w:basedOn w:val="Normal"/>
    <w:next w:val="Normal"/>
    <w:pPr>
      <w:keepNext/>
      <w:tabs>
        <w:tab w:val="left" w:pos="720"/>
      </w:tabs>
      <w:spacing w:before="360"/>
    </w:pPr>
  </w:style>
  <w:style w:type="paragraph" w:customStyle="1" w:styleId="hangingindent">
    <w:name w:val="hanging indent"/>
    <w:aliases w:val="hang"/>
    <w:basedOn w:val="ParaNORMAL"/>
    <w:pPr>
      <w:ind w:left="720" w:hanging="720"/>
    </w:pPr>
  </w:style>
  <w:style w:type="paragraph" w:customStyle="1" w:styleId="TitleLeft">
    <w:name w:val="TitleLeft"/>
    <w:aliases w:val="tl"/>
    <w:basedOn w:val="TitleCenterBold"/>
    <w:next w:val="Normal"/>
    <w:pPr>
      <w:tabs>
        <w:tab w:val="left" w:pos="1699"/>
      </w:tabs>
      <w:spacing w:before="320"/>
      <w:ind w:left="1699" w:hanging="1699"/>
      <w:jc w:val="left"/>
    </w:pPr>
    <w:rPr>
      <w:b w:val="0"/>
    </w:rPr>
  </w:style>
  <w:style w:type="paragraph" w:customStyle="1" w:styleId="ParaNUMBERED">
    <w:name w:val="ParaNUMBERED"/>
    <w:aliases w:val="pn,ParaNormal"/>
    <w:basedOn w:val="ParaNORMAL"/>
    <w:pPr>
      <w:tabs>
        <w:tab w:val="right" w:pos="936"/>
        <w:tab w:val="left" w:pos="1238"/>
      </w:tabs>
      <w:ind w:firstLine="0"/>
    </w:pPr>
  </w:style>
  <w:style w:type="paragraph" w:customStyle="1" w:styleId="SubParaLevel2">
    <w:name w:val="SubParaLevel2"/>
    <w:aliases w:val="s2"/>
    <w:basedOn w:val="SubParaLevel1"/>
    <w:pPr>
      <w:tabs>
        <w:tab w:val="clear" w:pos="1800"/>
        <w:tab w:val="clear" w:pos="2160"/>
        <w:tab w:val="right" w:pos="2520"/>
        <w:tab w:val="left" w:pos="2880"/>
      </w:tabs>
      <w:ind w:left="1440"/>
    </w:pPr>
  </w:style>
  <w:style w:type="paragraph" w:customStyle="1" w:styleId="QuotedText">
    <w:name w:val="QuotedText"/>
    <w:aliases w:val="qt"/>
    <w:basedOn w:val="ParaNORMAL"/>
    <w:pPr>
      <w:ind w:left="1440" w:right="1440" w:firstLine="0"/>
    </w:pPr>
  </w:style>
  <w:style w:type="paragraph" w:customStyle="1" w:styleId="SubParaLevel3">
    <w:name w:val="SubParaLevel3"/>
    <w:aliases w:val="s3"/>
    <w:basedOn w:val="SubParaLevel1"/>
    <w:pPr>
      <w:tabs>
        <w:tab w:val="clear" w:pos="1800"/>
        <w:tab w:val="clear" w:pos="2160"/>
        <w:tab w:val="right" w:pos="3240"/>
        <w:tab w:val="left" w:pos="3600"/>
      </w:tabs>
      <w:ind w:left="2160"/>
    </w:pPr>
  </w:style>
  <w:style w:type="paragraph" w:customStyle="1" w:styleId="SubParaLevel4">
    <w:name w:val="SubParaLevel4"/>
    <w:aliases w:val="s4"/>
    <w:basedOn w:val="SubParaLevel1"/>
    <w:pPr>
      <w:tabs>
        <w:tab w:val="clear" w:pos="1800"/>
        <w:tab w:val="clear" w:pos="2160"/>
        <w:tab w:val="right" w:pos="3960"/>
        <w:tab w:val="left" w:pos="4320"/>
      </w:tabs>
      <w:ind w:left="2880"/>
    </w:pPr>
  </w:style>
  <w:style w:type="paragraph" w:styleId="IndexHeading">
    <w:name w:val="index heading"/>
    <w:basedOn w:val="Normal"/>
    <w:next w:val="Index1"/>
    <w:rPr>
      <w:b/>
    </w:rPr>
  </w:style>
  <w:style w:type="paragraph" w:styleId="Subtitle">
    <w:name w:val="Subtitle"/>
    <w:basedOn w:val="Normal"/>
    <w:qFormat/>
    <w:pPr>
      <w:spacing w:after="60"/>
      <w:jc w:val="center"/>
      <w:outlineLvl w:val="1"/>
    </w:pPr>
  </w:style>
  <w:style w:type="paragraph" w:customStyle="1" w:styleId="mn">
    <w:name w:val="mn"/>
    <w:basedOn w:val="ParaNORMAL"/>
  </w:style>
  <w:style w:type="character" w:customStyle="1" w:styleId="DeltaViewInsertion">
    <w:name w:val="DeltaView Insertion"/>
    <w:rPr>
      <w:b/>
      <w:color w:val="000000"/>
      <w:spacing w:val="0"/>
      <w:u w:val="double"/>
    </w:rPr>
  </w:style>
  <w:style w:type="character" w:customStyle="1" w:styleId="DeltaViewDeletion">
    <w:name w:val="DeltaView Deletion"/>
    <w:rPr>
      <w:strike/>
      <w:color w:val="FF0000"/>
      <w:spacing w:val="0"/>
    </w:rPr>
  </w:style>
  <w:style w:type="character" w:customStyle="1" w:styleId="CommentTextChar">
    <w:name w:val="Comment Text Char"/>
    <w:basedOn w:val="DefaultParagraphFont"/>
    <w:link w:val="CommentText"/>
    <w:rsid w:val="00B263B9"/>
    <w:rPr>
      <w:rFonts w:ascii="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421</Words>
  <Characters>2403</Characters>
  <Application>Microsoft Office Word</Application>
  <DocSecurity>0</DocSecurity>
  <Lines>20</Lines>
  <Paragraphs>5</Paragraphs>
  <ScaleCrop>false</ScaleCrop>
  <Company>Salt Lake County</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Helen Schroeder</cp:lastModifiedBy>
  <cp:revision>2</cp:revision>
  <cp:lastPrinted>1900-01-01T07:00:00Z</cp:lastPrinted>
  <dcterms:created xsi:type="dcterms:W3CDTF">1900-01-01T07:00:00Z</dcterms:created>
  <dcterms:modified xsi:type="dcterms:W3CDTF">2026-09-15T18:54:00Z</dcterms:modified>
</cp:coreProperties>
</file>