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3AA0A" w14:textId="77777777" w:rsidR="005F0D56" w:rsidRDefault="005F0D56" w:rsidP="005F0D56">
      <w:r>
        <w:t>WHEN RECORDED, RETURN TO:</w:t>
      </w:r>
    </w:p>
    <w:p w14:paraId="487F1687" w14:textId="77777777" w:rsidR="005F0D56" w:rsidRDefault="005F0D56" w:rsidP="005F0D56"/>
    <w:p w14:paraId="4E900B2A" w14:textId="77777777" w:rsidR="000E50B2" w:rsidRDefault="000E50B2" w:rsidP="005F0D56"/>
    <w:p w14:paraId="07092719" w14:textId="77777777" w:rsidR="005F0D56" w:rsidRDefault="005F0D56" w:rsidP="005F0D56">
      <w:r>
        <w:t>Randall M. Larsen</w:t>
      </w:r>
    </w:p>
    <w:p w14:paraId="052D9F96" w14:textId="77777777" w:rsidR="005F0D56" w:rsidRDefault="005F0D56" w:rsidP="005F0D56">
      <w:r>
        <w:t>Gilmore &amp; Bell, P.C.</w:t>
      </w:r>
    </w:p>
    <w:p w14:paraId="424FE521" w14:textId="77777777" w:rsidR="005F0D56" w:rsidRDefault="005F0D56" w:rsidP="005F0D56">
      <w:r>
        <w:t>15 West South Temple, Suite 1400</w:t>
      </w:r>
    </w:p>
    <w:p w14:paraId="0E160034" w14:textId="77777777" w:rsidR="005F0D56" w:rsidRDefault="005F0D56" w:rsidP="005F0D56">
      <w:r>
        <w:t>Salt Lake City, Utah  84101</w:t>
      </w:r>
    </w:p>
    <w:p w14:paraId="7D127CDD" w14:textId="77777777" w:rsidR="005F0D56" w:rsidRDefault="005F0D56" w:rsidP="005F0D56"/>
    <w:p w14:paraId="494D3068" w14:textId="77777777" w:rsidR="005F0D56" w:rsidRDefault="005F0D56" w:rsidP="005F0D56"/>
    <w:p w14:paraId="3146E504" w14:textId="77777777" w:rsidR="005F0D56" w:rsidRDefault="005F0D56" w:rsidP="005F0D56">
      <w:pPr>
        <w:jc w:val="center"/>
      </w:pPr>
    </w:p>
    <w:p w14:paraId="07CC9F20" w14:textId="77777777" w:rsidR="005F0D56" w:rsidRDefault="005F0D56" w:rsidP="005F0D56">
      <w:pPr>
        <w:jc w:val="center"/>
      </w:pPr>
    </w:p>
    <w:p w14:paraId="50014BD7" w14:textId="77777777" w:rsidR="00EF65BE" w:rsidRDefault="004F170F" w:rsidP="005F0D56">
      <w:pPr>
        <w:pBdr>
          <w:bottom w:val="single" w:sz="12" w:space="1" w:color="auto"/>
        </w:pBdr>
      </w:pPr>
      <w:r>
        <w:t xml:space="preserve">Parcel No(s): AV-2-2-27-432; AV-2169-A-1; AV-2169-B; AV-2194-C; AV-2195-B; </w:t>
      </w:r>
    </w:p>
    <w:p w14:paraId="5CC7604E" w14:textId="77777777" w:rsidR="00EF65BE" w:rsidRDefault="00943B32" w:rsidP="005F0D56">
      <w:pPr>
        <w:pBdr>
          <w:bottom w:val="single" w:sz="12" w:space="1" w:color="auto"/>
        </w:pBdr>
      </w:pPr>
      <w:r>
        <w:t xml:space="preserve">AV-2196-A-1; AV-2196-B; AV-2196-C; AV-2196-D; AV-2196-E; AV-2196-F; AV-2196-G; AV-2196-H; AV-2196-I; AV-2-2-27-430; AV-2-2-27-431; AV-2-2-28-110; AV-2-2-28-120; AV-2-2-28-220; AV-2-2-28-221; AV-2-2-28-230; AV-2-2-28-240; AV-2194-A; </w:t>
      </w:r>
    </w:p>
    <w:p w14:paraId="67C66B12" w14:textId="77777777" w:rsidR="005F0D56" w:rsidRDefault="00781396" w:rsidP="005F0D56">
      <w:pPr>
        <w:pBdr>
          <w:bottom w:val="single" w:sz="12" w:space="1" w:color="auto"/>
        </w:pBdr>
      </w:pPr>
      <w:r>
        <w:t>AV-2194-B-OR1; AV-2194-D-OR1</w:t>
      </w:r>
    </w:p>
    <w:p w14:paraId="42069078" w14:textId="77777777" w:rsidR="005F0D56" w:rsidRDefault="005F0D56" w:rsidP="005F0D56">
      <w:pPr>
        <w:jc w:val="center"/>
      </w:pPr>
    </w:p>
    <w:p w14:paraId="10E119E6" w14:textId="77777777" w:rsidR="005F0D56" w:rsidRDefault="0003432B" w:rsidP="005F0D56">
      <w:pPr>
        <w:jc w:val="center"/>
      </w:pPr>
      <w:r>
        <w:t>OCULTA ROCA PUBLIC INFRASTRUCTURE DISTRICT NO. 2</w:t>
      </w:r>
    </w:p>
    <w:p w14:paraId="26AB38EA" w14:textId="77777777" w:rsidR="005F0D56" w:rsidRDefault="0003432B" w:rsidP="005F0D56">
      <w:pPr>
        <w:jc w:val="center"/>
      </w:pPr>
      <w:r>
        <w:t>OCULTA ROCA ASSESSMENT AREA NO.1</w:t>
      </w:r>
    </w:p>
    <w:p w14:paraId="11B330DE" w14:textId="77777777" w:rsidR="005F0D56" w:rsidRDefault="005F0D56" w:rsidP="005F0D56">
      <w:pPr>
        <w:jc w:val="center"/>
      </w:pPr>
    </w:p>
    <w:p w14:paraId="22666F8B" w14:textId="77777777" w:rsidR="003267FA" w:rsidRDefault="00363501">
      <w:pPr>
        <w:jc w:val="center"/>
      </w:pPr>
      <w:r>
        <w:t>FIRST AMENDMENT TO AMENDED AND RESTATED</w:t>
      </w:r>
      <w:r>
        <w:br/>
        <w:t>ASSESSMENT ORDINANCE AND NOTICE OF ASSESSMENT INTEREST</w:t>
      </w:r>
    </w:p>
    <w:p w14:paraId="4ED1F87E" w14:textId="77777777" w:rsidR="005F0D56" w:rsidRDefault="005F0D56" w:rsidP="005F0D56">
      <w:pPr>
        <w:jc w:val="center"/>
      </w:pPr>
    </w:p>
    <w:p w14:paraId="6836E12C" w14:textId="77777777" w:rsidR="003267FA" w:rsidRDefault="00363501">
      <w:pPr>
        <w:jc w:val="center"/>
      </w:pPr>
      <w:r>
        <w:t>DATED AS OF [ADOPTION DATE], 2026</w:t>
      </w:r>
    </w:p>
    <w:p w14:paraId="1C69484D" w14:textId="77777777" w:rsidR="005F0D56" w:rsidRDefault="005F0D56" w:rsidP="005F0D56"/>
    <w:p w14:paraId="0E077A5B" w14:textId="77777777" w:rsidR="005F0D56" w:rsidRDefault="005F0D56" w:rsidP="005F0D56"/>
    <w:p w14:paraId="4FEDBA5E" w14:textId="77777777" w:rsidR="001A5D9B" w:rsidRDefault="001A5D9B" w:rsidP="001A5D9B">
      <w:pPr>
        <w:pStyle w:val="00BodyText5"/>
      </w:pPr>
      <w:r>
        <w:t>WHEREAS, the Board of Trustees (the “Board”) of the Oculta Roca Public Infrastructure District No. 2 (the “District”), adopted a Resolution on December 29, 2025 (the “Authorizing Resolution”), pursuant to which the Board authorized and approved the form of an Assessment Ordinance and Notice of Assessment Interest (the “Original Assessment Ordinance”) and the form of the related designation resolution (the “Original Designation Resolution”); and</w:t>
      </w:r>
    </w:p>
    <w:p w14:paraId="6E1382A9" w14:textId="6A409BED" w:rsidR="003267FA" w:rsidRDefault="00363501">
      <w:pPr>
        <w:pStyle w:val="00BodyText5"/>
      </w:pPr>
      <w:r>
        <w:t>WHEREAS, the Board adopted a Resolution on June 5, 2026 (the “Amendment Resolution”) authorizing and approving the form of an Amended and Restated Assessment Ordinance and Notice of Assessment Interest and the form of the related Amendment and Restated Designation Resolution (the “Designation Resolution”), and the Original Assessment Ordinance was thereafter amended and restated in its entirety by that certain Amended and Restated Assessment Ordinance and Notice of Assessment Interest dated as of June 5, 2026 (the “Assessment Ordinance”); and</w:t>
      </w:r>
    </w:p>
    <w:p w14:paraId="7D88776A" w14:textId="77777777" w:rsidR="005F0D56" w:rsidRDefault="005F0D56" w:rsidP="005F0D56">
      <w:pPr>
        <w:pStyle w:val="00BodyText5"/>
      </w:pPr>
      <w:r>
        <w:t xml:space="preserve">WHEREAS, the District, pursuant to the Assessment Area Act, Title 11 Chapter 42, Utah Code Annotated 1953, as amended (the “Act”), and pursuant to the Authorizing Resolution and the Designation Resolution, designated the Oculta Roca Assessment Area No.1 </w:t>
      </w:r>
      <w:r>
        <w:rPr>
          <w:color w:val="000000"/>
        </w:rPr>
        <w:t>(the “</w:t>
      </w:r>
      <w:r>
        <w:t>Assessment Area”) after having obtained from the fee simple owner(s) of all the property to be assessed within the Assessment Area (the “Owners”) an executed Acknowledgement Waiver and Consent Agreement (the “Waiver and Consent”) attached to the Designation Resolution; and</w:t>
      </w:r>
    </w:p>
    <w:p w14:paraId="775A1E9B" w14:textId="1CBFD317" w:rsidR="003267FA" w:rsidRDefault="00363501">
      <w:pPr>
        <w:pStyle w:val="00BodyText5"/>
      </w:pPr>
      <w:r>
        <w:lastRenderedPageBreak/>
        <w:t>WHEREAS, the Assessment Ordinance was signed by the Board and later recorded with the county recorder on July 17, 2026; and</w:t>
      </w:r>
    </w:p>
    <w:p w14:paraId="57551F50" w14:textId="77777777" w:rsidR="003267FA" w:rsidRDefault="00363501">
      <w:pPr>
        <w:pStyle w:val="00BodyText5"/>
      </w:pPr>
      <w:r>
        <w:t xml:space="preserve">WHEREAS, the District now desires to amend the Assessment Ordinance to update the assessment amount and related changes; to provide for the payment of Completion Payments in connection with the initial sale, transfer or other conveyance of estate lots within the Assessment Area; and to amend and replace </w:t>
      </w:r>
      <w:r>
        <w:rPr>
          <w:u w:val="single"/>
        </w:rPr>
        <w:t>Exhibit A</w:t>
      </w:r>
      <w:r>
        <w:t xml:space="preserve"> of the Assessment Ordinance, and related changes; and</w:t>
      </w:r>
    </w:p>
    <w:p w14:paraId="779F1567" w14:textId="77777777" w:rsidR="003267FA" w:rsidRDefault="00363501">
      <w:pPr>
        <w:pStyle w:val="00BodyText5"/>
      </w:pPr>
      <w:r>
        <w:t>WHEREAS, pursuant to, and in compliance with, the provisions of Section 17 of the Assessment Ordinance, the Board desires to adopt this First Amendment to Amended and Restated Assessment Ordinance and Notice of Assessment Interest (this “First Amendment to Assessment Ordinance”) to effectuate the amendments described herein:</w:t>
      </w:r>
    </w:p>
    <w:p w14:paraId="2D050C5A" w14:textId="77777777" w:rsidR="004A419C" w:rsidRDefault="004A419C" w:rsidP="006C2C76">
      <w:pPr>
        <w:pStyle w:val="00BodyText5"/>
      </w:pPr>
      <w:r>
        <w:t>NOW THEREFORE, BE IT ORDAINED BY THE BOARD OF TRUSTEES OF OCULTA ROCA PUBLIC INFRASTRUCTURE DISTRICT NO. 2:</w:t>
      </w:r>
    </w:p>
    <w:p w14:paraId="35B79CF5" w14:textId="77777777" w:rsidR="003267FA" w:rsidRDefault="00363501">
      <w:pPr>
        <w:pStyle w:val="Heading1"/>
      </w:pPr>
      <w:r>
        <w:rPr>
          <w:u w:val="single"/>
        </w:rPr>
        <w:t>Amendment of Sections 2 and 6 of the Assessment Ordinance</w:t>
      </w:r>
      <w:r>
        <w:t>.  In order to update the amount to be assessed within the Assessment Area, Section 2 and Section 6 of the Assessment Ordinance are hereby amended and restated as follows:</w:t>
      </w:r>
    </w:p>
    <w:p w14:paraId="600D28B0" w14:textId="3030F0A4" w:rsidR="003267FA" w:rsidRDefault="00363501">
      <w:pPr>
        <w:pStyle w:val="00BodyText5"/>
        <w:ind w:left="720"/>
      </w:pPr>
      <w:r>
        <w:t>Section 2.</w:t>
      </w:r>
      <w:r>
        <w:tab/>
      </w:r>
      <w:r>
        <w:rPr>
          <w:u w:val="single"/>
        </w:rPr>
        <w:t>Determination of Estimated Costs of the Improvements and Right of District to Levy Additional Assessments for Completion</w:t>
      </w:r>
      <w:r>
        <w:t xml:space="preserve">.  The Board has determined that the estimated acquisition, construction and installation costs of the Improvements within the Assessment Area </w:t>
      </w:r>
      <w:proofErr w:type="gramStart"/>
      <w:r>
        <w:t>is</w:t>
      </w:r>
      <w:proofErr w:type="gramEnd"/>
      <w:r>
        <w:t xml:space="preserve"> $42,665,942 and that the estimated overhead costs, administrative costs, costs of funding reserves, capitalized interest, and debt issuance costs </w:t>
      </w:r>
      <w:proofErr w:type="gramStart"/>
      <w:r>
        <w:t>is</w:t>
      </w:r>
      <w:proofErr w:type="gramEnd"/>
      <w:r>
        <w:t xml:space="preserve"> $11,217,529, for an estimated total cost of $53,883,471, of which $29,918,000 shall be assessed within the Assessment Area. Such amount to be levied is an estimate, as permitted under Section 11-42-401 of the Act.  The Owners anticipate using additional funding in order to complete the Improvements.  If the Assessments and additional funding are not sufficient in amount to complete the Improvements and pay related costs as described above, the Owners shall be responsible to pay the remaining amount in order to complete the Improvements.   However, the District does not guaranty such payments from the Owners. Therefore, if for any reason the Owners do not pay such remaining amount to complete the Improvements, any and all property owners within the Assessment Area shall be responsible for paying any pro-rata share of additional costs required to complete the Improvements, including, but not limited to, an additional assessment on their property without any ability to contest such assessment.</w:t>
      </w:r>
    </w:p>
    <w:p w14:paraId="73DEBEED" w14:textId="77777777" w:rsidR="003267FA" w:rsidRDefault="00363501">
      <w:pPr>
        <w:pStyle w:val="00BodyText5"/>
        <w:ind w:left="720"/>
      </w:pPr>
      <w:r>
        <w:t>Section 6.</w:t>
      </w:r>
      <w:r>
        <w:tab/>
      </w:r>
      <w:r>
        <w:rPr>
          <w:u w:val="single"/>
        </w:rPr>
        <w:t>Method and Rate</w:t>
      </w:r>
      <w:r>
        <w:t>.  Each of the benefited properties and all of them collectively will be assessed within the Assessment Area initially pursuant to an equivalent residential unit (“ERU”) method as follows:</w:t>
      </w:r>
    </w:p>
    <w:tbl>
      <w:tblPr>
        <w:tblW w:w="5144" w:type="pct"/>
        <w:tblInd w:w="-270" w:type="dxa"/>
        <w:tblLayout w:type="fixed"/>
        <w:tblCellMar>
          <w:left w:w="115" w:type="dxa"/>
          <w:right w:w="115" w:type="dxa"/>
        </w:tblCellMar>
        <w:tblLook w:val="04A0" w:firstRow="1" w:lastRow="0" w:firstColumn="1" w:lastColumn="0" w:noHBand="0" w:noVBand="1"/>
      </w:tblPr>
      <w:tblGrid>
        <w:gridCol w:w="3602"/>
        <w:gridCol w:w="1658"/>
        <w:gridCol w:w="2159"/>
        <w:gridCol w:w="2211"/>
      </w:tblGrid>
      <w:tr w:rsidR="00834856" w:rsidRPr="0001315C" w14:paraId="35F78FCB" w14:textId="77777777" w:rsidTr="003E7699">
        <w:trPr>
          <w:trHeight w:val="300"/>
        </w:trPr>
        <w:tc>
          <w:tcPr>
            <w:tcW w:w="1870" w:type="pct"/>
            <w:tcBorders>
              <w:top w:val="nil"/>
              <w:left w:val="nil"/>
              <w:bottom w:val="nil"/>
              <w:right w:val="nil"/>
            </w:tcBorders>
            <w:noWrap/>
            <w:vAlign w:val="bottom"/>
            <w:hideMark/>
          </w:tcPr>
          <w:p w14:paraId="434F85E1" w14:textId="77777777" w:rsidR="00834856" w:rsidRPr="0001315C" w:rsidRDefault="00834856" w:rsidP="000B6CAB">
            <w:pPr>
              <w:keepNext/>
              <w:jc w:val="center"/>
              <w:rPr>
                <w:sz w:val="22"/>
                <w:szCs w:val="22"/>
                <w:u w:val="single"/>
              </w:rPr>
            </w:pPr>
            <w:r>
              <w:rPr>
                <w:sz w:val="22"/>
                <w:szCs w:val="22"/>
                <w:u w:val="single"/>
              </w:rPr>
              <w:t>Improvements</w:t>
            </w:r>
          </w:p>
        </w:tc>
        <w:tc>
          <w:tcPr>
            <w:tcW w:w="861" w:type="pct"/>
            <w:tcBorders>
              <w:top w:val="nil"/>
              <w:left w:val="nil"/>
              <w:bottom w:val="nil"/>
              <w:right w:val="nil"/>
            </w:tcBorders>
            <w:noWrap/>
            <w:vAlign w:val="bottom"/>
          </w:tcPr>
          <w:p w14:paraId="5CCFE546" w14:textId="77777777" w:rsidR="00834856" w:rsidRPr="00EF3C4C" w:rsidRDefault="00834856" w:rsidP="000B6CAB">
            <w:pPr>
              <w:keepNext/>
              <w:jc w:val="center"/>
              <w:rPr>
                <w:sz w:val="22"/>
              </w:rPr>
            </w:pPr>
            <w:r>
              <w:rPr>
                <w:sz w:val="22"/>
                <w:szCs w:val="22"/>
                <w:u w:val="single"/>
              </w:rPr>
              <w:t>Assessment</w:t>
            </w:r>
          </w:p>
        </w:tc>
        <w:tc>
          <w:tcPr>
            <w:tcW w:w="1121" w:type="pct"/>
            <w:tcBorders>
              <w:top w:val="nil"/>
              <w:left w:val="nil"/>
              <w:bottom w:val="nil"/>
              <w:right w:val="nil"/>
            </w:tcBorders>
            <w:vAlign w:val="bottom"/>
          </w:tcPr>
          <w:p w14:paraId="2E9B94C8" w14:textId="77777777" w:rsidR="00834856" w:rsidRPr="00EF3C4C" w:rsidRDefault="00834856" w:rsidP="000B6CAB">
            <w:pPr>
              <w:keepNext/>
              <w:jc w:val="center"/>
              <w:rPr>
                <w:sz w:val="22"/>
              </w:rPr>
            </w:pPr>
            <w:r>
              <w:rPr>
                <w:sz w:val="22"/>
                <w:szCs w:val="22"/>
                <w:u w:val="single"/>
              </w:rPr>
              <w:t>Assessment Method</w:t>
            </w:r>
          </w:p>
        </w:tc>
        <w:tc>
          <w:tcPr>
            <w:tcW w:w="1148" w:type="pct"/>
            <w:tcBorders>
              <w:top w:val="nil"/>
              <w:left w:val="nil"/>
              <w:bottom w:val="nil"/>
              <w:right w:val="nil"/>
            </w:tcBorders>
            <w:noWrap/>
            <w:vAlign w:val="bottom"/>
            <w:hideMark/>
          </w:tcPr>
          <w:p w14:paraId="21A79B25" w14:textId="77777777" w:rsidR="00834856" w:rsidRPr="00EF3C4C" w:rsidRDefault="00834856" w:rsidP="000B6CAB">
            <w:pPr>
              <w:keepNext/>
              <w:jc w:val="center"/>
              <w:rPr>
                <w:sz w:val="22"/>
              </w:rPr>
            </w:pPr>
            <w:r>
              <w:rPr>
                <w:sz w:val="22"/>
                <w:szCs w:val="22"/>
                <w:u w:val="single"/>
              </w:rPr>
              <w:t>Assessment Per ERU</w:t>
            </w:r>
          </w:p>
        </w:tc>
      </w:tr>
      <w:tr w:rsidR="00834856" w:rsidRPr="0001315C" w14:paraId="2F064802" w14:textId="77777777" w:rsidTr="003E7699">
        <w:trPr>
          <w:trHeight w:val="315"/>
        </w:trPr>
        <w:tc>
          <w:tcPr>
            <w:tcW w:w="1870" w:type="pct"/>
            <w:tcBorders>
              <w:top w:val="nil"/>
              <w:left w:val="nil"/>
              <w:bottom w:val="nil"/>
              <w:right w:val="nil"/>
            </w:tcBorders>
            <w:noWrap/>
            <w:vAlign w:val="bottom"/>
          </w:tcPr>
          <w:p w14:paraId="75541ECF" w14:textId="77777777" w:rsidR="00834856" w:rsidRPr="0001315C" w:rsidRDefault="00834856" w:rsidP="000B6CAB">
            <w:pPr>
              <w:keepNext/>
              <w:ind w:left="60"/>
              <w:jc w:val="center"/>
              <w:rPr>
                <w:sz w:val="22"/>
                <w:szCs w:val="22"/>
              </w:rPr>
            </w:pPr>
            <w:r>
              <w:rPr>
                <w:sz w:val="22"/>
                <w:szCs w:val="22"/>
              </w:rPr>
              <w:t>All above-described Improvements</w:t>
            </w:r>
          </w:p>
        </w:tc>
        <w:tc>
          <w:tcPr>
            <w:tcW w:w="861" w:type="pct"/>
            <w:tcBorders>
              <w:top w:val="nil"/>
              <w:left w:val="nil"/>
              <w:bottom w:val="nil"/>
              <w:right w:val="nil"/>
            </w:tcBorders>
            <w:noWrap/>
            <w:vAlign w:val="bottom"/>
          </w:tcPr>
          <w:p w14:paraId="372ED0A7" w14:textId="608C87C3" w:rsidR="00834856" w:rsidRPr="0001315C" w:rsidRDefault="001A0C85" w:rsidP="000B6CAB">
            <w:pPr>
              <w:keepNext/>
              <w:tabs>
                <w:tab w:val="decimal" w:pos="817"/>
              </w:tabs>
              <w:jc w:val="center"/>
              <w:rPr>
                <w:sz w:val="22"/>
                <w:szCs w:val="22"/>
              </w:rPr>
            </w:pPr>
            <w:r>
              <w:rPr>
                <w:sz w:val="22"/>
                <w:szCs w:val="22"/>
              </w:rPr>
              <w:t>$29,918,000</w:t>
            </w:r>
          </w:p>
        </w:tc>
        <w:tc>
          <w:tcPr>
            <w:tcW w:w="1121" w:type="pct"/>
            <w:tcBorders>
              <w:top w:val="nil"/>
              <w:left w:val="nil"/>
              <w:bottom w:val="nil"/>
              <w:right w:val="nil"/>
            </w:tcBorders>
            <w:vAlign w:val="bottom"/>
          </w:tcPr>
          <w:p w14:paraId="1A076E69" w14:textId="77777777" w:rsidR="00834856" w:rsidRPr="0001315C" w:rsidRDefault="00834856" w:rsidP="000B6CAB">
            <w:pPr>
              <w:keepNext/>
              <w:tabs>
                <w:tab w:val="decimal" w:pos="151"/>
              </w:tabs>
              <w:jc w:val="center"/>
              <w:rPr>
                <w:sz w:val="22"/>
                <w:szCs w:val="22"/>
              </w:rPr>
            </w:pPr>
            <w:r>
              <w:rPr>
                <w:sz w:val="22"/>
                <w:szCs w:val="22"/>
              </w:rPr>
              <w:t>ERU</w:t>
            </w:r>
          </w:p>
        </w:tc>
        <w:tc>
          <w:tcPr>
            <w:tcW w:w="1148" w:type="pct"/>
            <w:tcBorders>
              <w:top w:val="nil"/>
              <w:left w:val="nil"/>
              <w:bottom w:val="nil"/>
              <w:right w:val="nil"/>
            </w:tcBorders>
            <w:noWrap/>
            <w:vAlign w:val="bottom"/>
          </w:tcPr>
          <w:p w14:paraId="2A238085" w14:textId="0A4128EC" w:rsidR="00834856" w:rsidRPr="0001315C" w:rsidRDefault="001A0C85" w:rsidP="000B6CAB">
            <w:pPr>
              <w:keepNext/>
              <w:tabs>
                <w:tab w:val="decimal" w:pos="526"/>
              </w:tabs>
              <w:jc w:val="center"/>
              <w:rPr>
                <w:sz w:val="22"/>
                <w:szCs w:val="22"/>
              </w:rPr>
            </w:pPr>
            <w:r>
              <w:rPr>
                <w:sz w:val="22"/>
                <w:szCs w:val="22"/>
              </w:rPr>
              <w:t>$156,923.81</w:t>
            </w:r>
          </w:p>
        </w:tc>
      </w:tr>
    </w:tbl>
    <w:p w14:paraId="1F053877" w14:textId="77777777" w:rsidR="003267FA" w:rsidRDefault="00363501">
      <w:pPr>
        <w:pStyle w:val="Heading1"/>
        <w:keepNext w:val="0"/>
        <w:numPr>
          <w:ilvl w:val="0"/>
          <w:numId w:val="0"/>
        </w:numPr>
        <w:spacing w:before="240"/>
        <w:ind w:left="720" w:firstLine="720"/>
      </w:pPr>
      <w:r>
        <w:t xml:space="preserve">The currently anticipated number of ERUs and ERUs per unit type is set forth on </w:t>
      </w:r>
      <w:r>
        <w:rPr>
          <w:u w:val="single"/>
        </w:rPr>
        <w:t>Exhibit A</w:t>
      </w:r>
      <w:r>
        <w:t xml:space="preserve"> hereto. Notwithstanding the levy of the Assessments, in order to provide </w:t>
      </w:r>
      <w:r>
        <w:lastRenderedPageBreak/>
        <w:t>additional security for the payment of the Assessments, the District shall require that all assessments of all properties owned by the same Owner within the Assessment Area (or an Affiliate of the same Owner) be aggregated as a single unified Assessment against all properties owned by the same Owner within the Assessment Area (or an Affiliate of the same Owner).</w:t>
      </w:r>
    </w:p>
    <w:p w14:paraId="2653E880" w14:textId="77777777" w:rsidR="003267FA" w:rsidRDefault="00363501">
      <w:pPr>
        <w:pStyle w:val="Heading1"/>
      </w:pPr>
      <w:r>
        <w:rPr>
          <w:u w:val="single"/>
        </w:rPr>
        <w:t>Amendment of Section 7 of the Assessment Ordinance</w:t>
      </w:r>
      <w:r>
        <w:t>.  In order to provide for the payment of Completion Payments in connection with the initial sale, transfer or other conveyance of Estate Lots (as defined below), Section 7(a) of the Assessment Ordinance is hereby amended and restated in its entirety, and Section 7 of the Assessment Ordinance is hereby further amended by adding a new subsection (g) thereto, in each case to read as follows:</w:t>
      </w:r>
    </w:p>
    <w:p w14:paraId="7C0B43F9" w14:textId="77777777" w:rsidR="003267FA" w:rsidRDefault="00363501">
      <w:pPr>
        <w:pStyle w:val="00BodyText5"/>
        <w:ind w:left="720"/>
      </w:pPr>
      <w:r>
        <w:t>(a)</w:t>
      </w:r>
      <w:r>
        <w:tab/>
        <w:t>The Board hereby determines that the Improvements have a weighted average useful life of not less than Forty-One (41) years. The Board requires that Assessments be prepaid for all estate lots on or before the time of conveyance of such parcel to a Residential Homeowner.  In addition, the initial sale, transfer or other conveyance of each Estate Lot (as defined in Section 7(g) herein) is subject to the Completion Payment requirement set forth in Section 7(g) herein, whether or not such conveyance is made to a Residential Homeowner and without credit against, or reduction of, the Assessment levied against such Estate Lot or any prepayment thereof required hereunder.  Pursuant to Section 11-42-409(5) of the Act, the Owners have consented to aggregate annual Assessment payments which are not in substantially equal amounts and instead aggregate annual Assessment payments shall be in accordance with the debt service payments as shall be established in the Indenture; subject, however, to adjustment as described herein. Interest on the unpaid balance of the Assessments shall accrue at the same rate or rates as shall be borne by the Assessment Bonds, plus an annual administration cost incurred by the District, plus any third party direct out of pocket costs of the District related to the administration and collection of the Assessments. The District may outsource all or a portion of the administration services, including legal costs or consulting costs as an additional out of pocket cost, including, but not limited to, all costs related to foreclosure (and other remedies) and amendments to this Ordinance.</w:t>
      </w:r>
    </w:p>
    <w:p w14:paraId="573BA09D" w14:textId="77777777" w:rsidR="003267FA" w:rsidRDefault="00363501">
      <w:pPr>
        <w:pStyle w:val="00BodyText5"/>
        <w:ind w:left="720"/>
      </w:pPr>
      <w:r>
        <w:t>(g)</w:t>
      </w:r>
      <w:r>
        <w:tab/>
        <w:t xml:space="preserve">In addition to the Assessments levied hereunder and any prepayment of Assessments required pursuant to Section 7(a) herein, upon the initial sale, transfer or other conveyance of each estate lot within the Assessment Area identified as such on the Assessment List (each, an “Estate Lot”) to any Person, the Title Owner making such initial sale, transfer or other conveyance shall pay, or cause to be paid, to the trustee under the Indenture (the “Trustee”) an amount equal to Two Hundred Fifty Thousand Dollars ($250,000) (each such payment, a “Completion Payment”).  Each Completion Payment shall be due and payable at the closing of the initial sale, transfer or other conveyance of the applicable Estate Lot and shall be deposited by the Trustee into the Developer Construction Fund established under the Indenture, to be applied solely as provided in the Indenture.  The obligation to make a Completion Payment with respect to each Estate Lot applies to the initial sale, transfer or other conveyance of such Estate Lot regardless of the identity of the transferee (including any conveyance to a home builder or other Person that is not a Residential Homeowner) and regardless of whether the Assessment levied against such Estate Lot is prepaid in connection with such conveyance or is assumed by the </w:t>
      </w:r>
      <w:r>
        <w:lastRenderedPageBreak/>
        <w:t>transferee and remains outstanding against such Estate Lot following such conveyance.  Completion Payments are in addition to, and not in lieu of or a credit against, the Assessments, do not constitute Assessments or prepayments of Assessments, and shall not reduce the Assessment levied against any parcel except to the extent applied to the prepayment of Assessments and the redemption of Assessment Bonds in accordance with the Indenture. Notwithstanding the foregoing provisions of this Section 7(g), any sale, transfer or other conveyance of any Estate Lot, or of any other property within the Assessment Area, to De La Tierra Holdings LLC, a Utah limited liability company (“De La Tierra”), including any such conveyance made in connection with the assembly or compilation of parcels, any exchange of parcels or portions thereof (except that an exchange resulting in the conveyance of a platted Estate Lot shall constitute an initial sale), or any subdivision or replatting of property within the Assessment Area (each, an “Exempt Conveyance”), shall not constitute the initial sale, transfer or other conveyance of any Estate Lot for purposes of this Section 7(g), and no Completion Payment shall be due or payable in connection with any Exempt Conveyance.  No Exempt Conveyance shall reduce, release or otherwise affect the Completion Payment requirement applicable to any Estate Lot, and following any Exempt Conveyance of an Estate Lot the first subsequent sale, transfer or other conveyance of such Estate Lot that is not an Exempt Conveyance shall constitute the initial sale, transfer or other conveyance of such Estate Lot for purposes of this Section 7(g).  For the avoidance of doubt, any sale, transfer or other conveyance of an Estate Lot to any Person other than De La Tierra (including, without limitation, any conveyance to any other Title Owner of property within the Assessment Area, and whether or not made as part of, in connection with, or as consideration for any exchange or assembly of parcels, subdivision, replatting or similar transaction) is not an Exempt Conveyance and, if it constitutes the initial sale, transfer or other conveyance of such Estate Lot (determined after giving effect to this Section 7(g)), shall be subject to the Completion Payment requirement of this Section 7(g).</w:t>
      </w:r>
    </w:p>
    <w:p w14:paraId="258D9C4D" w14:textId="77777777" w:rsidR="003267FA" w:rsidRDefault="00363501">
      <w:pPr>
        <w:pStyle w:val="Heading1"/>
        <w:keepNext w:val="0"/>
      </w:pPr>
      <w:r>
        <w:rPr>
          <w:u w:val="single"/>
        </w:rPr>
        <w:t>Amendment to Assessment List</w:t>
      </w:r>
      <w:r>
        <w:t xml:space="preserve">.  The Assessment List attached to the Assessment Ordinance as </w:t>
      </w:r>
      <w:r>
        <w:rPr>
          <w:u w:val="single"/>
        </w:rPr>
        <w:t>Exhibit A</w:t>
      </w:r>
      <w:r>
        <w:t xml:space="preserve"> is hereby amended and restated to read as </w:t>
      </w:r>
      <w:r>
        <w:rPr>
          <w:u w:val="single"/>
        </w:rPr>
        <w:t>Exhibit A</w:t>
      </w:r>
      <w:r>
        <w:t xml:space="preserve"> hereto.</w:t>
      </w:r>
    </w:p>
    <w:p w14:paraId="44B1F3B7" w14:textId="77777777" w:rsidR="003267FA" w:rsidRDefault="00363501">
      <w:pPr>
        <w:pStyle w:val="Heading1"/>
        <w:keepNext w:val="0"/>
      </w:pPr>
      <w:r>
        <w:rPr>
          <w:u w:val="single"/>
        </w:rPr>
        <w:t>Owner Consent</w:t>
      </w:r>
      <w:r>
        <w:t>.  The District hereby finds and determines that the changes made herein do not materially adversely affect the rights of the Owners under the Assessment Ordinance and that all Owners have consented to the execution of this First Amendment to Assessment Ordinance.</w:t>
      </w:r>
    </w:p>
    <w:p w14:paraId="79DF80BA" w14:textId="77777777" w:rsidR="003267FA" w:rsidRDefault="00363501">
      <w:pPr>
        <w:pStyle w:val="Heading1"/>
        <w:keepNext w:val="0"/>
      </w:pPr>
      <w:r>
        <w:rPr>
          <w:u w:val="single"/>
        </w:rPr>
        <w:t>All Necessary Action Approved</w:t>
      </w:r>
      <w:r>
        <w:t>.  The officials of the District are hereby authorized and directed to take all action necessary and appropriate to effectuate the provisions of this First Amendment to Assessment Ordinance, including filing this First Amendment to Assessment Ordinance with the County Recorder.</w:t>
      </w:r>
    </w:p>
    <w:p w14:paraId="0E5A6A31" w14:textId="77777777" w:rsidR="003267FA" w:rsidRDefault="00363501">
      <w:pPr>
        <w:pStyle w:val="Heading1"/>
        <w:keepNext w:val="0"/>
      </w:pPr>
      <w:r>
        <w:rPr>
          <w:u w:val="single"/>
        </w:rPr>
        <w:t>Assessment Ordinance</w:t>
      </w:r>
      <w:r>
        <w:t>.  Except as specifically amended by this First Amendment to Assessment Ordinance, the Assessment Ordinance shall remain in full force and effect without change.  In the event of a challenge to this First Amendment to Assessment Ordinance, the Board may elect to collect the Assessments pursuant to the Assessment Ordinance.</w:t>
      </w:r>
    </w:p>
    <w:p w14:paraId="3DA88EC7" w14:textId="77777777" w:rsidR="003267FA" w:rsidRDefault="00363501">
      <w:pPr>
        <w:pStyle w:val="Heading1"/>
        <w:keepNext w:val="0"/>
      </w:pPr>
      <w:r>
        <w:rPr>
          <w:u w:val="single"/>
        </w:rPr>
        <w:lastRenderedPageBreak/>
        <w:t>Repeal of Conflicting Provisions; Amendment</w:t>
      </w:r>
      <w:r>
        <w:t>.  All ordinances or parts thereof in conflict with this First Amendment to Assessment Ordinance are hereby repealed.  The Chair (or any assigned designee of the Chair) may make any alterations, changes or additions to this First Amendment to Assessment Ordinance which may be necessary to conform the same to the final terms of the Assessment Bonds, to correct errors or omissions herein, to complete the same, to remove ambiguities herefrom, or to conform the same to other provisions of this First Amendment to Assessment Ordinance or any resolution adopted by the Board or the provisions of the laws of the State of Utah or the United States, including technical changes to the description of the boundary of the Assessment Area, so long as those changes do not change the boundaries from those depicted on the maps attached to the Designation Resolution and do not materially adversely affect the rights of the Owners without the consent of such Owners affected.</w:t>
      </w:r>
    </w:p>
    <w:p w14:paraId="067A2BE2" w14:textId="77777777" w:rsidR="003267FA" w:rsidRDefault="00363501">
      <w:pPr>
        <w:pStyle w:val="Heading1"/>
        <w:keepNext w:val="0"/>
      </w:pPr>
      <w:r>
        <w:rPr>
          <w:u w:val="single"/>
        </w:rPr>
        <w:t>Posting of Ordinance</w:t>
      </w:r>
      <w:r>
        <w:t>.  This First Amendment to Assessment Ordinance shall be signed by the Chair and Clerk/Secretary and shall be recorded in the ordinance book kept for that purpose.  A copy of this First Amendment to Assessment Ordinance shall be posted in a public location within or near the District’s boundaries that is reasonably likely to be seen by individuals who pass through or near the affected area for at least 21 days and a copy of this First Amendment to Assessment Ordinance shall also be posted on the Utah Public Notice Website (http://pmn.utah.gov) for at least 21 days.  This First Amendment to Assessment Ordinance shall take effect immediately upon its passage and approval and posting as required by law.</w:t>
      </w:r>
    </w:p>
    <w:p w14:paraId="17F22A70" w14:textId="77777777" w:rsidR="003267FA" w:rsidRDefault="00363501">
      <w:pPr>
        <w:pStyle w:val="Heading1"/>
        <w:keepNext w:val="0"/>
      </w:pPr>
      <w:r>
        <w:rPr>
          <w:u w:val="single"/>
        </w:rPr>
        <w:t>Defined Terms</w:t>
      </w:r>
      <w:r>
        <w:t>.  Capitalized terms used herein but not otherwise defined shall have the meanings ascribed to such terms in the Assessment Ordinance.</w:t>
      </w:r>
    </w:p>
    <w:p w14:paraId="4052BA0B" w14:textId="77777777" w:rsidR="00C045E6" w:rsidRDefault="00C045E6" w:rsidP="00C045E6">
      <w:pPr>
        <w:sectPr w:rsidR="00C045E6" w:rsidSect="00F34628">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1440" w:right="1440" w:bottom="1440" w:left="1440" w:header="720" w:footer="720" w:gutter="0"/>
          <w:pgNumType w:start="1"/>
          <w:cols w:space="720"/>
          <w:noEndnote/>
          <w:titlePg/>
          <w:docGrid w:linePitch="326"/>
        </w:sectPr>
      </w:pPr>
    </w:p>
    <w:p w14:paraId="40B80A0B" w14:textId="77777777" w:rsidR="003267FA" w:rsidRDefault="00363501">
      <w:pPr>
        <w:pStyle w:val="00BodyText5"/>
      </w:pPr>
      <w:r>
        <w:lastRenderedPageBreak/>
        <w:t>PASSED AND APPROVED THIS [ADOPTION DATE], 2026.</w:t>
      </w:r>
    </w:p>
    <w:p w14:paraId="6F661DDD" w14:textId="77777777" w:rsidR="00C045E6" w:rsidRDefault="00C045E6" w:rsidP="00C045E6">
      <w:pPr>
        <w:jc w:val="both"/>
      </w:pPr>
    </w:p>
    <w:p w14:paraId="3B948745" w14:textId="77777777" w:rsidR="00C045E6" w:rsidRDefault="0003432B" w:rsidP="003718BE">
      <w:pPr>
        <w:pStyle w:val="Signature"/>
        <w:jc w:val="left"/>
      </w:pPr>
      <w:r>
        <w:t>OCULTA ROCA PUBLIC INFRASTRUCTURE DISTRICT NO. 2</w:t>
      </w:r>
    </w:p>
    <w:p w14:paraId="4C162FC4" w14:textId="77777777" w:rsidR="00C045E6" w:rsidRDefault="00C045E6" w:rsidP="003718BE">
      <w:pPr>
        <w:pStyle w:val="Signature"/>
      </w:pPr>
    </w:p>
    <w:p w14:paraId="0A3359E8" w14:textId="77777777" w:rsidR="00C045E6" w:rsidRDefault="00C045E6" w:rsidP="003718BE">
      <w:pPr>
        <w:pStyle w:val="Signature"/>
      </w:pPr>
    </w:p>
    <w:p w14:paraId="6F0CDBBD" w14:textId="77777777" w:rsidR="00C045E6" w:rsidRDefault="00C045E6" w:rsidP="003718BE">
      <w:pPr>
        <w:pStyle w:val="Signature"/>
      </w:pPr>
    </w:p>
    <w:p w14:paraId="5B56E648" w14:textId="77777777" w:rsidR="00C045E6" w:rsidRPr="00B955F8" w:rsidRDefault="00C045E6" w:rsidP="003718BE">
      <w:pPr>
        <w:pStyle w:val="Signature"/>
        <w:rPr>
          <w:u w:val="single"/>
        </w:rPr>
      </w:pPr>
      <w:r>
        <w:t xml:space="preserve">By: </w:t>
      </w:r>
      <w:r>
        <w:rPr>
          <w:u w:val="single"/>
        </w:rPr>
        <w:tab/>
      </w:r>
    </w:p>
    <w:p w14:paraId="2FCD457A" w14:textId="77777777" w:rsidR="00C045E6" w:rsidRDefault="003718BE" w:rsidP="003718BE">
      <w:pPr>
        <w:pStyle w:val="Signature"/>
      </w:pPr>
      <w:r>
        <w:t xml:space="preserve">       </w:t>
      </w:r>
      <w:r>
        <w:rPr>
          <w:color w:val="000000"/>
          <w:sz w:val="22"/>
          <w:szCs w:val="22"/>
        </w:rPr>
        <w:t>Dallin Jolley</w:t>
      </w:r>
      <w:r>
        <w:t>, Chair</w:t>
      </w:r>
    </w:p>
    <w:p w14:paraId="70EF33AE" w14:textId="77777777" w:rsidR="00C045E6" w:rsidRDefault="00C045E6" w:rsidP="00C045E6"/>
    <w:p w14:paraId="239E9CAA" w14:textId="77777777" w:rsidR="00C045E6" w:rsidRDefault="00C045E6" w:rsidP="00C045E6">
      <w:pPr>
        <w:tabs>
          <w:tab w:val="left" w:pos="4320"/>
        </w:tabs>
        <w:ind w:right="4320"/>
      </w:pPr>
    </w:p>
    <w:p w14:paraId="16ECE261" w14:textId="77777777" w:rsidR="00C045E6" w:rsidRDefault="00C045E6" w:rsidP="00C045E6">
      <w:pPr>
        <w:tabs>
          <w:tab w:val="left" w:pos="4320"/>
        </w:tabs>
        <w:ind w:right="4320"/>
      </w:pPr>
    </w:p>
    <w:p w14:paraId="18B554B2" w14:textId="77777777" w:rsidR="00C045E6" w:rsidRDefault="00C045E6" w:rsidP="003718BE">
      <w:pPr>
        <w:pStyle w:val="SignatureLEFT"/>
      </w:pPr>
      <w:r>
        <w:t>ATTEST:</w:t>
      </w:r>
    </w:p>
    <w:p w14:paraId="7F7EDFA4" w14:textId="77777777" w:rsidR="00C045E6" w:rsidRDefault="00C045E6" w:rsidP="003718BE">
      <w:pPr>
        <w:pStyle w:val="SignatureLEFT"/>
      </w:pPr>
    </w:p>
    <w:p w14:paraId="41569283" w14:textId="77777777" w:rsidR="00C045E6" w:rsidRDefault="00C045E6" w:rsidP="003718BE">
      <w:pPr>
        <w:pStyle w:val="SignatureLEFT"/>
      </w:pPr>
    </w:p>
    <w:p w14:paraId="313F6FDA" w14:textId="77777777" w:rsidR="00C045E6" w:rsidRDefault="00C045E6" w:rsidP="003718BE">
      <w:pPr>
        <w:pStyle w:val="SignatureLEFT"/>
      </w:pPr>
    </w:p>
    <w:p w14:paraId="69B2C3E0" w14:textId="77777777" w:rsidR="00C045E6" w:rsidRDefault="00C045E6" w:rsidP="003718BE">
      <w:pPr>
        <w:pStyle w:val="SignatureLEFT"/>
        <w:rPr>
          <w:u w:val="single"/>
        </w:rPr>
      </w:pPr>
      <w:r>
        <w:t xml:space="preserve">By: </w:t>
      </w:r>
      <w:r>
        <w:rPr>
          <w:u w:val="single"/>
        </w:rPr>
        <w:tab/>
      </w:r>
    </w:p>
    <w:p w14:paraId="0A1165BC" w14:textId="77777777" w:rsidR="00C045E6" w:rsidRPr="00EE5873" w:rsidRDefault="003718BE" w:rsidP="003718BE">
      <w:pPr>
        <w:pStyle w:val="SignatureLEFT"/>
      </w:pPr>
      <w:r>
        <w:t xml:space="preserve">       </w:t>
      </w:r>
      <w:r>
        <w:rPr>
          <w:color w:val="000000"/>
          <w:sz w:val="22"/>
          <w:szCs w:val="22"/>
        </w:rPr>
        <w:t>Blaine Benard</w:t>
      </w:r>
      <w:r>
        <w:t>, Clerk/Secretary</w:t>
      </w:r>
    </w:p>
    <w:p w14:paraId="58788C5A" w14:textId="77777777" w:rsidR="00C045E6" w:rsidRDefault="00C045E6" w:rsidP="00C045E6">
      <w:pPr>
        <w:tabs>
          <w:tab w:val="left" w:pos="4320"/>
        </w:tabs>
        <w:ind w:right="4320"/>
      </w:pPr>
    </w:p>
    <w:p w14:paraId="23AD353C" w14:textId="77777777" w:rsidR="00C045E6" w:rsidRDefault="00C045E6" w:rsidP="00C045E6">
      <w:pPr>
        <w:tabs>
          <w:tab w:val="left" w:pos="4320"/>
        </w:tabs>
        <w:ind w:right="4320"/>
      </w:pPr>
    </w:p>
    <w:p w14:paraId="46DFFEC9" w14:textId="77777777" w:rsidR="00C045E6" w:rsidRDefault="00C045E6" w:rsidP="00C045E6">
      <w:pPr>
        <w:tabs>
          <w:tab w:val="center" w:pos="2160"/>
        </w:tabs>
        <w:jc w:val="both"/>
      </w:pPr>
    </w:p>
    <w:p w14:paraId="1A3E4382" w14:textId="77777777" w:rsidR="00C045E6" w:rsidRDefault="00C045E6" w:rsidP="004A419C">
      <w:pPr>
        <w:sectPr w:rsidR="00C045E6" w:rsidSect="00F34628">
          <w:footerReference w:type="first" r:id="rId14"/>
          <w:endnotePr>
            <w:numFmt w:val="decimal"/>
          </w:endnotePr>
          <w:pgSz w:w="12240" w:h="15840" w:code="1"/>
          <w:pgMar w:top="1440" w:right="1440" w:bottom="1440" w:left="1440" w:header="720" w:footer="720" w:gutter="0"/>
          <w:pgNumType w:start="1"/>
          <w:cols w:space="720"/>
          <w:noEndnote/>
          <w:titlePg/>
          <w:docGrid w:linePitch="326"/>
        </w:sectPr>
      </w:pPr>
    </w:p>
    <w:p w14:paraId="61B08793" w14:textId="77777777" w:rsidR="00C045E6" w:rsidRDefault="00C045E6" w:rsidP="004A419C"/>
    <w:p w14:paraId="4C4DF8D4" w14:textId="77777777" w:rsidR="00C045E6" w:rsidRDefault="00C045E6" w:rsidP="00C045E6">
      <w:pPr>
        <w:tabs>
          <w:tab w:val="center" w:pos="2160"/>
        </w:tabs>
        <w:jc w:val="both"/>
      </w:pPr>
      <w:r>
        <w:t>STATE OF ______________</w:t>
      </w:r>
      <w:r>
        <w:tab/>
      </w:r>
      <w:r>
        <w:tab/>
      </w:r>
      <w:r>
        <w:tab/>
        <w:t>)</w:t>
      </w:r>
    </w:p>
    <w:p w14:paraId="664FC277" w14:textId="77777777" w:rsidR="00C045E6" w:rsidRDefault="00C045E6" w:rsidP="00C045E6">
      <w:pPr>
        <w:ind w:left="1980"/>
      </w:pPr>
      <w:r>
        <w:tab/>
      </w:r>
      <w:r>
        <w:tab/>
      </w:r>
      <w:r>
        <w:tab/>
        <w:t>: ss.</w:t>
      </w:r>
    </w:p>
    <w:p w14:paraId="1CE44D30" w14:textId="77777777" w:rsidR="00C045E6" w:rsidRDefault="00927D00" w:rsidP="00C045E6">
      <w:r>
        <w:t>COUNTY OF</w:t>
      </w:r>
      <w:r>
        <w:tab/>
        <w:t>____________</w:t>
      </w:r>
      <w:r>
        <w:tab/>
      </w:r>
      <w:r>
        <w:tab/>
        <w:t>)</w:t>
      </w:r>
    </w:p>
    <w:p w14:paraId="7D71EADF" w14:textId="77777777" w:rsidR="00C045E6" w:rsidRDefault="00C045E6" w:rsidP="00C045E6"/>
    <w:p w14:paraId="164C754F" w14:textId="77777777" w:rsidR="00C045E6" w:rsidRDefault="00C045E6" w:rsidP="00C045E6">
      <w:pPr>
        <w:pStyle w:val="00BodyText5"/>
      </w:pPr>
      <w:r>
        <w:t xml:space="preserve">The foregoing instrument was acknowledged before me this ________________, 2026, by </w:t>
      </w:r>
      <w:r>
        <w:rPr>
          <w:color w:val="000000"/>
          <w:sz w:val="22"/>
          <w:szCs w:val="22"/>
        </w:rPr>
        <w:t>Dallin Jolley</w:t>
      </w:r>
      <w:r>
        <w:t>, the Chair of the Board of Trustees of Oculta Roca Public Infrastructure District No. 2 (the “District”), who represented and acknowledged that s/he signed the same for and on behalf of the District.</w:t>
      </w:r>
    </w:p>
    <w:p w14:paraId="0E3D1AC3" w14:textId="77777777" w:rsidR="00C045E6" w:rsidRDefault="00C045E6" w:rsidP="00C045E6"/>
    <w:p w14:paraId="5938741E" w14:textId="77777777" w:rsidR="00C045E6" w:rsidRDefault="00C045E6" w:rsidP="00C045E6"/>
    <w:p w14:paraId="65CB9576" w14:textId="77777777" w:rsidR="00C045E6" w:rsidRDefault="00C045E6" w:rsidP="00C045E6"/>
    <w:p w14:paraId="4E31C5A7" w14:textId="77777777" w:rsidR="00C045E6" w:rsidRPr="00CF3CFF" w:rsidRDefault="00CF3CFF" w:rsidP="00CF3CFF">
      <w:pPr>
        <w:pStyle w:val="Signature"/>
        <w:rPr>
          <w:u w:val="single"/>
        </w:rPr>
      </w:pPr>
      <w:r>
        <w:rPr>
          <w:u w:val="single"/>
        </w:rPr>
        <w:tab/>
      </w:r>
    </w:p>
    <w:p w14:paraId="6678862F" w14:textId="77777777" w:rsidR="00C045E6" w:rsidRDefault="00C045E6" w:rsidP="00CF3CFF">
      <w:pPr>
        <w:pStyle w:val="Signature"/>
      </w:pPr>
      <w:r>
        <w:t>NOTARY PUBLIC</w:t>
      </w:r>
    </w:p>
    <w:p w14:paraId="38C0B635" w14:textId="77777777" w:rsidR="00C045E6" w:rsidRDefault="00C045E6" w:rsidP="00C045E6"/>
    <w:p w14:paraId="541ACFC4" w14:textId="77777777" w:rsidR="00C045E6" w:rsidRDefault="00C045E6" w:rsidP="00C045E6"/>
    <w:p w14:paraId="23A17B1B" w14:textId="77777777" w:rsidR="00C045E6" w:rsidRDefault="00C045E6" w:rsidP="00C045E6"/>
    <w:p w14:paraId="04FC79AD" w14:textId="77777777" w:rsidR="00C045E6" w:rsidRDefault="00C045E6" w:rsidP="00C045E6"/>
    <w:p w14:paraId="64D4A488" w14:textId="77777777" w:rsidR="00A2303B" w:rsidRDefault="00A2303B" w:rsidP="00A2303B">
      <w:pPr>
        <w:tabs>
          <w:tab w:val="center" w:pos="2160"/>
        </w:tabs>
        <w:jc w:val="both"/>
      </w:pPr>
      <w:r>
        <w:t>STATE OF ______________</w:t>
      </w:r>
      <w:r>
        <w:tab/>
      </w:r>
      <w:r>
        <w:tab/>
      </w:r>
      <w:r>
        <w:tab/>
        <w:t>)</w:t>
      </w:r>
    </w:p>
    <w:p w14:paraId="4CB8E892" w14:textId="77777777" w:rsidR="00A2303B" w:rsidRDefault="00A2303B" w:rsidP="00A2303B">
      <w:pPr>
        <w:ind w:left="1980"/>
      </w:pPr>
      <w:r>
        <w:tab/>
      </w:r>
      <w:r>
        <w:tab/>
      </w:r>
      <w:r>
        <w:tab/>
        <w:t>: ss.</w:t>
      </w:r>
    </w:p>
    <w:p w14:paraId="6CBF09D8" w14:textId="77777777" w:rsidR="00A2303B" w:rsidRDefault="00A2303B" w:rsidP="00A2303B">
      <w:r>
        <w:t>COUNTY OF</w:t>
      </w:r>
      <w:r>
        <w:tab/>
        <w:t>____________</w:t>
      </w:r>
      <w:r>
        <w:tab/>
      </w:r>
      <w:r>
        <w:tab/>
        <w:t>)</w:t>
      </w:r>
    </w:p>
    <w:p w14:paraId="77E99761" w14:textId="77777777" w:rsidR="00C045E6" w:rsidRDefault="00C045E6" w:rsidP="00C045E6"/>
    <w:p w14:paraId="57616471" w14:textId="77777777" w:rsidR="00C045E6" w:rsidRDefault="00C045E6" w:rsidP="00C045E6">
      <w:pPr>
        <w:pStyle w:val="00BodyText5"/>
      </w:pPr>
      <w:r>
        <w:t xml:space="preserve">The foregoing instrument was acknowledged before me this ________________, 2026, by </w:t>
      </w:r>
      <w:r>
        <w:rPr>
          <w:color w:val="000000"/>
          <w:sz w:val="22"/>
          <w:szCs w:val="22"/>
        </w:rPr>
        <w:t>Blaine Benard</w:t>
      </w:r>
      <w:r>
        <w:t>, the Clerk/Secretary of Oculta Roca Public Infrastructure District No. 2 (the “District”), who represented and acknowledged that s/he signed the same for and on behalf of the District.</w:t>
      </w:r>
    </w:p>
    <w:p w14:paraId="4E5714CC" w14:textId="77777777" w:rsidR="00C045E6" w:rsidRDefault="00C045E6" w:rsidP="00C045E6"/>
    <w:p w14:paraId="7DC5B677" w14:textId="77777777" w:rsidR="00C045E6" w:rsidRDefault="00C045E6" w:rsidP="00C045E6"/>
    <w:p w14:paraId="24F5E3B3" w14:textId="77777777" w:rsidR="00C045E6" w:rsidRDefault="00C045E6" w:rsidP="00C045E6"/>
    <w:p w14:paraId="082D163C" w14:textId="77777777" w:rsidR="00C045E6" w:rsidRPr="00CF3CFF" w:rsidRDefault="00CF3CFF" w:rsidP="00CF3CFF">
      <w:pPr>
        <w:pStyle w:val="Signature"/>
        <w:rPr>
          <w:u w:val="single"/>
        </w:rPr>
      </w:pPr>
      <w:r>
        <w:rPr>
          <w:u w:val="single"/>
        </w:rPr>
        <w:tab/>
      </w:r>
    </w:p>
    <w:p w14:paraId="44BAA4DC" w14:textId="77777777" w:rsidR="00C045E6" w:rsidRDefault="00C045E6" w:rsidP="00CF3CFF">
      <w:pPr>
        <w:pStyle w:val="Signature"/>
      </w:pPr>
      <w:r>
        <w:t>NOTARY PUBLIC</w:t>
      </w:r>
    </w:p>
    <w:p w14:paraId="47535414" w14:textId="77777777" w:rsidR="004A419C" w:rsidRDefault="004A419C" w:rsidP="00C045E6"/>
    <w:p w14:paraId="62CD5A08" w14:textId="77777777" w:rsidR="00C045E6" w:rsidRDefault="00C045E6" w:rsidP="00C045E6"/>
    <w:p w14:paraId="7B03CBC8" w14:textId="77777777" w:rsidR="00C045E6" w:rsidRDefault="00C045E6" w:rsidP="00C045E6">
      <w:pPr>
        <w:sectPr w:rsidR="00C045E6" w:rsidSect="00022DD7">
          <w:footerReference w:type="first" r:id="rId15"/>
          <w:endnotePr>
            <w:numFmt w:val="decimal"/>
          </w:endnotePr>
          <w:pgSz w:w="12240" w:h="15840" w:code="1"/>
          <w:pgMar w:top="1440" w:right="1440" w:bottom="1440" w:left="1440" w:header="720" w:footer="720" w:gutter="0"/>
          <w:pgNumType w:start="1"/>
          <w:cols w:space="720"/>
          <w:noEndnote/>
          <w:titlePg/>
          <w:docGrid w:linePitch="326"/>
        </w:sectPr>
      </w:pPr>
    </w:p>
    <w:p w14:paraId="5BADA08E" w14:textId="77777777" w:rsidR="004A419C" w:rsidRPr="00C045E6" w:rsidRDefault="004A419C" w:rsidP="00C045E6">
      <w:pPr>
        <w:pStyle w:val="00Center"/>
        <w:rPr>
          <w:u w:val="single"/>
        </w:rPr>
      </w:pPr>
      <w:r>
        <w:rPr>
          <w:u w:val="single"/>
        </w:rPr>
        <w:lastRenderedPageBreak/>
        <w:t>EXHIBIT A</w:t>
      </w:r>
    </w:p>
    <w:p w14:paraId="2EF54CD1" w14:textId="77777777" w:rsidR="004A419C" w:rsidRDefault="004A419C" w:rsidP="00C045E6">
      <w:pPr>
        <w:pStyle w:val="00Center"/>
      </w:pPr>
      <w:r>
        <w:t>ASSESSMENT LIST</w:t>
      </w:r>
    </w:p>
    <w:p w14:paraId="1390B09D" w14:textId="77777777" w:rsidR="001A5D9B" w:rsidRPr="001A611C" w:rsidRDefault="00146A55" w:rsidP="001A5D9B">
      <w:pPr>
        <w:pStyle w:val="00Center"/>
        <w:rPr>
          <w:u w:val="single"/>
        </w:rPr>
      </w:pPr>
      <w:r>
        <w:rPr>
          <w:u w:val="single"/>
        </w:rPr>
        <w:br/>
        <w:t>Assessment Method and Amount</w:t>
      </w:r>
      <w:r>
        <w:rPr>
          <w:vertAlign w:val="superscript"/>
        </w:rPr>
        <w:t>*</w:t>
      </w:r>
    </w:p>
    <w:tbl>
      <w:tblPr>
        <w:tblW w:w="3936" w:type="dxa"/>
        <w:jc w:val="center"/>
        <w:tblLook w:val="04A0" w:firstRow="1" w:lastRow="0" w:firstColumn="1" w:lastColumn="0" w:noHBand="0" w:noVBand="1"/>
      </w:tblPr>
      <w:tblGrid>
        <w:gridCol w:w="2520"/>
        <w:gridCol w:w="1416"/>
      </w:tblGrid>
      <w:tr w:rsidR="001A0C85" w14:paraId="0AA6810C" w14:textId="77777777" w:rsidTr="00117834">
        <w:trPr>
          <w:trHeight w:val="330"/>
          <w:jc w:val="center"/>
        </w:trPr>
        <w:tc>
          <w:tcPr>
            <w:tcW w:w="2520" w:type="dxa"/>
            <w:tcBorders>
              <w:top w:val="nil"/>
              <w:left w:val="nil"/>
              <w:bottom w:val="nil"/>
              <w:right w:val="nil"/>
            </w:tcBorders>
            <w:noWrap/>
            <w:vAlign w:val="center"/>
            <w:hideMark/>
          </w:tcPr>
          <w:p w14:paraId="69EA5AD9" w14:textId="77777777" w:rsidR="001A0C85" w:rsidRDefault="001A0C85" w:rsidP="00117834">
            <w:pPr>
              <w:rPr>
                <w:b/>
                <w:bCs/>
                <w:color w:val="000000"/>
              </w:rPr>
            </w:pPr>
            <w:r>
              <w:rPr>
                <w:b/>
                <w:bCs/>
                <w:color w:val="000000"/>
              </w:rPr>
              <w:t>Total Assessment</w:t>
            </w:r>
          </w:p>
        </w:tc>
        <w:tc>
          <w:tcPr>
            <w:tcW w:w="1416" w:type="dxa"/>
            <w:tcBorders>
              <w:top w:val="nil"/>
              <w:left w:val="nil"/>
              <w:bottom w:val="nil"/>
              <w:right w:val="nil"/>
            </w:tcBorders>
            <w:vAlign w:val="center"/>
            <w:hideMark/>
          </w:tcPr>
          <w:p w14:paraId="5EAC14CA" w14:textId="1DF25C18" w:rsidR="001A0C85" w:rsidRDefault="001A0C85" w:rsidP="00117834">
            <w:pPr>
              <w:jc w:val="right"/>
              <w:rPr>
                <w:color w:val="000000"/>
              </w:rPr>
            </w:pPr>
            <w:r>
              <w:rPr>
                <w:color w:val="000000"/>
              </w:rPr>
              <w:t xml:space="preserve">$29,918,000 </w:t>
            </w:r>
          </w:p>
        </w:tc>
      </w:tr>
      <w:tr w:rsidR="001A0C85" w14:paraId="1D91646B" w14:textId="77777777" w:rsidTr="00117834">
        <w:trPr>
          <w:trHeight w:val="315"/>
          <w:jc w:val="center"/>
        </w:trPr>
        <w:tc>
          <w:tcPr>
            <w:tcW w:w="2520" w:type="dxa"/>
            <w:tcBorders>
              <w:top w:val="nil"/>
              <w:left w:val="nil"/>
              <w:bottom w:val="nil"/>
              <w:right w:val="nil"/>
            </w:tcBorders>
            <w:noWrap/>
            <w:vAlign w:val="center"/>
            <w:hideMark/>
          </w:tcPr>
          <w:p w14:paraId="30B15FE9" w14:textId="77777777" w:rsidR="001A0C85" w:rsidRDefault="001A0C85" w:rsidP="00117834">
            <w:pPr>
              <w:rPr>
                <w:b/>
                <w:bCs/>
                <w:color w:val="000000"/>
              </w:rPr>
            </w:pPr>
            <w:r>
              <w:rPr>
                <w:b/>
                <w:bCs/>
                <w:color w:val="000000"/>
              </w:rPr>
              <w:t>Total ERUs</w:t>
            </w:r>
          </w:p>
        </w:tc>
        <w:tc>
          <w:tcPr>
            <w:tcW w:w="1416" w:type="dxa"/>
            <w:tcBorders>
              <w:top w:val="nil"/>
              <w:left w:val="nil"/>
              <w:bottom w:val="nil"/>
              <w:right w:val="nil"/>
            </w:tcBorders>
            <w:vAlign w:val="center"/>
            <w:hideMark/>
          </w:tcPr>
          <w:p w14:paraId="1FB92A1D" w14:textId="75C3BE69" w:rsidR="001A0C85" w:rsidRDefault="001A0C85" w:rsidP="00117834">
            <w:pPr>
              <w:jc w:val="right"/>
              <w:rPr>
                <w:color w:val="000000"/>
              </w:rPr>
            </w:pPr>
            <w:r>
              <w:rPr>
                <w:color w:val="000000"/>
              </w:rPr>
              <w:t>190.65</w:t>
            </w:r>
          </w:p>
        </w:tc>
      </w:tr>
      <w:tr w:rsidR="001A0C85" w14:paraId="3990C649" w14:textId="77777777" w:rsidTr="00117834">
        <w:trPr>
          <w:trHeight w:val="330"/>
          <w:jc w:val="center"/>
        </w:trPr>
        <w:tc>
          <w:tcPr>
            <w:tcW w:w="2520" w:type="dxa"/>
            <w:tcBorders>
              <w:top w:val="nil"/>
              <w:left w:val="nil"/>
              <w:bottom w:val="nil"/>
              <w:right w:val="nil"/>
            </w:tcBorders>
            <w:noWrap/>
            <w:vAlign w:val="center"/>
            <w:hideMark/>
          </w:tcPr>
          <w:p w14:paraId="6DC61417" w14:textId="77777777" w:rsidR="001A0C85" w:rsidRDefault="001A0C85" w:rsidP="00117834">
            <w:pPr>
              <w:rPr>
                <w:b/>
                <w:bCs/>
                <w:color w:val="000000"/>
              </w:rPr>
            </w:pPr>
            <w:r>
              <w:rPr>
                <w:b/>
                <w:bCs/>
                <w:color w:val="000000"/>
              </w:rPr>
              <w:t>Assessment Per ERU</w:t>
            </w:r>
          </w:p>
        </w:tc>
        <w:tc>
          <w:tcPr>
            <w:tcW w:w="1416" w:type="dxa"/>
            <w:tcBorders>
              <w:top w:val="nil"/>
              <w:left w:val="nil"/>
              <w:bottom w:val="nil"/>
              <w:right w:val="nil"/>
            </w:tcBorders>
            <w:vAlign w:val="center"/>
            <w:hideMark/>
          </w:tcPr>
          <w:p w14:paraId="62FDB189" w14:textId="716CC89A" w:rsidR="001A0C85" w:rsidRDefault="001A0C85" w:rsidP="00117834">
            <w:pPr>
              <w:jc w:val="right"/>
              <w:rPr>
                <w:color w:val="000000"/>
              </w:rPr>
            </w:pPr>
            <w:r>
              <w:rPr>
                <w:color w:val="000000"/>
              </w:rPr>
              <w:t xml:space="preserve">$156,923.81 </w:t>
            </w:r>
          </w:p>
        </w:tc>
      </w:tr>
    </w:tbl>
    <w:p w14:paraId="0213BF7B" w14:textId="77777777" w:rsidR="001A0C85" w:rsidRPr="001A611C" w:rsidRDefault="001A0C85" w:rsidP="001A0C85">
      <w:pPr>
        <w:rPr>
          <w:b/>
          <w:bCs/>
          <w:u w:val="single"/>
        </w:rPr>
      </w:pPr>
    </w:p>
    <w:tbl>
      <w:tblPr>
        <w:tblW w:w="9484" w:type="dxa"/>
        <w:tblLook w:val="04A0" w:firstRow="1" w:lastRow="0" w:firstColumn="1" w:lastColumn="0" w:noHBand="0" w:noVBand="1"/>
      </w:tblPr>
      <w:tblGrid>
        <w:gridCol w:w="2320"/>
        <w:gridCol w:w="1380"/>
        <w:gridCol w:w="1416"/>
        <w:gridCol w:w="1814"/>
        <w:gridCol w:w="2554"/>
      </w:tblGrid>
      <w:tr w:rsidR="001A0C85" w14:paraId="1E8E4628" w14:textId="77777777" w:rsidTr="00117834">
        <w:trPr>
          <w:trHeight w:val="315"/>
        </w:trPr>
        <w:tc>
          <w:tcPr>
            <w:tcW w:w="2320" w:type="dxa"/>
            <w:tcBorders>
              <w:top w:val="nil"/>
              <w:left w:val="nil"/>
              <w:bottom w:val="nil"/>
              <w:right w:val="nil"/>
            </w:tcBorders>
            <w:noWrap/>
            <w:vAlign w:val="center"/>
            <w:hideMark/>
          </w:tcPr>
          <w:p w14:paraId="4AA586CF" w14:textId="77777777" w:rsidR="001A0C85" w:rsidRDefault="001A0C85" w:rsidP="00117834">
            <w:pPr>
              <w:jc w:val="center"/>
              <w:rPr>
                <w:b/>
                <w:bCs/>
                <w:color w:val="000000"/>
              </w:rPr>
            </w:pPr>
            <w:r>
              <w:rPr>
                <w:b/>
                <w:bCs/>
                <w:color w:val="000000"/>
              </w:rPr>
              <w:t>Type</w:t>
            </w:r>
          </w:p>
        </w:tc>
        <w:tc>
          <w:tcPr>
            <w:tcW w:w="1380" w:type="dxa"/>
            <w:tcBorders>
              <w:top w:val="nil"/>
              <w:left w:val="nil"/>
              <w:bottom w:val="nil"/>
              <w:right w:val="nil"/>
            </w:tcBorders>
            <w:noWrap/>
            <w:vAlign w:val="center"/>
            <w:hideMark/>
          </w:tcPr>
          <w:p w14:paraId="4B3184B9" w14:textId="77777777" w:rsidR="001A0C85" w:rsidRDefault="001A0C85" w:rsidP="00117834">
            <w:pPr>
              <w:jc w:val="center"/>
              <w:rPr>
                <w:b/>
                <w:bCs/>
                <w:color w:val="000000"/>
              </w:rPr>
            </w:pPr>
            <w:r>
              <w:rPr>
                <w:b/>
                <w:bCs/>
                <w:color w:val="000000"/>
              </w:rPr>
              <w:t>Quantity</w:t>
            </w:r>
          </w:p>
        </w:tc>
        <w:tc>
          <w:tcPr>
            <w:tcW w:w="1416" w:type="dxa"/>
            <w:tcBorders>
              <w:top w:val="nil"/>
              <w:left w:val="nil"/>
              <w:bottom w:val="nil"/>
              <w:right w:val="nil"/>
            </w:tcBorders>
            <w:noWrap/>
            <w:vAlign w:val="center"/>
            <w:hideMark/>
          </w:tcPr>
          <w:p w14:paraId="45BD8FAA" w14:textId="77777777" w:rsidR="001A0C85" w:rsidRDefault="001A0C85" w:rsidP="00117834">
            <w:pPr>
              <w:jc w:val="center"/>
              <w:rPr>
                <w:b/>
                <w:bCs/>
                <w:color w:val="000000"/>
              </w:rPr>
            </w:pPr>
            <w:r>
              <w:rPr>
                <w:b/>
                <w:bCs/>
                <w:color w:val="000000"/>
              </w:rPr>
              <w:t>Lien/Lot</w:t>
            </w:r>
          </w:p>
        </w:tc>
        <w:tc>
          <w:tcPr>
            <w:tcW w:w="1814" w:type="dxa"/>
            <w:tcBorders>
              <w:top w:val="nil"/>
              <w:left w:val="nil"/>
              <w:bottom w:val="nil"/>
              <w:right w:val="nil"/>
            </w:tcBorders>
            <w:noWrap/>
            <w:vAlign w:val="center"/>
            <w:hideMark/>
          </w:tcPr>
          <w:p w14:paraId="143D3A29" w14:textId="77777777" w:rsidR="001A0C85" w:rsidRDefault="001A0C85" w:rsidP="00117834">
            <w:pPr>
              <w:jc w:val="center"/>
              <w:rPr>
                <w:b/>
                <w:bCs/>
                <w:color w:val="000000"/>
              </w:rPr>
            </w:pPr>
            <w:r>
              <w:rPr>
                <w:b/>
                <w:bCs/>
                <w:color w:val="000000"/>
              </w:rPr>
              <w:t>ERUs Per Unit</w:t>
            </w:r>
          </w:p>
        </w:tc>
        <w:tc>
          <w:tcPr>
            <w:tcW w:w="2554" w:type="dxa"/>
            <w:tcBorders>
              <w:top w:val="nil"/>
              <w:left w:val="nil"/>
              <w:bottom w:val="nil"/>
              <w:right w:val="nil"/>
            </w:tcBorders>
            <w:noWrap/>
            <w:vAlign w:val="center"/>
            <w:hideMark/>
          </w:tcPr>
          <w:p w14:paraId="0BED02BA" w14:textId="77777777" w:rsidR="001A0C85" w:rsidRDefault="001A0C85" w:rsidP="00117834">
            <w:pPr>
              <w:jc w:val="center"/>
              <w:rPr>
                <w:b/>
                <w:bCs/>
                <w:color w:val="000000"/>
              </w:rPr>
            </w:pPr>
            <w:r>
              <w:rPr>
                <w:b/>
                <w:bCs/>
                <w:color w:val="000000"/>
              </w:rPr>
              <w:t>Total Assessment</w:t>
            </w:r>
          </w:p>
        </w:tc>
      </w:tr>
      <w:tr w:rsidR="001A0C85" w14:paraId="221C2015" w14:textId="77777777" w:rsidTr="00117834">
        <w:trPr>
          <w:trHeight w:val="315"/>
        </w:trPr>
        <w:tc>
          <w:tcPr>
            <w:tcW w:w="2320" w:type="dxa"/>
            <w:tcBorders>
              <w:top w:val="nil"/>
              <w:left w:val="nil"/>
              <w:bottom w:val="nil"/>
              <w:right w:val="nil"/>
            </w:tcBorders>
            <w:noWrap/>
            <w:vAlign w:val="center"/>
            <w:hideMark/>
          </w:tcPr>
          <w:p w14:paraId="532622EE" w14:textId="77777777" w:rsidR="001A0C85" w:rsidRDefault="001A0C85" w:rsidP="00117834">
            <w:pPr>
              <w:jc w:val="center"/>
              <w:rPr>
                <w:color w:val="000000"/>
              </w:rPr>
            </w:pPr>
            <w:r>
              <w:rPr>
                <w:color w:val="000000"/>
              </w:rPr>
              <w:t>Estates Lots</w:t>
            </w:r>
          </w:p>
        </w:tc>
        <w:tc>
          <w:tcPr>
            <w:tcW w:w="1380" w:type="dxa"/>
            <w:tcBorders>
              <w:top w:val="nil"/>
              <w:left w:val="nil"/>
              <w:bottom w:val="nil"/>
              <w:right w:val="nil"/>
            </w:tcBorders>
            <w:noWrap/>
            <w:vAlign w:val="center"/>
            <w:hideMark/>
          </w:tcPr>
          <w:p w14:paraId="7916D95A" w14:textId="77777777" w:rsidR="001A0C85" w:rsidRDefault="001A0C85" w:rsidP="00117834">
            <w:pPr>
              <w:jc w:val="center"/>
              <w:rPr>
                <w:color w:val="000000"/>
              </w:rPr>
            </w:pPr>
            <w:r>
              <w:rPr>
                <w:color w:val="000000"/>
              </w:rPr>
              <w:t>50</w:t>
            </w:r>
          </w:p>
        </w:tc>
        <w:tc>
          <w:tcPr>
            <w:tcW w:w="1416" w:type="dxa"/>
            <w:tcBorders>
              <w:top w:val="nil"/>
              <w:left w:val="nil"/>
              <w:bottom w:val="nil"/>
              <w:right w:val="nil"/>
            </w:tcBorders>
            <w:noWrap/>
            <w:vAlign w:val="center"/>
            <w:hideMark/>
          </w:tcPr>
          <w:p w14:paraId="7C9D4A2D" w14:textId="77777777" w:rsidR="001A0C85" w:rsidRDefault="001A0C85" w:rsidP="00117834">
            <w:pPr>
              <w:jc w:val="center"/>
              <w:rPr>
                <w:color w:val="000000"/>
              </w:rPr>
            </w:pPr>
            <w:r>
              <w:rPr>
                <w:color w:val="000000"/>
              </w:rPr>
              <w:t xml:space="preserve">$378,666.66 </w:t>
            </w:r>
          </w:p>
        </w:tc>
        <w:tc>
          <w:tcPr>
            <w:tcW w:w="1814" w:type="dxa"/>
            <w:tcBorders>
              <w:top w:val="nil"/>
              <w:left w:val="nil"/>
              <w:bottom w:val="nil"/>
              <w:right w:val="nil"/>
            </w:tcBorders>
            <w:noWrap/>
            <w:vAlign w:val="center"/>
            <w:hideMark/>
          </w:tcPr>
          <w:p w14:paraId="3933A38C" w14:textId="7558A751" w:rsidR="001A0C85" w:rsidRDefault="001A0C85" w:rsidP="00117834">
            <w:pPr>
              <w:jc w:val="center"/>
              <w:rPr>
                <w:color w:val="000000"/>
              </w:rPr>
            </w:pPr>
            <w:r>
              <w:rPr>
                <w:color w:val="000000"/>
              </w:rPr>
              <w:t>2.41</w:t>
            </w:r>
          </w:p>
        </w:tc>
        <w:tc>
          <w:tcPr>
            <w:tcW w:w="2554" w:type="dxa"/>
            <w:tcBorders>
              <w:top w:val="nil"/>
              <w:left w:val="nil"/>
              <w:bottom w:val="nil"/>
              <w:right w:val="nil"/>
            </w:tcBorders>
            <w:noWrap/>
            <w:vAlign w:val="center"/>
            <w:hideMark/>
          </w:tcPr>
          <w:p w14:paraId="0D160DCD" w14:textId="77777777" w:rsidR="001A0C85" w:rsidRDefault="001A0C85" w:rsidP="00117834">
            <w:pPr>
              <w:jc w:val="center"/>
              <w:rPr>
                <w:color w:val="000000"/>
              </w:rPr>
            </w:pPr>
            <w:r>
              <w:rPr>
                <w:color w:val="000000"/>
              </w:rPr>
              <w:t xml:space="preserve">$18,933,333 </w:t>
            </w:r>
          </w:p>
        </w:tc>
      </w:tr>
      <w:tr w:rsidR="001A0C85" w14:paraId="749809C0" w14:textId="77777777" w:rsidTr="00117834">
        <w:trPr>
          <w:trHeight w:val="315"/>
        </w:trPr>
        <w:tc>
          <w:tcPr>
            <w:tcW w:w="2320" w:type="dxa"/>
            <w:tcBorders>
              <w:top w:val="nil"/>
              <w:left w:val="nil"/>
              <w:bottom w:val="nil"/>
              <w:right w:val="nil"/>
            </w:tcBorders>
            <w:noWrap/>
            <w:vAlign w:val="center"/>
            <w:hideMark/>
          </w:tcPr>
          <w:p w14:paraId="2C07785B" w14:textId="77777777" w:rsidR="001A0C85" w:rsidRDefault="001A0C85" w:rsidP="00117834">
            <w:pPr>
              <w:jc w:val="center"/>
              <w:rPr>
                <w:color w:val="000000"/>
              </w:rPr>
            </w:pPr>
            <w:r>
              <w:rPr>
                <w:color w:val="000000"/>
              </w:rPr>
              <w:t xml:space="preserve">Hotel </w:t>
            </w:r>
          </w:p>
        </w:tc>
        <w:tc>
          <w:tcPr>
            <w:tcW w:w="1380" w:type="dxa"/>
            <w:tcBorders>
              <w:top w:val="nil"/>
              <w:left w:val="nil"/>
              <w:bottom w:val="nil"/>
              <w:right w:val="nil"/>
            </w:tcBorders>
            <w:noWrap/>
            <w:vAlign w:val="center"/>
            <w:hideMark/>
          </w:tcPr>
          <w:p w14:paraId="35A113C6" w14:textId="77777777" w:rsidR="001A0C85" w:rsidRDefault="001A0C85" w:rsidP="00117834">
            <w:pPr>
              <w:jc w:val="center"/>
              <w:rPr>
                <w:color w:val="000000"/>
              </w:rPr>
            </w:pPr>
            <w:r>
              <w:rPr>
                <w:color w:val="000000"/>
              </w:rPr>
              <w:t>70</w:t>
            </w:r>
          </w:p>
        </w:tc>
        <w:tc>
          <w:tcPr>
            <w:tcW w:w="1416" w:type="dxa"/>
            <w:tcBorders>
              <w:top w:val="nil"/>
              <w:left w:val="nil"/>
              <w:bottom w:val="nil"/>
              <w:right w:val="nil"/>
            </w:tcBorders>
            <w:noWrap/>
            <w:vAlign w:val="center"/>
            <w:hideMark/>
          </w:tcPr>
          <w:p w14:paraId="7F806F2A" w14:textId="6517B381" w:rsidR="001A0C85" w:rsidRDefault="001A0C85" w:rsidP="00117834">
            <w:pPr>
              <w:jc w:val="center"/>
              <w:rPr>
                <w:color w:val="000000"/>
              </w:rPr>
            </w:pPr>
            <w:r>
              <w:rPr>
                <w:color w:val="000000"/>
              </w:rPr>
              <w:t xml:space="preserve">$156,923.81 </w:t>
            </w:r>
          </w:p>
        </w:tc>
        <w:tc>
          <w:tcPr>
            <w:tcW w:w="1814" w:type="dxa"/>
            <w:tcBorders>
              <w:top w:val="nil"/>
              <w:left w:val="nil"/>
              <w:bottom w:val="nil"/>
              <w:right w:val="nil"/>
            </w:tcBorders>
            <w:noWrap/>
            <w:vAlign w:val="center"/>
            <w:hideMark/>
          </w:tcPr>
          <w:p w14:paraId="7D358F19" w14:textId="77777777" w:rsidR="001A0C85" w:rsidRDefault="001A0C85" w:rsidP="00117834">
            <w:pPr>
              <w:jc w:val="center"/>
              <w:rPr>
                <w:color w:val="000000"/>
              </w:rPr>
            </w:pPr>
            <w:r>
              <w:rPr>
                <w:color w:val="000000"/>
              </w:rPr>
              <w:t>1.00</w:t>
            </w:r>
          </w:p>
        </w:tc>
        <w:tc>
          <w:tcPr>
            <w:tcW w:w="2554" w:type="dxa"/>
            <w:tcBorders>
              <w:top w:val="nil"/>
              <w:left w:val="nil"/>
              <w:bottom w:val="nil"/>
              <w:right w:val="nil"/>
            </w:tcBorders>
            <w:noWrap/>
            <w:vAlign w:val="center"/>
            <w:hideMark/>
          </w:tcPr>
          <w:p w14:paraId="0ABFA134" w14:textId="594E370D" w:rsidR="001A0C85" w:rsidRDefault="001A0C85" w:rsidP="00117834">
            <w:pPr>
              <w:jc w:val="center"/>
              <w:rPr>
                <w:color w:val="000000"/>
              </w:rPr>
            </w:pPr>
            <w:r>
              <w:rPr>
                <w:color w:val="000000"/>
              </w:rPr>
              <w:t xml:space="preserve">$10,984,667 </w:t>
            </w:r>
          </w:p>
        </w:tc>
      </w:tr>
      <w:tr w:rsidR="001A0C85" w14:paraId="678EC0D1" w14:textId="77777777" w:rsidTr="00117834">
        <w:trPr>
          <w:trHeight w:val="315"/>
        </w:trPr>
        <w:tc>
          <w:tcPr>
            <w:tcW w:w="2320" w:type="dxa"/>
            <w:tcBorders>
              <w:top w:val="nil"/>
              <w:left w:val="nil"/>
              <w:bottom w:val="nil"/>
              <w:right w:val="nil"/>
            </w:tcBorders>
            <w:noWrap/>
            <w:vAlign w:val="center"/>
            <w:hideMark/>
          </w:tcPr>
          <w:p w14:paraId="07BAFDFE" w14:textId="77777777" w:rsidR="001A0C85" w:rsidRDefault="001A0C85" w:rsidP="00117834">
            <w:pPr>
              <w:jc w:val="center"/>
              <w:rPr>
                <w:b/>
                <w:bCs/>
                <w:color w:val="000000"/>
              </w:rPr>
            </w:pPr>
            <w:r>
              <w:rPr>
                <w:b/>
                <w:bCs/>
                <w:color w:val="000000"/>
              </w:rPr>
              <w:t>TOTAL</w:t>
            </w:r>
          </w:p>
        </w:tc>
        <w:tc>
          <w:tcPr>
            <w:tcW w:w="1380" w:type="dxa"/>
            <w:tcBorders>
              <w:top w:val="nil"/>
              <w:left w:val="nil"/>
              <w:bottom w:val="nil"/>
              <w:right w:val="nil"/>
            </w:tcBorders>
            <w:noWrap/>
            <w:vAlign w:val="center"/>
            <w:hideMark/>
          </w:tcPr>
          <w:p w14:paraId="2BAEBAD6" w14:textId="77777777" w:rsidR="001A0C85" w:rsidRDefault="001A0C85" w:rsidP="00117834">
            <w:pPr>
              <w:jc w:val="center"/>
              <w:rPr>
                <w:b/>
                <w:bCs/>
                <w:color w:val="000000"/>
              </w:rPr>
            </w:pPr>
            <w:r>
              <w:rPr>
                <w:b/>
                <w:bCs/>
                <w:color w:val="000000"/>
              </w:rPr>
              <w:t xml:space="preserve">120 </w:t>
            </w:r>
          </w:p>
        </w:tc>
        <w:tc>
          <w:tcPr>
            <w:tcW w:w="1416" w:type="dxa"/>
            <w:tcBorders>
              <w:top w:val="nil"/>
              <w:left w:val="nil"/>
              <w:bottom w:val="nil"/>
              <w:right w:val="nil"/>
            </w:tcBorders>
            <w:noWrap/>
            <w:vAlign w:val="center"/>
            <w:hideMark/>
          </w:tcPr>
          <w:p w14:paraId="69427B1B" w14:textId="77777777" w:rsidR="001A0C85" w:rsidRDefault="001A0C85" w:rsidP="00117834">
            <w:pPr>
              <w:jc w:val="center"/>
              <w:rPr>
                <w:b/>
                <w:bCs/>
                <w:color w:val="000000"/>
              </w:rPr>
            </w:pPr>
          </w:p>
        </w:tc>
        <w:tc>
          <w:tcPr>
            <w:tcW w:w="1814" w:type="dxa"/>
            <w:tcBorders>
              <w:top w:val="nil"/>
              <w:left w:val="nil"/>
              <w:bottom w:val="nil"/>
              <w:right w:val="nil"/>
            </w:tcBorders>
            <w:noWrap/>
            <w:vAlign w:val="center"/>
            <w:hideMark/>
          </w:tcPr>
          <w:p w14:paraId="3679B312" w14:textId="77777777" w:rsidR="001A0C85" w:rsidRDefault="001A0C85" w:rsidP="00117834">
            <w:pPr>
              <w:jc w:val="center"/>
              <w:rPr>
                <w:sz w:val="20"/>
                <w:szCs w:val="20"/>
              </w:rPr>
            </w:pPr>
          </w:p>
        </w:tc>
        <w:tc>
          <w:tcPr>
            <w:tcW w:w="2554" w:type="dxa"/>
            <w:tcBorders>
              <w:top w:val="nil"/>
              <w:left w:val="nil"/>
              <w:bottom w:val="nil"/>
              <w:right w:val="nil"/>
            </w:tcBorders>
            <w:noWrap/>
            <w:vAlign w:val="center"/>
            <w:hideMark/>
          </w:tcPr>
          <w:p w14:paraId="75D78178" w14:textId="28A2C9BD" w:rsidR="001A0C85" w:rsidRDefault="001A0C85" w:rsidP="00117834">
            <w:pPr>
              <w:jc w:val="center"/>
              <w:rPr>
                <w:b/>
                <w:bCs/>
                <w:color w:val="000000"/>
              </w:rPr>
            </w:pPr>
            <w:r>
              <w:rPr>
                <w:b/>
                <w:bCs/>
                <w:color w:val="000000"/>
              </w:rPr>
              <w:t xml:space="preserve">$29,918,000 </w:t>
            </w:r>
          </w:p>
        </w:tc>
      </w:tr>
    </w:tbl>
    <w:p w14:paraId="6A88053D" w14:textId="77777777" w:rsidR="001A0C85" w:rsidRPr="001A611C" w:rsidRDefault="001A0C85" w:rsidP="001A0C85"/>
    <w:p w14:paraId="7F3DE3E7" w14:textId="77777777" w:rsidR="001A0C85" w:rsidRPr="001A611C" w:rsidRDefault="001A0C85" w:rsidP="001A0C85"/>
    <w:tbl>
      <w:tblPr>
        <w:tblW w:w="10630" w:type="dxa"/>
        <w:jc w:val="center"/>
        <w:tblLook w:val="04A0" w:firstRow="1" w:lastRow="0" w:firstColumn="1" w:lastColumn="0" w:noHBand="0" w:noVBand="1"/>
      </w:tblPr>
      <w:tblGrid>
        <w:gridCol w:w="4850"/>
        <w:gridCol w:w="1720"/>
        <w:gridCol w:w="1080"/>
        <w:gridCol w:w="1080"/>
        <w:gridCol w:w="1900"/>
      </w:tblGrid>
      <w:tr w:rsidR="001A0C85" w14:paraId="064A81B6" w14:textId="77777777" w:rsidTr="00117834">
        <w:trPr>
          <w:trHeight w:val="645"/>
          <w:jc w:val="center"/>
        </w:trPr>
        <w:tc>
          <w:tcPr>
            <w:tcW w:w="4850" w:type="dxa"/>
            <w:tcBorders>
              <w:top w:val="single" w:sz="8" w:space="0" w:color="auto"/>
              <w:left w:val="single" w:sz="8" w:space="0" w:color="auto"/>
              <w:bottom w:val="single" w:sz="8" w:space="0" w:color="auto"/>
              <w:right w:val="single" w:sz="8" w:space="0" w:color="auto"/>
            </w:tcBorders>
            <w:vAlign w:val="center"/>
            <w:hideMark/>
          </w:tcPr>
          <w:p w14:paraId="045D0098" w14:textId="77777777" w:rsidR="001A0C85" w:rsidRDefault="001A0C85" w:rsidP="00117834">
            <w:pPr>
              <w:jc w:val="center"/>
              <w:rPr>
                <w:b/>
                <w:bCs/>
                <w:color w:val="000000"/>
              </w:rPr>
            </w:pPr>
            <w:r>
              <w:rPr>
                <w:b/>
                <w:bCs/>
                <w:color w:val="000000"/>
              </w:rPr>
              <w:t>Parcel ID</w:t>
            </w:r>
          </w:p>
        </w:tc>
        <w:tc>
          <w:tcPr>
            <w:tcW w:w="1720" w:type="dxa"/>
            <w:tcBorders>
              <w:top w:val="single" w:sz="8" w:space="0" w:color="auto"/>
              <w:left w:val="nil"/>
              <w:bottom w:val="single" w:sz="8" w:space="0" w:color="auto"/>
              <w:right w:val="single" w:sz="8" w:space="0" w:color="auto"/>
            </w:tcBorders>
            <w:vAlign w:val="center"/>
            <w:hideMark/>
          </w:tcPr>
          <w:p w14:paraId="7EEC7B71" w14:textId="77777777" w:rsidR="001A0C85" w:rsidRDefault="001A0C85" w:rsidP="00117834">
            <w:pPr>
              <w:jc w:val="center"/>
              <w:rPr>
                <w:b/>
                <w:bCs/>
                <w:color w:val="000000"/>
              </w:rPr>
            </w:pPr>
            <w:r>
              <w:rPr>
                <w:b/>
                <w:bCs/>
                <w:color w:val="000000"/>
              </w:rPr>
              <w:t>Owner</w:t>
            </w:r>
          </w:p>
        </w:tc>
        <w:tc>
          <w:tcPr>
            <w:tcW w:w="1080" w:type="dxa"/>
            <w:tcBorders>
              <w:top w:val="single" w:sz="8" w:space="0" w:color="auto"/>
              <w:left w:val="nil"/>
              <w:bottom w:val="single" w:sz="8" w:space="0" w:color="auto"/>
              <w:right w:val="single" w:sz="8" w:space="0" w:color="auto"/>
            </w:tcBorders>
            <w:vAlign w:val="center"/>
            <w:hideMark/>
          </w:tcPr>
          <w:p w14:paraId="51488F0B" w14:textId="77777777" w:rsidR="001A0C85" w:rsidRDefault="001A0C85" w:rsidP="00117834">
            <w:pPr>
              <w:jc w:val="center"/>
              <w:rPr>
                <w:b/>
                <w:bCs/>
                <w:color w:val="000000"/>
              </w:rPr>
            </w:pPr>
            <w:r>
              <w:rPr>
                <w:b/>
                <w:bCs/>
                <w:color w:val="000000"/>
              </w:rPr>
              <w:t>Type</w:t>
            </w:r>
          </w:p>
        </w:tc>
        <w:tc>
          <w:tcPr>
            <w:tcW w:w="1080" w:type="dxa"/>
            <w:tcBorders>
              <w:top w:val="single" w:sz="8" w:space="0" w:color="auto"/>
              <w:left w:val="nil"/>
              <w:bottom w:val="single" w:sz="8" w:space="0" w:color="auto"/>
              <w:right w:val="single" w:sz="8" w:space="0" w:color="auto"/>
            </w:tcBorders>
            <w:vAlign w:val="center"/>
            <w:hideMark/>
          </w:tcPr>
          <w:p w14:paraId="67A46F89" w14:textId="77777777" w:rsidR="001A0C85" w:rsidRDefault="001A0C85" w:rsidP="00117834">
            <w:pPr>
              <w:jc w:val="center"/>
              <w:rPr>
                <w:b/>
                <w:bCs/>
                <w:color w:val="000000"/>
              </w:rPr>
            </w:pPr>
            <w:r>
              <w:rPr>
                <w:b/>
                <w:bCs/>
                <w:color w:val="000000"/>
              </w:rPr>
              <w:t>ERUs</w:t>
            </w:r>
          </w:p>
        </w:tc>
        <w:tc>
          <w:tcPr>
            <w:tcW w:w="1900" w:type="dxa"/>
            <w:tcBorders>
              <w:top w:val="single" w:sz="8" w:space="0" w:color="auto"/>
              <w:left w:val="nil"/>
              <w:bottom w:val="single" w:sz="8" w:space="0" w:color="auto"/>
              <w:right w:val="single" w:sz="8" w:space="0" w:color="auto"/>
            </w:tcBorders>
            <w:noWrap/>
            <w:vAlign w:val="center"/>
            <w:hideMark/>
          </w:tcPr>
          <w:p w14:paraId="2A57D31B" w14:textId="77777777" w:rsidR="001A0C85" w:rsidRDefault="001A0C85" w:rsidP="00117834">
            <w:pPr>
              <w:jc w:val="center"/>
              <w:rPr>
                <w:b/>
                <w:bCs/>
                <w:color w:val="000000"/>
              </w:rPr>
            </w:pPr>
            <w:r>
              <w:rPr>
                <w:b/>
                <w:bCs/>
                <w:color w:val="000000"/>
              </w:rPr>
              <w:t>Total Assessment</w:t>
            </w:r>
          </w:p>
        </w:tc>
      </w:tr>
      <w:tr w:rsidR="001A0C85" w14:paraId="07165E30" w14:textId="77777777" w:rsidTr="00117834">
        <w:trPr>
          <w:trHeight w:val="2167"/>
          <w:jc w:val="center"/>
        </w:trPr>
        <w:tc>
          <w:tcPr>
            <w:tcW w:w="4850" w:type="dxa"/>
            <w:tcBorders>
              <w:top w:val="nil"/>
              <w:left w:val="single" w:sz="8" w:space="0" w:color="auto"/>
              <w:bottom w:val="single" w:sz="8" w:space="0" w:color="auto"/>
              <w:right w:val="single" w:sz="8" w:space="0" w:color="auto"/>
            </w:tcBorders>
            <w:vAlign w:val="center"/>
            <w:hideMark/>
          </w:tcPr>
          <w:p w14:paraId="735EE0DB" w14:textId="77777777" w:rsidR="001A0C85" w:rsidRDefault="001A0C85" w:rsidP="00117834">
            <w:pPr>
              <w:jc w:val="center"/>
              <w:rPr>
                <w:color w:val="000000"/>
              </w:rPr>
            </w:pPr>
            <w:r>
              <w:rPr>
                <w:color w:val="000000"/>
              </w:rPr>
              <w:t>AV-2194-D-OR1; AV-2194-D; AV-2194-B-OR1; AV-2-2-27-432; AV-2196-A-1; AV-2169-B; AV-2196-F; AV-2196-B; AV-2-2-28-110; AV-2-2-28-120; AV-2-2-28 220; AV-2-2-28-221; AV-2-2-28-240; AV 2196-C; AV-2196-D; AV-2196-E; AV-2196-G; AV-2196-H; AV-2196-I; AV-2-2-27-430; AV-2-2-27-431</w:t>
            </w:r>
          </w:p>
        </w:tc>
        <w:tc>
          <w:tcPr>
            <w:tcW w:w="1720" w:type="dxa"/>
            <w:tcBorders>
              <w:top w:val="nil"/>
              <w:left w:val="nil"/>
              <w:bottom w:val="single" w:sz="8" w:space="0" w:color="auto"/>
              <w:right w:val="single" w:sz="8" w:space="0" w:color="auto"/>
            </w:tcBorders>
            <w:vAlign w:val="center"/>
            <w:hideMark/>
          </w:tcPr>
          <w:p w14:paraId="19E5252D" w14:textId="77777777" w:rsidR="001A0C85" w:rsidRDefault="001A0C85" w:rsidP="00117834">
            <w:pPr>
              <w:jc w:val="center"/>
              <w:rPr>
                <w:color w:val="000000"/>
              </w:rPr>
            </w:pPr>
            <w:r>
              <w:rPr>
                <w:color w:val="000000"/>
              </w:rPr>
              <w:t>De La Tierra Holdings LLC</w:t>
            </w:r>
          </w:p>
        </w:tc>
        <w:tc>
          <w:tcPr>
            <w:tcW w:w="1080" w:type="dxa"/>
            <w:tcBorders>
              <w:top w:val="nil"/>
              <w:left w:val="nil"/>
              <w:bottom w:val="single" w:sz="8" w:space="0" w:color="auto"/>
              <w:right w:val="single" w:sz="8" w:space="0" w:color="auto"/>
            </w:tcBorders>
            <w:vAlign w:val="center"/>
            <w:hideMark/>
          </w:tcPr>
          <w:p w14:paraId="06CFED51" w14:textId="77777777" w:rsidR="001A0C85" w:rsidRDefault="001A0C85" w:rsidP="00117834">
            <w:pPr>
              <w:jc w:val="center"/>
              <w:rPr>
                <w:color w:val="000000"/>
              </w:rPr>
            </w:pPr>
            <w:r>
              <w:rPr>
                <w:color w:val="000000"/>
              </w:rPr>
              <w:t>Hotel; Estate Lots</w:t>
            </w:r>
          </w:p>
        </w:tc>
        <w:tc>
          <w:tcPr>
            <w:tcW w:w="1080" w:type="dxa"/>
            <w:tcBorders>
              <w:top w:val="nil"/>
              <w:left w:val="nil"/>
              <w:bottom w:val="single" w:sz="8" w:space="0" w:color="auto"/>
              <w:right w:val="single" w:sz="8" w:space="0" w:color="auto"/>
            </w:tcBorders>
            <w:vAlign w:val="center"/>
            <w:hideMark/>
          </w:tcPr>
          <w:p w14:paraId="71CFF837" w14:textId="08220D3D" w:rsidR="001A0C85" w:rsidRDefault="001A0C85" w:rsidP="00117834">
            <w:pPr>
              <w:jc w:val="center"/>
              <w:rPr>
                <w:color w:val="000000"/>
              </w:rPr>
            </w:pPr>
            <w:r>
              <w:rPr>
                <w:color w:val="000000"/>
              </w:rPr>
              <w:t>115.17</w:t>
            </w:r>
          </w:p>
        </w:tc>
        <w:tc>
          <w:tcPr>
            <w:tcW w:w="1900" w:type="dxa"/>
            <w:tcBorders>
              <w:top w:val="nil"/>
              <w:left w:val="nil"/>
              <w:bottom w:val="single" w:sz="8" w:space="0" w:color="auto"/>
              <w:right w:val="single" w:sz="8" w:space="0" w:color="auto"/>
            </w:tcBorders>
            <w:noWrap/>
            <w:vAlign w:val="center"/>
            <w:hideMark/>
          </w:tcPr>
          <w:p w14:paraId="5272543C" w14:textId="1D628BC5" w:rsidR="001A0C85" w:rsidRDefault="001A0C85" w:rsidP="00117834">
            <w:pPr>
              <w:jc w:val="center"/>
              <w:rPr>
                <w:color w:val="000000"/>
              </w:rPr>
            </w:pPr>
            <w:r>
              <w:rPr>
                <w:color w:val="000000"/>
              </w:rPr>
              <w:t>18,073,188.12</w:t>
            </w:r>
          </w:p>
        </w:tc>
      </w:tr>
      <w:tr w:rsidR="001A0C85" w14:paraId="14B65B6D" w14:textId="77777777" w:rsidTr="00117834">
        <w:trPr>
          <w:trHeight w:val="645"/>
          <w:jc w:val="center"/>
        </w:trPr>
        <w:tc>
          <w:tcPr>
            <w:tcW w:w="4850" w:type="dxa"/>
            <w:tcBorders>
              <w:top w:val="nil"/>
              <w:left w:val="single" w:sz="8" w:space="0" w:color="auto"/>
              <w:bottom w:val="single" w:sz="8" w:space="0" w:color="auto"/>
              <w:right w:val="single" w:sz="8" w:space="0" w:color="auto"/>
            </w:tcBorders>
            <w:vAlign w:val="center"/>
            <w:hideMark/>
          </w:tcPr>
          <w:p w14:paraId="0028097E" w14:textId="77777777" w:rsidR="001A0C85" w:rsidRDefault="001A0C85" w:rsidP="00117834">
            <w:pPr>
              <w:jc w:val="center"/>
              <w:rPr>
                <w:color w:val="000000"/>
              </w:rPr>
            </w:pPr>
            <w:r>
              <w:rPr>
                <w:color w:val="000000"/>
              </w:rPr>
              <w:t>AV-2169-A-1; AV-2195-B</w:t>
            </w:r>
          </w:p>
        </w:tc>
        <w:tc>
          <w:tcPr>
            <w:tcW w:w="1720" w:type="dxa"/>
            <w:tcBorders>
              <w:top w:val="nil"/>
              <w:left w:val="nil"/>
              <w:bottom w:val="single" w:sz="8" w:space="0" w:color="auto"/>
              <w:right w:val="single" w:sz="8" w:space="0" w:color="auto"/>
            </w:tcBorders>
            <w:vAlign w:val="center"/>
            <w:hideMark/>
          </w:tcPr>
          <w:p w14:paraId="1B00E724" w14:textId="77777777" w:rsidR="001A0C85" w:rsidRDefault="001A0C85" w:rsidP="00117834">
            <w:pPr>
              <w:jc w:val="center"/>
              <w:rPr>
                <w:color w:val="000000"/>
              </w:rPr>
            </w:pPr>
            <w:r>
              <w:rPr>
                <w:color w:val="000000"/>
              </w:rPr>
              <w:t>Bitterwater Enterprises LLC</w:t>
            </w:r>
          </w:p>
        </w:tc>
        <w:tc>
          <w:tcPr>
            <w:tcW w:w="1080" w:type="dxa"/>
            <w:tcBorders>
              <w:top w:val="nil"/>
              <w:left w:val="nil"/>
              <w:bottom w:val="single" w:sz="8" w:space="0" w:color="auto"/>
              <w:right w:val="single" w:sz="8" w:space="0" w:color="auto"/>
            </w:tcBorders>
            <w:vAlign w:val="center"/>
            <w:hideMark/>
          </w:tcPr>
          <w:p w14:paraId="0CB004AF" w14:textId="77777777" w:rsidR="001A0C85" w:rsidRDefault="001A0C85" w:rsidP="00117834">
            <w:pPr>
              <w:jc w:val="center"/>
              <w:rPr>
                <w:color w:val="000000"/>
              </w:rPr>
            </w:pPr>
            <w:r>
              <w:rPr>
                <w:color w:val="000000"/>
              </w:rPr>
              <w:t>Estate Lots</w:t>
            </w:r>
          </w:p>
        </w:tc>
        <w:tc>
          <w:tcPr>
            <w:tcW w:w="1080" w:type="dxa"/>
            <w:tcBorders>
              <w:top w:val="nil"/>
              <w:left w:val="nil"/>
              <w:bottom w:val="single" w:sz="8" w:space="0" w:color="auto"/>
              <w:right w:val="single" w:sz="8" w:space="0" w:color="auto"/>
            </w:tcBorders>
            <w:vAlign w:val="center"/>
            <w:hideMark/>
          </w:tcPr>
          <w:p w14:paraId="57B05CB4" w14:textId="6898B74A" w:rsidR="001A0C85" w:rsidRDefault="001A0C85" w:rsidP="00117834">
            <w:pPr>
              <w:jc w:val="center"/>
              <w:rPr>
                <w:color w:val="000000"/>
              </w:rPr>
            </w:pPr>
            <w:r>
              <w:rPr>
                <w:color w:val="000000"/>
              </w:rPr>
              <w:t>19.30</w:t>
            </w:r>
          </w:p>
        </w:tc>
        <w:tc>
          <w:tcPr>
            <w:tcW w:w="1900" w:type="dxa"/>
            <w:tcBorders>
              <w:top w:val="nil"/>
              <w:left w:val="nil"/>
              <w:bottom w:val="single" w:sz="8" w:space="0" w:color="auto"/>
              <w:right w:val="single" w:sz="8" w:space="0" w:color="auto"/>
            </w:tcBorders>
            <w:noWrap/>
            <w:vAlign w:val="center"/>
            <w:hideMark/>
          </w:tcPr>
          <w:p w14:paraId="23E148E6" w14:textId="77777777" w:rsidR="001A0C85" w:rsidRDefault="001A0C85" w:rsidP="00117834">
            <w:pPr>
              <w:jc w:val="center"/>
              <w:rPr>
                <w:color w:val="000000"/>
              </w:rPr>
            </w:pPr>
            <w:r>
              <w:rPr>
                <w:color w:val="000000"/>
              </w:rPr>
              <w:t>3,029,333.33</w:t>
            </w:r>
          </w:p>
        </w:tc>
      </w:tr>
      <w:tr w:rsidR="001A0C85" w14:paraId="31569546" w14:textId="77777777" w:rsidTr="00117834">
        <w:trPr>
          <w:trHeight w:val="330"/>
          <w:jc w:val="center"/>
        </w:trPr>
        <w:tc>
          <w:tcPr>
            <w:tcW w:w="4850" w:type="dxa"/>
            <w:tcBorders>
              <w:top w:val="nil"/>
              <w:left w:val="single" w:sz="8" w:space="0" w:color="auto"/>
              <w:bottom w:val="single" w:sz="8" w:space="0" w:color="auto"/>
              <w:right w:val="single" w:sz="8" w:space="0" w:color="auto"/>
            </w:tcBorders>
            <w:vAlign w:val="center"/>
            <w:hideMark/>
          </w:tcPr>
          <w:p w14:paraId="32DE1D18" w14:textId="77777777" w:rsidR="001A0C85" w:rsidRDefault="001A0C85" w:rsidP="00117834">
            <w:pPr>
              <w:jc w:val="center"/>
              <w:rPr>
                <w:color w:val="000000"/>
              </w:rPr>
            </w:pPr>
            <w:r>
              <w:rPr>
                <w:color w:val="000000"/>
              </w:rPr>
              <w:t>AV-2194-A</w:t>
            </w:r>
          </w:p>
        </w:tc>
        <w:tc>
          <w:tcPr>
            <w:tcW w:w="1720" w:type="dxa"/>
            <w:tcBorders>
              <w:top w:val="nil"/>
              <w:left w:val="nil"/>
              <w:bottom w:val="single" w:sz="8" w:space="0" w:color="auto"/>
              <w:right w:val="single" w:sz="8" w:space="0" w:color="auto"/>
            </w:tcBorders>
            <w:vAlign w:val="center"/>
            <w:hideMark/>
          </w:tcPr>
          <w:p w14:paraId="0E0EF9EA" w14:textId="77777777" w:rsidR="001A0C85" w:rsidRDefault="001A0C85" w:rsidP="00117834">
            <w:pPr>
              <w:jc w:val="center"/>
              <w:rPr>
                <w:color w:val="000000"/>
              </w:rPr>
            </w:pPr>
            <w:r>
              <w:rPr>
                <w:color w:val="000000"/>
              </w:rPr>
              <w:t>James Tullis</w:t>
            </w:r>
          </w:p>
        </w:tc>
        <w:tc>
          <w:tcPr>
            <w:tcW w:w="1080" w:type="dxa"/>
            <w:tcBorders>
              <w:top w:val="nil"/>
              <w:left w:val="nil"/>
              <w:bottom w:val="single" w:sz="8" w:space="0" w:color="auto"/>
              <w:right w:val="single" w:sz="8" w:space="0" w:color="auto"/>
            </w:tcBorders>
            <w:vAlign w:val="center"/>
            <w:hideMark/>
          </w:tcPr>
          <w:p w14:paraId="6F963177" w14:textId="77777777" w:rsidR="001A0C85" w:rsidRDefault="001A0C85" w:rsidP="00117834">
            <w:pPr>
              <w:jc w:val="center"/>
              <w:rPr>
                <w:color w:val="000000"/>
              </w:rPr>
            </w:pPr>
            <w:r>
              <w:rPr>
                <w:color w:val="000000"/>
              </w:rPr>
              <w:t>Hotel</w:t>
            </w:r>
          </w:p>
        </w:tc>
        <w:tc>
          <w:tcPr>
            <w:tcW w:w="1080" w:type="dxa"/>
            <w:tcBorders>
              <w:top w:val="nil"/>
              <w:left w:val="nil"/>
              <w:bottom w:val="single" w:sz="8" w:space="0" w:color="auto"/>
              <w:right w:val="single" w:sz="8" w:space="0" w:color="auto"/>
            </w:tcBorders>
            <w:vAlign w:val="center"/>
            <w:hideMark/>
          </w:tcPr>
          <w:p w14:paraId="6FF4898E" w14:textId="77777777" w:rsidR="001A0C85" w:rsidRDefault="001A0C85" w:rsidP="00117834">
            <w:pPr>
              <w:jc w:val="center"/>
              <w:rPr>
                <w:color w:val="000000"/>
              </w:rPr>
            </w:pPr>
            <w:r>
              <w:rPr>
                <w:color w:val="000000"/>
              </w:rPr>
              <w:t>-</w:t>
            </w:r>
          </w:p>
        </w:tc>
        <w:tc>
          <w:tcPr>
            <w:tcW w:w="1900" w:type="dxa"/>
            <w:tcBorders>
              <w:top w:val="nil"/>
              <w:left w:val="nil"/>
              <w:bottom w:val="single" w:sz="8" w:space="0" w:color="auto"/>
              <w:right w:val="single" w:sz="8" w:space="0" w:color="auto"/>
            </w:tcBorders>
            <w:noWrap/>
            <w:vAlign w:val="center"/>
            <w:hideMark/>
          </w:tcPr>
          <w:p w14:paraId="134DF903" w14:textId="77777777" w:rsidR="001A0C85" w:rsidRDefault="001A0C85" w:rsidP="00117834">
            <w:pPr>
              <w:jc w:val="center"/>
              <w:rPr>
                <w:color w:val="000000"/>
              </w:rPr>
            </w:pPr>
            <w:r>
              <w:rPr>
                <w:color w:val="000000"/>
              </w:rPr>
              <w:t>-</w:t>
            </w:r>
          </w:p>
        </w:tc>
      </w:tr>
      <w:tr w:rsidR="001A0C85" w14:paraId="5733FC6E" w14:textId="77777777" w:rsidTr="00117834">
        <w:trPr>
          <w:trHeight w:val="960"/>
          <w:jc w:val="center"/>
        </w:trPr>
        <w:tc>
          <w:tcPr>
            <w:tcW w:w="4850" w:type="dxa"/>
            <w:tcBorders>
              <w:top w:val="nil"/>
              <w:left w:val="single" w:sz="8" w:space="0" w:color="auto"/>
              <w:bottom w:val="single" w:sz="8" w:space="0" w:color="auto"/>
              <w:right w:val="single" w:sz="8" w:space="0" w:color="auto"/>
            </w:tcBorders>
            <w:vAlign w:val="center"/>
            <w:hideMark/>
          </w:tcPr>
          <w:p w14:paraId="61A96636" w14:textId="77777777" w:rsidR="001A0C85" w:rsidRDefault="001A0C85" w:rsidP="00117834">
            <w:pPr>
              <w:jc w:val="center"/>
              <w:rPr>
                <w:color w:val="000000"/>
              </w:rPr>
            </w:pPr>
            <w:r>
              <w:rPr>
                <w:color w:val="000000"/>
              </w:rPr>
              <w:t>AV-2194-C</w:t>
            </w:r>
          </w:p>
        </w:tc>
        <w:tc>
          <w:tcPr>
            <w:tcW w:w="1720" w:type="dxa"/>
            <w:tcBorders>
              <w:top w:val="nil"/>
              <w:left w:val="nil"/>
              <w:bottom w:val="single" w:sz="8" w:space="0" w:color="auto"/>
              <w:right w:val="single" w:sz="8" w:space="0" w:color="auto"/>
            </w:tcBorders>
            <w:vAlign w:val="center"/>
            <w:hideMark/>
          </w:tcPr>
          <w:p w14:paraId="3AC2FFE8" w14:textId="77777777" w:rsidR="001A0C85" w:rsidRDefault="001A0C85" w:rsidP="00117834">
            <w:pPr>
              <w:jc w:val="center"/>
              <w:rPr>
                <w:color w:val="000000"/>
              </w:rPr>
            </w:pPr>
            <w:r>
              <w:rPr>
                <w:color w:val="000000"/>
              </w:rPr>
              <w:t>John Lowe</w:t>
            </w:r>
          </w:p>
        </w:tc>
        <w:tc>
          <w:tcPr>
            <w:tcW w:w="1080" w:type="dxa"/>
            <w:tcBorders>
              <w:top w:val="nil"/>
              <w:left w:val="nil"/>
              <w:bottom w:val="single" w:sz="8" w:space="0" w:color="auto"/>
              <w:right w:val="single" w:sz="8" w:space="0" w:color="auto"/>
            </w:tcBorders>
            <w:vAlign w:val="center"/>
            <w:hideMark/>
          </w:tcPr>
          <w:p w14:paraId="65E03C66" w14:textId="77777777" w:rsidR="001A0C85" w:rsidRDefault="001A0C85" w:rsidP="00117834">
            <w:pPr>
              <w:jc w:val="center"/>
              <w:rPr>
                <w:color w:val="000000"/>
              </w:rPr>
            </w:pPr>
            <w:r>
              <w:rPr>
                <w:color w:val="000000"/>
              </w:rPr>
              <w:t>Hotel; Estate Lots</w:t>
            </w:r>
          </w:p>
        </w:tc>
        <w:tc>
          <w:tcPr>
            <w:tcW w:w="1080" w:type="dxa"/>
            <w:tcBorders>
              <w:top w:val="nil"/>
              <w:left w:val="nil"/>
              <w:bottom w:val="single" w:sz="8" w:space="0" w:color="auto"/>
              <w:right w:val="single" w:sz="8" w:space="0" w:color="auto"/>
            </w:tcBorders>
            <w:vAlign w:val="center"/>
            <w:hideMark/>
          </w:tcPr>
          <w:p w14:paraId="6679FC14" w14:textId="45BC90F6" w:rsidR="001A0C85" w:rsidRDefault="001A0C85" w:rsidP="00117834">
            <w:pPr>
              <w:jc w:val="center"/>
              <w:rPr>
                <w:color w:val="000000"/>
              </w:rPr>
            </w:pPr>
            <w:r>
              <w:rPr>
                <w:color w:val="000000"/>
              </w:rPr>
              <w:t>46.52</w:t>
            </w:r>
          </w:p>
        </w:tc>
        <w:tc>
          <w:tcPr>
            <w:tcW w:w="1900" w:type="dxa"/>
            <w:tcBorders>
              <w:top w:val="nil"/>
              <w:left w:val="nil"/>
              <w:bottom w:val="single" w:sz="8" w:space="0" w:color="auto"/>
              <w:right w:val="single" w:sz="8" w:space="0" w:color="auto"/>
            </w:tcBorders>
            <w:noWrap/>
            <w:vAlign w:val="center"/>
            <w:hideMark/>
          </w:tcPr>
          <w:p w14:paraId="70C88219" w14:textId="77777777" w:rsidR="001A0C85" w:rsidRDefault="001A0C85" w:rsidP="00117834">
            <w:pPr>
              <w:jc w:val="center"/>
              <w:rPr>
                <w:color w:val="000000"/>
              </w:rPr>
            </w:pPr>
            <w:r>
              <w:rPr>
                <w:color w:val="000000"/>
              </w:rPr>
              <w:t>7,300,811.92</w:t>
            </w:r>
          </w:p>
        </w:tc>
      </w:tr>
      <w:tr w:rsidR="001A0C85" w14:paraId="47FBF064" w14:textId="77777777" w:rsidTr="00117834">
        <w:trPr>
          <w:trHeight w:val="645"/>
          <w:jc w:val="center"/>
        </w:trPr>
        <w:tc>
          <w:tcPr>
            <w:tcW w:w="4850" w:type="dxa"/>
            <w:tcBorders>
              <w:top w:val="nil"/>
              <w:left w:val="single" w:sz="8" w:space="0" w:color="auto"/>
              <w:bottom w:val="single" w:sz="8" w:space="0" w:color="auto"/>
              <w:right w:val="single" w:sz="8" w:space="0" w:color="auto"/>
            </w:tcBorders>
            <w:vAlign w:val="center"/>
            <w:hideMark/>
          </w:tcPr>
          <w:p w14:paraId="0067F1D7" w14:textId="77777777" w:rsidR="001A0C85" w:rsidRDefault="001A0C85" w:rsidP="00117834">
            <w:pPr>
              <w:jc w:val="center"/>
              <w:rPr>
                <w:color w:val="000000"/>
              </w:rPr>
            </w:pPr>
            <w:r>
              <w:rPr>
                <w:color w:val="000000"/>
              </w:rPr>
              <w:t>AV-2-2-28-230</w:t>
            </w:r>
          </w:p>
        </w:tc>
        <w:tc>
          <w:tcPr>
            <w:tcW w:w="1720" w:type="dxa"/>
            <w:tcBorders>
              <w:top w:val="nil"/>
              <w:left w:val="nil"/>
              <w:bottom w:val="single" w:sz="8" w:space="0" w:color="auto"/>
              <w:right w:val="single" w:sz="8" w:space="0" w:color="auto"/>
            </w:tcBorders>
            <w:vAlign w:val="center"/>
            <w:hideMark/>
          </w:tcPr>
          <w:p w14:paraId="2EB56B78" w14:textId="77777777" w:rsidR="001A0C85" w:rsidRDefault="001A0C85" w:rsidP="00117834">
            <w:pPr>
              <w:jc w:val="center"/>
              <w:rPr>
                <w:color w:val="000000"/>
              </w:rPr>
            </w:pPr>
            <w:r>
              <w:rPr>
                <w:color w:val="000000"/>
              </w:rPr>
              <w:t>Premier Western Properties LLC</w:t>
            </w:r>
          </w:p>
        </w:tc>
        <w:tc>
          <w:tcPr>
            <w:tcW w:w="1080" w:type="dxa"/>
            <w:tcBorders>
              <w:top w:val="nil"/>
              <w:left w:val="nil"/>
              <w:bottom w:val="single" w:sz="8" w:space="0" w:color="auto"/>
              <w:right w:val="single" w:sz="8" w:space="0" w:color="auto"/>
            </w:tcBorders>
            <w:vAlign w:val="center"/>
            <w:hideMark/>
          </w:tcPr>
          <w:p w14:paraId="00E8B470" w14:textId="77777777" w:rsidR="001A0C85" w:rsidRDefault="001A0C85" w:rsidP="00117834">
            <w:pPr>
              <w:jc w:val="center"/>
              <w:rPr>
                <w:color w:val="000000"/>
              </w:rPr>
            </w:pPr>
            <w:r>
              <w:rPr>
                <w:color w:val="000000"/>
              </w:rPr>
              <w:t>Estate Lots</w:t>
            </w:r>
          </w:p>
        </w:tc>
        <w:tc>
          <w:tcPr>
            <w:tcW w:w="1080" w:type="dxa"/>
            <w:tcBorders>
              <w:top w:val="nil"/>
              <w:left w:val="nil"/>
              <w:bottom w:val="single" w:sz="8" w:space="0" w:color="auto"/>
              <w:right w:val="single" w:sz="8" w:space="0" w:color="auto"/>
            </w:tcBorders>
            <w:vAlign w:val="center"/>
            <w:hideMark/>
          </w:tcPr>
          <w:p w14:paraId="7A5EE661" w14:textId="6E12099A" w:rsidR="001A0C85" w:rsidRDefault="001A0C85" w:rsidP="00117834">
            <w:pPr>
              <w:jc w:val="center"/>
              <w:rPr>
                <w:color w:val="000000"/>
              </w:rPr>
            </w:pPr>
            <w:r>
              <w:rPr>
                <w:color w:val="000000"/>
              </w:rPr>
              <w:t>9.65</w:t>
            </w:r>
          </w:p>
        </w:tc>
        <w:tc>
          <w:tcPr>
            <w:tcW w:w="1900" w:type="dxa"/>
            <w:tcBorders>
              <w:top w:val="nil"/>
              <w:left w:val="nil"/>
              <w:bottom w:val="single" w:sz="8" w:space="0" w:color="auto"/>
              <w:right w:val="single" w:sz="8" w:space="0" w:color="auto"/>
            </w:tcBorders>
            <w:noWrap/>
            <w:vAlign w:val="center"/>
            <w:hideMark/>
          </w:tcPr>
          <w:p w14:paraId="25B91233" w14:textId="77777777" w:rsidR="001A0C85" w:rsidRDefault="001A0C85" w:rsidP="00117834">
            <w:pPr>
              <w:jc w:val="center"/>
              <w:rPr>
                <w:color w:val="000000"/>
              </w:rPr>
            </w:pPr>
            <w:r>
              <w:rPr>
                <w:color w:val="000000"/>
              </w:rPr>
              <w:t>1,514,666.67</w:t>
            </w:r>
          </w:p>
        </w:tc>
      </w:tr>
      <w:tr w:rsidR="001A0C85" w14:paraId="612207FF" w14:textId="77777777" w:rsidTr="00117834">
        <w:trPr>
          <w:trHeight w:val="330"/>
          <w:jc w:val="center"/>
        </w:trPr>
        <w:tc>
          <w:tcPr>
            <w:tcW w:w="4850" w:type="dxa"/>
            <w:tcBorders>
              <w:top w:val="nil"/>
              <w:left w:val="single" w:sz="8" w:space="0" w:color="auto"/>
              <w:bottom w:val="single" w:sz="8" w:space="0" w:color="auto"/>
              <w:right w:val="single" w:sz="8" w:space="0" w:color="auto"/>
            </w:tcBorders>
            <w:vAlign w:val="center"/>
            <w:hideMark/>
          </w:tcPr>
          <w:p w14:paraId="2741F935" w14:textId="77777777" w:rsidR="001A0C85" w:rsidRDefault="001A0C85" w:rsidP="00117834">
            <w:pPr>
              <w:jc w:val="center"/>
              <w:rPr>
                <w:b/>
                <w:bCs/>
                <w:color w:val="000000"/>
              </w:rPr>
            </w:pPr>
            <w:r>
              <w:rPr>
                <w:b/>
                <w:bCs/>
                <w:color w:val="000000"/>
              </w:rPr>
              <w:t>Total</w:t>
            </w:r>
          </w:p>
        </w:tc>
        <w:tc>
          <w:tcPr>
            <w:tcW w:w="1720" w:type="dxa"/>
            <w:tcBorders>
              <w:top w:val="nil"/>
              <w:left w:val="nil"/>
              <w:bottom w:val="single" w:sz="8" w:space="0" w:color="auto"/>
              <w:right w:val="single" w:sz="8" w:space="0" w:color="auto"/>
            </w:tcBorders>
            <w:vAlign w:val="center"/>
            <w:hideMark/>
          </w:tcPr>
          <w:p w14:paraId="290227AB" w14:textId="77777777" w:rsidR="001A0C85" w:rsidRDefault="001A0C85" w:rsidP="00117834">
            <w:pPr>
              <w:jc w:val="center"/>
              <w:rPr>
                <w:color w:val="000000"/>
              </w:rPr>
            </w:pPr>
            <w:r>
              <w:rPr>
                <w:color w:val="000000"/>
              </w:rPr>
              <w:t> </w:t>
            </w:r>
          </w:p>
        </w:tc>
        <w:tc>
          <w:tcPr>
            <w:tcW w:w="1080" w:type="dxa"/>
            <w:tcBorders>
              <w:top w:val="nil"/>
              <w:left w:val="nil"/>
              <w:bottom w:val="single" w:sz="8" w:space="0" w:color="auto"/>
              <w:right w:val="single" w:sz="8" w:space="0" w:color="auto"/>
            </w:tcBorders>
            <w:vAlign w:val="center"/>
            <w:hideMark/>
          </w:tcPr>
          <w:p w14:paraId="52B8948D" w14:textId="77777777" w:rsidR="001A0C85" w:rsidRDefault="001A0C85" w:rsidP="00117834">
            <w:pPr>
              <w:jc w:val="center"/>
              <w:rPr>
                <w:color w:val="000000"/>
              </w:rPr>
            </w:pPr>
            <w:r>
              <w:rPr>
                <w:color w:val="000000"/>
              </w:rPr>
              <w:t> </w:t>
            </w:r>
          </w:p>
        </w:tc>
        <w:tc>
          <w:tcPr>
            <w:tcW w:w="1080" w:type="dxa"/>
            <w:tcBorders>
              <w:top w:val="nil"/>
              <w:left w:val="nil"/>
              <w:bottom w:val="single" w:sz="8" w:space="0" w:color="auto"/>
              <w:right w:val="single" w:sz="8" w:space="0" w:color="auto"/>
            </w:tcBorders>
            <w:vAlign w:val="center"/>
            <w:hideMark/>
          </w:tcPr>
          <w:p w14:paraId="0E27BF5D" w14:textId="450749CA" w:rsidR="001A0C85" w:rsidRDefault="001A0C85" w:rsidP="00117834">
            <w:pPr>
              <w:jc w:val="center"/>
              <w:rPr>
                <w:b/>
                <w:bCs/>
                <w:color w:val="000000"/>
              </w:rPr>
            </w:pPr>
            <w:r>
              <w:rPr>
                <w:b/>
                <w:bCs/>
                <w:color w:val="000000"/>
              </w:rPr>
              <w:t>190.65</w:t>
            </w:r>
          </w:p>
        </w:tc>
        <w:tc>
          <w:tcPr>
            <w:tcW w:w="1900" w:type="dxa"/>
            <w:tcBorders>
              <w:top w:val="nil"/>
              <w:left w:val="nil"/>
              <w:bottom w:val="single" w:sz="8" w:space="0" w:color="auto"/>
              <w:right w:val="single" w:sz="8" w:space="0" w:color="auto"/>
            </w:tcBorders>
            <w:vAlign w:val="center"/>
            <w:hideMark/>
          </w:tcPr>
          <w:p w14:paraId="25E519F8" w14:textId="43A69323" w:rsidR="001A0C85" w:rsidRDefault="001A0C85" w:rsidP="00117834">
            <w:pPr>
              <w:jc w:val="center"/>
              <w:rPr>
                <w:b/>
                <w:bCs/>
                <w:color w:val="000000"/>
              </w:rPr>
            </w:pPr>
            <w:r>
              <w:rPr>
                <w:b/>
                <w:bCs/>
                <w:color w:val="000000"/>
              </w:rPr>
              <w:t>29,918,000</w:t>
            </w:r>
          </w:p>
        </w:tc>
      </w:tr>
    </w:tbl>
    <w:p w14:paraId="4D217704" w14:textId="77777777" w:rsidR="0098400A" w:rsidRDefault="001A5D9B" w:rsidP="001A5D9B">
      <w:r>
        <w:t>*Figures have been rounded</w:t>
      </w:r>
    </w:p>
    <w:p w14:paraId="17DFB5B6" w14:textId="77777777" w:rsidR="009009C3" w:rsidRPr="009009C3" w:rsidRDefault="009009C3" w:rsidP="001A5D9B">
      <w:pPr>
        <w:rPr>
          <w:sz w:val="28"/>
          <w:szCs w:val="28"/>
        </w:rPr>
      </w:pPr>
      <w:r>
        <w:t>**Initially, the Assessments are allocated in aggregate to the entirety of the listed Owner’s parcels. Includes parcels which may be entirely or partially within the Assessment Area.</w:t>
      </w:r>
    </w:p>
    <w:p w14:paraId="7C4AD81C" w14:textId="77777777" w:rsidR="00A2303B" w:rsidRDefault="00A2303B">
      <w:pPr>
        <w:rPr>
          <w:u w:val="single"/>
        </w:rPr>
      </w:pPr>
      <w:r>
        <w:rPr>
          <w:u w:val="single"/>
        </w:rPr>
        <w:br w:type="page"/>
      </w:r>
    </w:p>
    <w:p w14:paraId="5E51B7EF" w14:textId="77777777" w:rsidR="000E50B2" w:rsidRPr="000E50B2" w:rsidRDefault="000E50B2" w:rsidP="000E50B2">
      <w:pPr>
        <w:keepNext/>
        <w:spacing w:after="240"/>
        <w:jc w:val="center"/>
        <w:rPr>
          <w:u w:val="single"/>
        </w:rPr>
      </w:pPr>
      <w:r>
        <w:rPr>
          <w:u w:val="single"/>
        </w:rPr>
        <w:lastRenderedPageBreak/>
        <w:t>Legal Description</w:t>
      </w:r>
    </w:p>
    <w:p w14:paraId="000A3F25" w14:textId="77777777" w:rsidR="000E50B2" w:rsidRDefault="000E50B2" w:rsidP="000E50B2">
      <w:pPr>
        <w:spacing w:after="240"/>
        <w:ind w:firstLine="720"/>
        <w:jc w:val="both"/>
      </w:pPr>
      <w:r>
        <w:t xml:space="preserve">The Assessment Area is more particularly described as follows:  </w:t>
      </w:r>
    </w:p>
    <w:p w14:paraId="24251076" w14:textId="77777777" w:rsidR="00B5399E" w:rsidRPr="00CD0966" w:rsidRDefault="00B5399E" w:rsidP="00B5399E">
      <w:pPr>
        <w:spacing w:after="160" w:line="278" w:lineRule="auto"/>
        <w:jc w:val="both"/>
        <w:rPr>
          <w:rFonts w:eastAsia="Aptos"/>
          <w:b/>
          <w:bCs/>
          <w:kern w:val="2"/>
          <w:u w:val="single"/>
          <w14:ligatures w14:val="standardContextual"/>
        </w:rPr>
      </w:pPr>
      <w:r>
        <w:rPr>
          <w:rFonts w:eastAsia="Aptos"/>
          <w:b/>
          <w:bCs/>
          <w:kern w:val="2"/>
          <w:u w:val="single"/>
          <w14:ligatures w14:val="standardContextual"/>
        </w:rPr>
        <w:t>Initial District Boundaries</w:t>
      </w:r>
      <w:r>
        <w:rPr>
          <w:rFonts w:eastAsia="Aptos"/>
          <w:b/>
          <w:bCs/>
          <w:kern w:val="2"/>
          <w14:ligatures w14:val="standardContextual"/>
        </w:rPr>
        <w:t xml:space="preserve">: </w:t>
      </w:r>
    </w:p>
    <w:p w14:paraId="3CF5442E" w14:textId="77777777" w:rsidR="00B5399E" w:rsidRPr="00CD0966" w:rsidRDefault="00B5399E" w:rsidP="00B5399E">
      <w:pPr>
        <w:spacing w:after="160" w:line="278" w:lineRule="auto"/>
        <w:jc w:val="both"/>
        <w:rPr>
          <w:rFonts w:eastAsia="Aptos"/>
          <w:kern w:val="2"/>
          <w14:ligatures w14:val="standardContextual"/>
        </w:rPr>
      </w:pPr>
      <w:r>
        <w:rPr>
          <w:rFonts w:eastAsia="Aptos"/>
          <w:kern w:val="2"/>
          <w14:ligatures w14:val="standardContextual"/>
        </w:rPr>
        <w:t>A TRACT OF LAND IN THE NORTH 112 OF SECTION 27, TOWNSHIP 42 SOUTH, RANGE 12 WEST, SALT LAKE BASE AND MERIDIAN IN WASHINGTON COUNTY, UTAH MORE PARTICULARLY DESCRIBED AS FOLLOWS:</w:t>
      </w:r>
    </w:p>
    <w:p w14:paraId="28455A80" w14:textId="77777777" w:rsidR="00B5399E" w:rsidRPr="00CD0966" w:rsidRDefault="00B5399E" w:rsidP="00B5399E">
      <w:pPr>
        <w:spacing w:after="160" w:line="278" w:lineRule="auto"/>
        <w:jc w:val="both"/>
        <w:rPr>
          <w:rFonts w:eastAsia="Aptos"/>
          <w:kern w:val="2"/>
          <w14:ligatures w14:val="standardContextual"/>
        </w:rPr>
      </w:pPr>
      <w:r>
        <w:rPr>
          <w:rFonts w:eastAsia="Aptos"/>
          <w:kern w:val="2"/>
          <w14:ligatures w14:val="standardContextual"/>
        </w:rPr>
        <w:t>BEGINNING AT A ROSENBERG REBAR AND CAP LYING 659.96 FEET S88°58'18"E ALONG THE EAST/WEST QUARTER SECTION LINE OF SAID SECTION 27, FROM A NAIL MONUMENTING THE WEST ¼ CORNER OF SAID SECTION 27; RUNNING THENCE N01°02'30"E 1319.57 FEET TO THE SOUTH LINE OF THE NORTHWEST QUARTER OF THE NORTHWEST QUARTER OF SAID SECTION 27 AND TO A ROSENBERG REBAR AND CAP; IBENCE S88°58'03"E 782.99 FEET ALONG SAID NORTHWEST 1116TH LINE TO THE FLOWLINE OF GOULDS WASH; THENCE ALONG THE FLOWLINE OF GOULDS WASH THE FOLLOWING (22) TWENTY-TWO COURSES, (1) N68°02’23"E 25.84 FEET TO THE BEGINNING OF A CURVE, (2) SAID CURVE TURNING TO THE LEFT THROUGH A CENTRAL ANGLE OF 26°03'06", HAVING A RADIUS OF 59.43 FEET AND WHOSE LONG CHORD BEARS N55°00'48"E 26.79 FEET TO THE BEGINNING OF A COMPOUND CURVE, (3) SAID CURVE TURNING TO THE LEFT THROUGH A CENTRAL ANGLE OF 12°31'03", HAVING A RADIUS OF 129.84 FEET AND WHOSE LONG CHORD BEARS N35°43'44"E 28.31 FEET, (4) THENCE N29°28'16"E 75.24 FEET TO THE BEGINNING OF A CURVE, (5) SAID CURVE TURNING TO THE RIGHT THROUGH A CENTRAL ANGLE OF 10°24'14", HAVING A RADIUS OF 383.00 FEET AND WHOSE LONG CHORD BEARS N34°40'24"E 69.45 FEET, (6) THENCE N39°52'31"E 232.66 FEET TO THE BEGINNING OF A CURVE, (7) SAID CURVE TURNING TO THE RIGHT THROUGH A CENTRAL ANGLE OF 10°24'51", HAVING A RADIUS OF 722.00 FEET AND WHOSE LONG CHORD BEARS N45°04'56"E 131.05 FEET, (8) THENCE N50°17'21"E 25.98 FEET TO THE BEGINNING OF A CURVE, (9) SAID CURVE TURNING TO THE RIGHT THROUGH A CENTRAL ANGLE OF 11°42'18" HAVING A RADIUS OF 333.00 FEET AND WHOSE LONG CHORD BEARS N56°08'29"E 67.91 FEET, (10) THENCE N61°59'37"E 80.09 FEET TO THE BEGINNING OF A CURVE, (11) SAID CURVE TURNING TO THE RIGHT THROUGH A CENTRAL ANGLE OF 07°33'12", HAVING A RADIUS OF 680.00 FEET AND WHOSE LONG CHORD BEARS N65°46'12"E 89.58 FEET, (12) THENCE N89°32'48"E 109.15 FEET TO THE BEGINNING OF A CURVE, (13) SAID CURVE TURNING TO THE LEFT THROUGH A CENTRAL ANGLE OF 07°33'57"', HAVING A RADIUS OF 733.00 FEET AND WHOSE LONG CHORD BEARS N65°45'50"E 96.72 FEET TO THE BEGINNING OF A REVERSE CURVE, (14) SAID CURVE TURNING TO THE RIGHT THROUGH A CENTRAL ANGLE OF 12°06'57", HAVING A RADIUS OF 600.00 FEET AND WHOSE LONG CHORD BEARS</w:t>
      </w:r>
    </w:p>
    <w:p w14:paraId="07ADA669" w14:textId="77777777" w:rsidR="00B5399E" w:rsidRPr="00CD0966" w:rsidRDefault="00B5399E" w:rsidP="00B5399E">
      <w:pPr>
        <w:spacing w:after="160" w:line="278" w:lineRule="auto"/>
        <w:jc w:val="both"/>
        <w:rPr>
          <w:rFonts w:eastAsia="Aptos"/>
          <w:kern w:val="2"/>
          <w14:ligatures w14:val="standardContextual"/>
        </w:rPr>
      </w:pPr>
      <w:r>
        <w:rPr>
          <w:rFonts w:eastAsia="Aptos"/>
          <w:kern w:val="2"/>
          <w14:ligatures w14:val="standardContextual"/>
        </w:rPr>
        <w:t xml:space="preserve">N68°02'20"E 126.64 FEET, (15) THENCE N74°05'49"E 34.20 FEET TO THE BEGINNING OF A CURVE, (16) SAID CURVE TURNING TO THE LEFT THROUGH A CENTRAL ANGLE OF </w:t>
      </w:r>
      <w:r>
        <w:rPr>
          <w:rFonts w:eastAsia="Aptos"/>
          <w:kern w:val="2"/>
          <w14:ligatures w14:val="standardContextual"/>
        </w:rPr>
        <w:lastRenderedPageBreak/>
        <w:t>16°18'36", HAVING A RADIUS OF 135.00 FEET AND WHOSE LONG CHORD BEARS N66°01'00"E 38.30 FEET TO THE BEGINNING OF A CURVE, (17) SAID CURVE TURNING TO THE LEFT THROUGH A CENTRAL ANGLE OF 15°33'56", HAVING A RADIUS OF 288.00 FEET AND WHOSE LONG CHORD BEARS N50°04'46"E 78.00 FEET, (18) THENCE N42°13'21"E 72.34 FEET, (19) THENCE N47°38'32"E 31.86 FEET, (20) THENCE N75°20'07”E 28.74 FEET, (21) THENCE N81°25'42"E 33.64 FEET, (22) THENCE S80°29'21"E 34.72 FEET TO THE NORTH/SOUTH QUARTER SECTION LINE OF SAID SECTION 27; THENCE N01°02’39"E 280.59 FEET ALONG SAID QUARTER SECTION LINE; THENCE S88°59'23"E 1117.50 FEET; THENCE S01°01'44"W 199.84 FEET; THENCE S88°59'23"E 425.00 FEET; THENCE S01°01'44'W 954.76 FEET TO THE SOUTH LINE OF THE NORTHWEST QUARTER OF THE NORTHEAST QUARTER OF SAID SECTION 27; THENCE N88'59’06"W 1542.81 FEET ALONG SAID NORTHEAST CENTER 1116TH LINE TO A ROSENBERG REBAR AND CAP MONUMENTING THE CENTER NORTH 1116TH CORNER OF SAID SECTION 27; THENCE S01°03'33'W 559.17 FEET ALONG SAID NORTH/SOUTH QUARTER SECTION LINE TO A FOUND ½" REBAR; THENCE S60°04'14'W 760.71 FEET TO A ROSENBERG REBAR AND CAP; THENCE N00°54'20"E 15.25 FEET TO A ROSENBERG REBAR AND CAP; THENCE S61°05'34"W 400.04 FEET TO A ROSENBERG REBAR AND CAP; THENCE S01°01'23"W 184.57 FEET TO A ROSENBERG REBAR AND CAP; THENCE N88°58'18"W 980.90 FEET TO THE POINT OF BEGINNING.</w:t>
      </w:r>
    </w:p>
    <w:p w14:paraId="2BD5CFAE" w14:textId="77777777" w:rsidR="00B5399E" w:rsidRDefault="00B5399E" w:rsidP="00B5399E">
      <w:pPr>
        <w:spacing w:after="160" w:line="278" w:lineRule="auto"/>
        <w:jc w:val="both"/>
        <w:rPr>
          <w:rFonts w:eastAsia="Aptos"/>
          <w:kern w:val="2"/>
          <w14:ligatures w14:val="standardContextual"/>
        </w:rPr>
      </w:pPr>
      <w:r>
        <w:rPr>
          <w:rFonts w:eastAsia="Aptos"/>
          <w:kern w:val="2"/>
          <w14:ligatures w14:val="standardContextual"/>
        </w:rPr>
        <w:t>CONTAINING 102.80 ACRES MORE OR LESS.</w:t>
      </w:r>
    </w:p>
    <w:p w14:paraId="448D0F44" w14:textId="77777777" w:rsidR="00B5399E" w:rsidRPr="00CD0966" w:rsidRDefault="00B5399E" w:rsidP="00B5399E">
      <w:pPr>
        <w:spacing w:after="160" w:line="278" w:lineRule="auto"/>
        <w:jc w:val="both"/>
        <w:rPr>
          <w:rFonts w:eastAsia="Aptos"/>
          <w:b/>
          <w:bCs/>
          <w:kern w:val="2"/>
          <w14:ligatures w14:val="standardContextual"/>
        </w:rPr>
      </w:pPr>
      <w:r>
        <w:rPr>
          <w:rFonts w:eastAsia="Aptos"/>
          <w:b/>
          <w:bCs/>
          <w:kern w:val="2"/>
          <w:u w:val="single"/>
          <w14:ligatures w14:val="standardContextual"/>
        </w:rPr>
        <w:t>Annexation No. 1</w:t>
      </w:r>
      <w:r>
        <w:rPr>
          <w:rFonts w:eastAsia="Aptos"/>
          <w:b/>
          <w:bCs/>
          <w:kern w:val="2"/>
          <w14:ligatures w14:val="standardContextual"/>
        </w:rPr>
        <w:t>:</w:t>
      </w:r>
    </w:p>
    <w:p w14:paraId="728F815C" w14:textId="77777777" w:rsidR="00B5399E" w:rsidRPr="00772842" w:rsidRDefault="00B5399E" w:rsidP="00B5399E">
      <w:pPr>
        <w:spacing w:after="160" w:line="278" w:lineRule="auto"/>
        <w:jc w:val="both"/>
        <w:rPr>
          <w:rFonts w:eastAsia="Aptos"/>
          <w:kern w:val="2"/>
          <w14:ligatures w14:val="standardContextual"/>
        </w:rPr>
      </w:pPr>
      <w:r>
        <w:rPr>
          <w:rFonts w:eastAsia="Aptos"/>
          <w:kern w:val="2"/>
          <w14:ligatures w14:val="standardContextual"/>
        </w:rPr>
        <w:t>A PARCEL OF LAND LOCATED IN THE SE 1/4 OF SECTION 21, THE W 1/2 OF SECTION 27, AND THE E 1/2 OF SECTION 28, TOWNSHIP 42 SOUTH, RANGE 12 WEST OF THE SALT LAKE BASE AND MERIDIAN, WASHINGTON COUNTY, UTAH AND BEING MORE PARTICULARLY DESCRIBED AS FOLLOWS:</w:t>
      </w:r>
    </w:p>
    <w:p w14:paraId="0662A893" w14:textId="77777777" w:rsidR="00B5399E" w:rsidRPr="00772842" w:rsidRDefault="00B5399E" w:rsidP="00B5399E">
      <w:pPr>
        <w:spacing w:after="160" w:line="278" w:lineRule="auto"/>
        <w:jc w:val="both"/>
        <w:rPr>
          <w:rFonts w:eastAsia="Aptos"/>
          <w:kern w:val="2"/>
          <w14:ligatures w14:val="standardContextual"/>
        </w:rPr>
      </w:pPr>
      <w:r>
        <w:rPr>
          <w:rFonts w:eastAsia="Aptos"/>
          <w:kern w:val="2"/>
          <w14:ligatures w14:val="standardContextual"/>
        </w:rPr>
        <w:t>BEGINNING AT THE NORTH QUARTER CORNER OF SAID SECTION 28 MARKED BY A 2.5 INCH 1909 GLO BRASS CAP, WHENCE THE SOUTH QUARTER CORNER OF SAID SECTION 28, MARKED BY A 2.5 INCH 1909 GLO BRASS CAP BEARS SOUTH 00'02'37" EAST A DISTANCE OF 5277.69 FEET, SAID LINE FORMING THE BASIS OF BEARINGS FOR THIS DESCRIPTION;</w:t>
      </w:r>
    </w:p>
    <w:p w14:paraId="11E9D683" w14:textId="77777777" w:rsidR="00B5399E" w:rsidRPr="00772842" w:rsidRDefault="00B5399E" w:rsidP="00B5399E">
      <w:pPr>
        <w:spacing w:after="160" w:line="278" w:lineRule="auto"/>
        <w:jc w:val="both"/>
        <w:rPr>
          <w:rFonts w:eastAsia="Aptos"/>
          <w:kern w:val="2"/>
          <w14:ligatures w14:val="standardContextual"/>
        </w:rPr>
      </w:pPr>
      <w:r>
        <w:rPr>
          <w:rFonts w:eastAsia="Aptos"/>
          <w:kern w:val="2"/>
          <w14:ligatures w14:val="standardContextual"/>
        </w:rPr>
        <w:t>THENCE NORTH 00'04'35" WEST ALONG THE WESTERLY LINE OF THE SAID SOUTHEAST QUARTER OF SECTION 21 A DISTANCE OF 1317.32 FEET TO THE EAST-WEST CENTERLINE OF SAID SOUTHEAST QUARTER AND A NO. 5 REBAR WITH PLASTIC CAP STAMPED "PLS334569";</w:t>
      </w:r>
    </w:p>
    <w:p w14:paraId="52D72187" w14:textId="77777777" w:rsidR="00B5399E" w:rsidRPr="00772842" w:rsidRDefault="00B5399E" w:rsidP="00B5399E">
      <w:pPr>
        <w:spacing w:after="160" w:line="278" w:lineRule="auto"/>
        <w:jc w:val="both"/>
        <w:rPr>
          <w:rFonts w:eastAsia="Aptos"/>
          <w:kern w:val="2"/>
          <w14:ligatures w14:val="standardContextual"/>
        </w:rPr>
      </w:pPr>
      <w:r>
        <w:rPr>
          <w:rFonts w:eastAsia="Aptos"/>
          <w:kern w:val="2"/>
          <w14:ligatures w14:val="standardContextual"/>
        </w:rPr>
        <w:t>THENCE NORTH 89'58'23" EAST ALONG SAID EAST-WEST CENTERLINE A DISTANCE OF 2637.26 FEET TO THE EASTERLY LINE OF SAID SECTION 21 AND A NO. 4 REBAR WITH PLASTIC CAP STAMPED "B&amp;C LS4490";</w:t>
      </w:r>
    </w:p>
    <w:p w14:paraId="222E0BE4" w14:textId="77777777" w:rsidR="00B5399E" w:rsidRPr="00772842" w:rsidRDefault="00B5399E" w:rsidP="00B5399E">
      <w:pPr>
        <w:spacing w:after="160" w:line="278" w:lineRule="auto"/>
        <w:jc w:val="both"/>
        <w:rPr>
          <w:rFonts w:eastAsia="Aptos"/>
          <w:kern w:val="2"/>
          <w14:ligatures w14:val="standardContextual"/>
        </w:rPr>
      </w:pPr>
      <w:r>
        <w:rPr>
          <w:rFonts w:eastAsia="Aptos"/>
          <w:kern w:val="2"/>
          <w14:ligatures w14:val="standardContextual"/>
        </w:rPr>
        <w:lastRenderedPageBreak/>
        <w:t>THENCE SOUTH 00'03'23" EAST ALONG SAID EASTERLY LINE A DISTANCE OF 1317.94 FEET TO THE SECTION CORNER COMMON TO SECTIONS 21, 22, 27 AND 28, MARKED BY 2.5 INCH 1909 G.LO. BRASS CAP;</w:t>
      </w:r>
    </w:p>
    <w:p w14:paraId="5B8AE71E" w14:textId="77777777" w:rsidR="00B5399E" w:rsidRPr="00772842" w:rsidRDefault="00B5399E" w:rsidP="00B5399E">
      <w:pPr>
        <w:spacing w:after="160" w:line="278" w:lineRule="auto"/>
        <w:jc w:val="both"/>
        <w:rPr>
          <w:rFonts w:eastAsia="Aptos"/>
          <w:kern w:val="2"/>
          <w14:ligatures w14:val="standardContextual"/>
        </w:rPr>
      </w:pPr>
      <w:r>
        <w:rPr>
          <w:rFonts w:eastAsia="Aptos"/>
          <w:kern w:val="2"/>
          <w14:ligatures w14:val="standardContextual"/>
        </w:rPr>
        <w:t>THENCE NORTH 89'55'04" EAST ALONG THE NORTHERLY LINE OF SAID SECTION 27 A DISTANCE OF 1320.19 FEET TO THE EASTERLY LINE OF THE NORTHWEST QUARTER OF THE NORTHWEST QUARTER OF SAID SECTION 27 AND A NO. 4 REBAR WITH PLASTIC CAP ILLEGIBLE;</w:t>
      </w:r>
    </w:p>
    <w:p w14:paraId="7AD15A10" w14:textId="77777777" w:rsidR="00B5399E" w:rsidRPr="00772842" w:rsidRDefault="00B5399E" w:rsidP="00B5399E">
      <w:pPr>
        <w:spacing w:after="160" w:line="278" w:lineRule="auto"/>
        <w:jc w:val="both"/>
        <w:rPr>
          <w:rFonts w:eastAsia="Aptos"/>
          <w:kern w:val="2"/>
          <w14:ligatures w14:val="standardContextual"/>
        </w:rPr>
      </w:pPr>
      <w:r>
        <w:rPr>
          <w:rFonts w:eastAsia="Aptos"/>
          <w:kern w:val="2"/>
          <w14:ligatures w14:val="standardContextual"/>
        </w:rPr>
        <w:t>THENCE SOUTH 00'04'17" EAST ALONG SAID EASTERLY LINE A DISTANCE OF 1319.48 FEET TO THE SOUTHERLY LINE OF SAID NORTHWEST QUARTER OF THE NORTHWEST QUARTER AND A NO. 4 REBAR WITH PLASTIC CAP STAMPED ''PRATT ENG BET 4804865";</w:t>
      </w:r>
    </w:p>
    <w:p w14:paraId="4C7914CB" w14:textId="77777777" w:rsidR="00B5399E" w:rsidRPr="00772842" w:rsidRDefault="00B5399E" w:rsidP="00B5399E">
      <w:pPr>
        <w:spacing w:after="160" w:line="278" w:lineRule="auto"/>
        <w:jc w:val="both"/>
        <w:rPr>
          <w:rFonts w:eastAsia="Aptos"/>
          <w:kern w:val="2"/>
          <w14:ligatures w14:val="standardContextual"/>
        </w:rPr>
      </w:pPr>
      <w:r>
        <w:rPr>
          <w:rFonts w:eastAsia="Aptos"/>
          <w:kern w:val="2"/>
          <w14:ligatures w14:val="standardContextual"/>
        </w:rPr>
        <w:t>THENCE SOUTH 89'54'47" WEST ALONG SAID SOUTHERLY LINE A DISTANCE OF 659.92 FEET TO THE EASTERLY LINE OF THE WEST HALF OF THE SOUTHWEST QUARTER OF THE NORTHWEST QUARTER OF SAID SECTION 27 AND A NO. 4 REBAR WITH PLASTIC CAP STAMPED "ROSENBERG";</w:t>
      </w:r>
    </w:p>
    <w:p w14:paraId="5C1F88AF" w14:textId="77777777" w:rsidR="00B5399E" w:rsidRPr="00772842" w:rsidRDefault="00B5399E" w:rsidP="00B5399E">
      <w:pPr>
        <w:spacing w:after="160" w:line="278" w:lineRule="auto"/>
        <w:jc w:val="both"/>
        <w:rPr>
          <w:rFonts w:eastAsia="Aptos"/>
          <w:kern w:val="2"/>
          <w14:ligatures w14:val="standardContextual"/>
        </w:rPr>
      </w:pPr>
      <w:r>
        <w:rPr>
          <w:rFonts w:eastAsia="Aptos"/>
          <w:kern w:val="2"/>
          <w14:ligatures w14:val="standardContextual"/>
        </w:rPr>
        <w:t>THENCE SOUTH 00'04'51" EAST ALONG SAID EASTERLY LINE A DISTANCE OF 1319.51 FEET TO THE SOUTHERLY LINE OF SAID NORTHWEST QUARTER OF SECTION 27 AND A NO. 5 REBAR WITH PLASTIC CAP STAMPED "ROSENBERG";</w:t>
      </w:r>
    </w:p>
    <w:p w14:paraId="40CB92B7" w14:textId="77777777" w:rsidR="00B5399E" w:rsidRPr="00772842" w:rsidRDefault="00B5399E" w:rsidP="00B5399E">
      <w:pPr>
        <w:spacing w:after="160" w:line="278" w:lineRule="auto"/>
        <w:jc w:val="both"/>
        <w:rPr>
          <w:rFonts w:eastAsia="Aptos"/>
          <w:kern w:val="2"/>
          <w14:ligatures w14:val="standardContextual"/>
        </w:rPr>
      </w:pPr>
      <w:r>
        <w:rPr>
          <w:rFonts w:eastAsia="Aptos"/>
          <w:kern w:val="2"/>
          <w14:ligatures w14:val="standardContextual"/>
        </w:rPr>
        <w:t>THENCE NORTH 89'54'46" EAST ALONG SAID SOUTHERLY LINE A DISTANCE OF 420.93 FEET TO NORTHWEST CORNER OF A PARCEL DESCRIBED IN ENTRY NO. 20110014293 AND A MAG NAIL SET IN THE CONCRETE PATH; THENCE SOUTH 00'04'41" EAST A DISTANCE OF 2639.07 FEET TO THE SOUTHERLY LINE OF SAID SECTION 27 AND A NO. 4 REBAR WITH CAP STAMPED "CORNERPOINT";</w:t>
      </w:r>
    </w:p>
    <w:p w14:paraId="5CC85AF5" w14:textId="77777777" w:rsidR="00B5399E" w:rsidRPr="00772842" w:rsidRDefault="00B5399E" w:rsidP="00B5399E">
      <w:pPr>
        <w:spacing w:after="160" w:line="278" w:lineRule="auto"/>
        <w:jc w:val="both"/>
        <w:rPr>
          <w:rFonts w:eastAsia="Aptos"/>
          <w:kern w:val="2"/>
          <w14:ligatures w14:val="standardContextual"/>
        </w:rPr>
      </w:pPr>
      <w:r>
        <w:rPr>
          <w:rFonts w:eastAsia="Aptos"/>
          <w:kern w:val="2"/>
          <w14:ligatures w14:val="standardContextual"/>
        </w:rPr>
        <w:t>THENCE SOUTH 89'53'26" WEST ALONG SAID SOUTHERLY LINE A DISTANCE OF 1080.43 FEET TO THE SECTION CORNER COMMON TO SECTIONS 27, 28, 33 AND 34, MARKED BY A 1909 GLO BRASS CAP;</w:t>
      </w:r>
    </w:p>
    <w:p w14:paraId="0D56591A" w14:textId="77777777" w:rsidR="00B5399E" w:rsidRPr="00772842" w:rsidRDefault="00B5399E" w:rsidP="00B5399E">
      <w:pPr>
        <w:spacing w:after="160" w:line="278" w:lineRule="auto"/>
        <w:jc w:val="both"/>
        <w:rPr>
          <w:rFonts w:eastAsia="Aptos"/>
          <w:kern w:val="2"/>
          <w14:ligatures w14:val="standardContextual"/>
        </w:rPr>
      </w:pPr>
      <w:r>
        <w:rPr>
          <w:rFonts w:eastAsia="Aptos"/>
          <w:kern w:val="2"/>
          <w14:ligatures w14:val="standardContextual"/>
        </w:rPr>
        <w:t>THENCE NORTH 89'59'32" WEST ALONG THE SOUTHERLY LINE OF THE SOUTHEAST QUARTER OF SAID SECTION 28 A DISTANCE OF 2640.65 FEET TO THE SOUTH QUARTER CORNER OF SAID SECTION 28, MARKED BY A 1909 GLO BRASS CAP;</w:t>
      </w:r>
    </w:p>
    <w:p w14:paraId="44A4E3BB" w14:textId="77777777" w:rsidR="00B5399E" w:rsidRDefault="00B5399E" w:rsidP="00B5399E">
      <w:pPr>
        <w:spacing w:after="160" w:line="278" w:lineRule="auto"/>
        <w:jc w:val="both"/>
        <w:rPr>
          <w:rFonts w:eastAsia="Aptos"/>
          <w:kern w:val="2"/>
          <w14:ligatures w14:val="standardContextual"/>
        </w:rPr>
      </w:pPr>
      <w:r>
        <w:rPr>
          <w:rFonts w:eastAsia="Aptos"/>
          <w:kern w:val="2"/>
          <w14:ligatures w14:val="standardContextual"/>
        </w:rPr>
        <w:t>THENCE NORTH 00'02'37" WEST ALONG SAID WESTERLY LINE A DISTANCE OF 5277.69 FEET THE POINT OF BEGINNING.</w:t>
      </w:r>
    </w:p>
    <w:p w14:paraId="04C15A00" w14:textId="77777777" w:rsidR="00B5399E" w:rsidRDefault="00B5399E" w:rsidP="00B5399E">
      <w:r>
        <w:t>SAID PARCEL CONTAINS 22,866,893 SQUARE FEET OR 524.952 ACRES.</w:t>
      </w:r>
      <w:r>
        <w:br w:type="page"/>
      </w:r>
    </w:p>
    <w:p w14:paraId="08A6560B" w14:textId="77777777" w:rsidR="00B5399E" w:rsidRDefault="00B5399E" w:rsidP="00B5399E">
      <w:pPr>
        <w:jc w:val="both"/>
      </w:pPr>
    </w:p>
    <w:p w14:paraId="703FA5A1" w14:textId="77777777" w:rsidR="00B5399E" w:rsidRPr="00CD0966" w:rsidRDefault="00B5399E" w:rsidP="00B5399E">
      <w:pPr>
        <w:spacing w:after="160" w:line="278" w:lineRule="auto"/>
        <w:jc w:val="both"/>
        <w:rPr>
          <w:rFonts w:eastAsia="Aptos"/>
          <w:b/>
          <w:bCs/>
          <w:kern w:val="2"/>
          <w14:ligatures w14:val="standardContextual"/>
        </w:rPr>
      </w:pPr>
      <w:r>
        <w:rPr>
          <w:rFonts w:eastAsia="Aptos"/>
          <w:b/>
          <w:bCs/>
          <w:kern w:val="2"/>
          <w:u w:val="single"/>
          <w14:ligatures w14:val="standardContextual"/>
        </w:rPr>
        <w:t>Annexation No. 2</w:t>
      </w:r>
      <w:r>
        <w:rPr>
          <w:rFonts w:eastAsia="Aptos"/>
          <w:b/>
          <w:bCs/>
          <w:kern w:val="2"/>
          <w14:ligatures w14:val="standardContextual"/>
        </w:rPr>
        <w:t>:</w:t>
      </w:r>
    </w:p>
    <w:p w14:paraId="54C2162F" w14:textId="77777777" w:rsidR="00B5399E" w:rsidRPr="00F911E7" w:rsidRDefault="00B5399E" w:rsidP="00B5399E">
      <w:r>
        <w:t xml:space="preserve">A PARCEL OF LAND LOCATED IN THE WEST HALF OF SECTION 27, TOWNSHIP 42 SOUTH, RANGE 12 WEST OF THE SALT LAKE BASE AND MERIDIAN, WASHINGTON COUNTY, UTAH AND BEING MORE PARTICULARLY DESCRIBED AS FOLLOWS: </w:t>
      </w:r>
    </w:p>
    <w:p w14:paraId="34D9FD4A" w14:textId="77777777" w:rsidR="00B5399E" w:rsidRPr="00F911E7" w:rsidRDefault="00B5399E" w:rsidP="00B5399E">
      <w:r>
        <w:t xml:space="preserve">BEGINNING AT THE SOUTH QUARTER CORNER OF SAID SECTION 27 MARKED BY AN IRON PIPE, WHENCE THE SOUTHWEST CORNER OF SAID SECTION 27, MARKED BY A 2.5 INCH 1909 GLO BRASS CAP BEARS SOUTH 89°53'26" WEST A DISTANCE OF 2638.12 FEET, SAID LINE FORMING THE BASIS OF BEARINGS FOR THIS DESCRIPTION; </w:t>
      </w:r>
    </w:p>
    <w:p w14:paraId="29D6CF29" w14:textId="77777777" w:rsidR="00B5399E" w:rsidRPr="00F911E7" w:rsidRDefault="00B5399E" w:rsidP="00B5399E">
      <w:r>
        <w:t xml:space="preserve">THENCE SOUTH 89°53'26" WEST ALONG THE SOUTHERLY LINE OF THE SOUTHWEST QUARTER OF SAID SECTION 27 A DISTANCE OF 1557.69 FEET TO A NO. 4 REBAR WITH PLASTIC CAP STAMPED "CORNERPOINT"; </w:t>
      </w:r>
    </w:p>
    <w:p w14:paraId="30D6121D" w14:textId="77777777" w:rsidR="00B5399E" w:rsidRPr="00F911E7" w:rsidRDefault="00B5399E" w:rsidP="00B5399E">
      <w:r>
        <w:t xml:space="preserve">THENCE NORTH 00°04'41" WEST ALONG THE LINE COMMON TO PARCELS AV-2194-D-OR1 AND AV-2194-C A DISTANCE OF 2639.07 FEET TO THE NORTHERLY LINE OF SAID SOUTHWEST QUARTER, MARKED BY A MAG NAIL IN CONCRETE; </w:t>
      </w:r>
    </w:p>
    <w:p w14:paraId="1F81C18C" w14:textId="77777777" w:rsidR="00B5399E" w:rsidRPr="00F911E7" w:rsidRDefault="00B5399E" w:rsidP="00B5399E">
      <w:r>
        <w:t xml:space="preserve">THENCE NORTH 89°54'46" EAST ALONG SAID NORTHERLY LINE A DISTANCE OF 560.03 FEET TO THE LINE COMMON TO PARCELS AV-2-2-27-432-OR2 AND AV-2194-A A DISTANCE OF 560.03 FEET; </w:t>
      </w:r>
    </w:p>
    <w:p w14:paraId="4FEAD79F" w14:textId="77777777" w:rsidR="00B5399E" w:rsidRPr="00F911E7" w:rsidRDefault="00B5399E" w:rsidP="00B5399E">
      <w:r>
        <w:t>THENCE ALONG SAID COMMON LINE THE FOLLOWING THREE (3) COURSES:</w:t>
      </w:r>
    </w:p>
    <w:p w14:paraId="7F5EDEB3" w14:textId="77777777" w:rsidR="00B5399E" w:rsidRPr="00F911E7" w:rsidRDefault="00B5399E" w:rsidP="00B5399E">
      <w:r>
        <w:t>1.</w:t>
      </w:r>
      <w:r>
        <w:tab/>
        <w:t>NORTH 00°05'35" WEST A DISTANCE OF 184.53 FEET;</w:t>
      </w:r>
    </w:p>
    <w:p w14:paraId="75928777" w14:textId="77777777" w:rsidR="00B5399E" w:rsidRPr="00F911E7" w:rsidRDefault="00B5399E" w:rsidP="00B5399E">
      <w:r>
        <w:t>2.</w:t>
      </w:r>
      <w:r>
        <w:tab/>
        <w:t>THENCE NORTH 59°58'36" EAST A DISTANCE OF 400.04 FEET;</w:t>
      </w:r>
    </w:p>
    <w:p w14:paraId="1163C59D" w14:textId="77777777" w:rsidR="00B5399E" w:rsidRPr="00F911E7" w:rsidRDefault="00B5399E" w:rsidP="00B5399E">
      <w:r>
        <w:t>3.</w:t>
      </w:r>
      <w:r>
        <w:tab/>
        <w:t>THENCE SOUTH 00°12'38" EAST A DISTANCE OF 15.25 FEET TO THE LINE COMMON TO PARCELS AV-2-2-27-432-OR2 AND AV-2194-B-OR1;</w:t>
      </w:r>
    </w:p>
    <w:p w14:paraId="3BA0C25F" w14:textId="77777777" w:rsidR="00B5399E" w:rsidRPr="00F911E7" w:rsidRDefault="00B5399E" w:rsidP="00B5399E">
      <w:r>
        <w:t xml:space="preserve">THENCE NORTH 58°57'16" EAST ALONG SAID COMMON LINE A DISTANCE OF 760.45 FEET TO THE NORTH-SOUTH CENTERLINE OF SAID SECTION 27 AND A NO. 4 REBAR; </w:t>
      </w:r>
    </w:p>
    <w:p w14:paraId="214D820B" w14:textId="77777777" w:rsidR="00B5399E" w:rsidRPr="00F911E7" w:rsidRDefault="00B5399E" w:rsidP="00B5399E">
      <w:r>
        <w:t xml:space="preserve">THENCE SOUTH 00°03'39" EAST ALONG SAID CENTERLINE A DISTANCE OF 3398.57 FEET TO THE POINT OF BEGINNING. </w:t>
      </w:r>
    </w:p>
    <w:p w14:paraId="35829712" w14:textId="77777777" w:rsidR="00B5399E" w:rsidRDefault="00B5399E" w:rsidP="00B5399E"/>
    <w:p w14:paraId="6DEA546B" w14:textId="77777777" w:rsidR="00B5399E" w:rsidRDefault="00B5399E" w:rsidP="00B5399E">
      <w:r>
        <w:t>SAID PARCEL CONTAINS 4,577,992 SQUARE FEET OR 105.096 ACRES.</w:t>
      </w:r>
    </w:p>
    <w:p w14:paraId="51B586A1" w14:textId="77777777" w:rsidR="00B5399E" w:rsidRDefault="00B5399E" w:rsidP="00B5399E"/>
    <w:p w14:paraId="3BFAAEC6" w14:textId="77777777" w:rsidR="00B5399E" w:rsidRPr="00F911E7" w:rsidRDefault="00B5399E" w:rsidP="00B5399E">
      <w:r>
        <w:t>PARCEL NOS. AV-2194-A, AV-2194-B-OR1, AV-2194-D-OR1</w:t>
      </w:r>
    </w:p>
    <w:p w14:paraId="1B0FA511" w14:textId="77777777" w:rsidR="00500906" w:rsidRPr="00500906" w:rsidRDefault="00500906" w:rsidP="00500906">
      <w:pPr>
        <w:jc w:val="both"/>
        <w:rPr>
          <w:b/>
          <w:bCs/>
        </w:rPr>
      </w:pPr>
    </w:p>
    <w:sectPr w:rsidR="00500906" w:rsidRPr="00500906" w:rsidSect="00B611FC">
      <w:footerReference w:type="default" r:id="rId16"/>
      <w:footerReference w:type="first" r:id="rId17"/>
      <w:pgSz w:w="12240" w:h="15840" w:code="1"/>
      <w:pgMar w:top="1008" w:right="1440" w:bottom="1008"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CD666" w14:textId="77777777" w:rsidR="009112BC" w:rsidRDefault="009112BC">
      <w:r>
        <w:separator/>
      </w:r>
    </w:p>
  </w:endnote>
  <w:endnote w:type="continuationSeparator" w:id="0">
    <w:p w14:paraId="4463FF13" w14:textId="77777777" w:rsidR="009112BC" w:rsidRDefault="009112BC">
      <w:r>
        <w:continuationSeparator/>
      </w:r>
    </w:p>
  </w:endnote>
  <w:endnote w:type="continuationNotice" w:id="1">
    <w:p w14:paraId="08A52781" w14:textId="77777777" w:rsidR="009112BC" w:rsidRDefault="009112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9D87" w14:textId="77777777" w:rsidR="00433CE3" w:rsidRDefault="00433C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E281C" w14:textId="77777777" w:rsidR="00BC1E62" w:rsidRPr="00B611FC" w:rsidRDefault="00BC1E62" w:rsidP="00B955F8">
    <w:pPr>
      <w:pStyle w:val="Footer"/>
      <w:tabs>
        <w:tab w:val="clear" w:pos="9360"/>
        <w:tab w:val="right" w:pos="8640"/>
      </w:tabs>
      <w:rPr>
        <w:rStyle w:val="DocID"/>
        <w:rFonts w:ascii="Times New Roman" w:hAnsi="Times New Roman"/>
        <w:noProof/>
        <w:sz w:val="24"/>
      </w:rPr>
    </w:pPr>
    <w:r>
      <w:rPr>
        <w:rStyle w:val="DocID"/>
      </w:rPr>
      <w:tab/>
    </w:r>
    <w:r w:rsidRPr="00B611FC">
      <w:rPr>
        <w:rStyle w:val="DocID"/>
        <w:rFonts w:ascii="Times New Roman" w:hAnsi="Times New Roman"/>
        <w:sz w:val="24"/>
      </w:rPr>
      <w:fldChar w:fldCharType="begin"/>
    </w:r>
    <w:r w:rsidRPr="00B611FC">
      <w:rPr>
        <w:rStyle w:val="DocID"/>
        <w:rFonts w:ascii="Times New Roman" w:hAnsi="Times New Roman"/>
        <w:sz w:val="24"/>
      </w:rPr>
      <w:instrText xml:space="preserve"> PAGE   \* MERGEFORMAT </w:instrText>
    </w:r>
    <w:r w:rsidRPr="00B611FC">
      <w:rPr>
        <w:rStyle w:val="DocID"/>
        <w:rFonts w:ascii="Times New Roman" w:hAnsi="Times New Roman"/>
        <w:sz w:val="24"/>
      </w:rPr>
      <w:fldChar w:fldCharType="separate"/>
    </w:r>
    <w:r w:rsidRPr="00B611FC">
      <w:rPr>
        <w:rStyle w:val="DocID"/>
        <w:rFonts w:ascii="Times New Roman" w:hAnsi="Times New Roman"/>
        <w:noProof/>
        <w:sz w:val="24"/>
      </w:rPr>
      <w:t>15</w:t>
    </w:r>
    <w:r w:rsidRPr="00B611FC">
      <w:rPr>
        <w:rStyle w:val="DocID"/>
        <w:rFonts w:ascii="Times New Roman" w:hAnsi="Times New Roman"/>
        <w:noProof/>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4EF8D" w14:textId="77777777" w:rsidR="00BC1E62" w:rsidRPr="006A5200" w:rsidRDefault="00BC1E62" w:rsidP="00AF1958">
    <w:pPr>
      <w:pStyle w:val="Footer"/>
      <w:tabs>
        <w:tab w:val="clear" w:pos="4680"/>
        <w:tab w:val="clear" w:pos="9360"/>
        <w:tab w:val="center" w:pos="4320"/>
        <w:tab w:val="right" w:pos="864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66EDA" w14:textId="77777777" w:rsidR="00BC1E62" w:rsidRDefault="00BC1E62" w:rsidP="00B955F8">
    <w:pPr>
      <w:tabs>
        <w:tab w:val="center" w:pos="4320"/>
      </w:tabs>
      <w:jc w:val="center"/>
    </w:pPr>
    <w:r>
      <w:t>S-1</w:t>
    </w:r>
  </w:p>
  <w:p w14:paraId="48076FA5" w14:textId="77777777" w:rsidR="00BC1E62" w:rsidRDefault="00BC1E62" w:rsidP="00B955F8">
    <w:pPr>
      <w:tabs>
        <w:tab w:val="center" w:pos="4320"/>
      </w:tabs>
      <w:jc w:val="center"/>
    </w:pPr>
    <w:r>
      <w:t>FIRST AMENDMENT TO ASSESSMENT ORDINANCE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1EC8F" w14:textId="77777777" w:rsidR="00BC1E62" w:rsidRDefault="00BC1E62" w:rsidP="00022DD7">
    <w:pPr>
      <w:tabs>
        <w:tab w:val="center" w:pos="4680"/>
      </w:tabs>
      <w:jc w:val="center"/>
    </w:pPr>
    <w:r>
      <w:t>S-2</w:t>
    </w:r>
  </w:p>
  <w:p w14:paraId="758D0BF4" w14:textId="77777777" w:rsidR="00BC1E62" w:rsidRDefault="00BC1E62" w:rsidP="00022DD7">
    <w:pPr>
      <w:tabs>
        <w:tab w:val="center" w:pos="4320"/>
      </w:tabs>
      <w:jc w:val="center"/>
    </w:pPr>
    <w:r>
      <w:t>FIRST AMENDMENT TO ASSESSMENT ORDINANCE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BEA1" w14:textId="77777777" w:rsidR="00433CE3" w:rsidRPr="00433CE3" w:rsidRDefault="00433CE3" w:rsidP="00B955F8">
    <w:pPr>
      <w:pStyle w:val="Footer"/>
      <w:tabs>
        <w:tab w:val="clear" w:pos="9360"/>
        <w:tab w:val="right" w:pos="8640"/>
      </w:tabs>
      <w:rPr>
        <w:rStyle w:val="DocID"/>
        <w:rFonts w:ascii="Times New Roman" w:hAnsi="Times New Roman"/>
        <w:noProof/>
        <w:sz w:val="22"/>
        <w:szCs w:val="22"/>
      </w:rPr>
    </w:pPr>
    <w:r>
      <w:rPr>
        <w:rStyle w:val="DocID"/>
      </w:rPr>
      <w:tab/>
    </w:r>
    <w:r w:rsidRPr="00433CE3">
      <w:rPr>
        <w:rStyle w:val="DocID"/>
        <w:rFonts w:ascii="Times New Roman" w:hAnsi="Times New Roman"/>
        <w:sz w:val="22"/>
        <w:szCs w:val="22"/>
      </w:rPr>
      <w:t>A-</w:t>
    </w:r>
    <w:r w:rsidRPr="00433CE3">
      <w:rPr>
        <w:rStyle w:val="DocID"/>
        <w:rFonts w:ascii="Times New Roman" w:hAnsi="Times New Roman"/>
        <w:sz w:val="22"/>
        <w:szCs w:val="22"/>
      </w:rPr>
      <w:fldChar w:fldCharType="begin"/>
    </w:r>
    <w:r w:rsidRPr="00433CE3">
      <w:rPr>
        <w:rStyle w:val="DocID"/>
        <w:rFonts w:ascii="Times New Roman" w:hAnsi="Times New Roman"/>
        <w:sz w:val="22"/>
        <w:szCs w:val="22"/>
      </w:rPr>
      <w:instrText xml:space="preserve"> PAGE   \* MERGEFORMAT </w:instrText>
    </w:r>
    <w:r w:rsidRPr="00433CE3">
      <w:rPr>
        <w:rStyle w:val="DocID"/>
        <w:rFonts w:ascii="Times New Roman" w:hAnsi="Times New Roman"/>
        <w:sz w:val="22"/>
        <w:szCs w:val="22"/>
      </w:rPr>
      <w:fldChar w:fldCharType="separate"/>
    </w:r>
    <w:r w:rsidRPr="00433CE3">
      <w:rPr>
        <w:rStyle w:val="DocID"/>
        <w:rFonts w:ascii="Times New Roman" w:hAnsi="Times New Roman"/>
        <w:noProof/>
        <w:sz w:val="22"/>
        <w:szCs w:val="22"/>
      </w:rPr>
      <w:t>15</w:t>
    </w:r>
    <w:r w:rsidRPr="00433CE3">
      <w:rPr>
        <w:rStyle w:val="DocID"/>
        <w:rFonts w:ascii="Times New Roman" w:hAnsi="Times New Roman"/>
        <w:noProof/>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CC9DF" w14:textId="77777777" w:rsidR="00A2303B" w:rsidRPr="00B611FC" w:rsidRDefault="00B611FC" w:rsidP="00A2303B">
    <w:pPr>
      <w:pStyle w:val="Footer"/>
      <w:tabs>
        <w:tab w:val="clear" w:pos="9360"/>
        <w:tab w:val="right" w:pos="8640"/>
      </w:tabs>
    </w:pPr>
    <w:r>
      <w:rPr>
        <w:sz w:val="22"/>
        <w:szCs w:val="22"/>
      </w:rPr>
      <w:tab/>
    </w:r>
    <w:r w:rsidRPr="00B611FC">
      <w:t>A-1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316AE" w14:textId="77777777" w:rsidR="009112BC" w:rsidRDefault="009112BC">
      <w:r>
        <w:separator/>
      </w:r>
    </w:p>
  </w:footnote>
  <w:footnote w:type="continuationSeparator" w:id="0">
    <w:p w14:paraId="0779F4BA" w14:textId="77777777" w:rsidR="009112BC" w:rsidRDefault="009112BC">
      <w:r>
        <w:continuationSeparator/>
      </w:r>
    </w:p>
  </w:footnote>
  <w:footnote w:type="continuationNotice" w:id="1">
    <w:p w14:paraId="74B5FFAE" w14:textId="77777777" w:rsidR="009112BC" w:rsidRDefault="009112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EFCB8" w14:textId="77777777" w:rsidR="00433CE3" w:rsidRDefault="00433C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AD05" w14:textId="77777777" w:rsidR="00433CE3" w:rsidRDefault="00433C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CB6CD" w14:textId="77777777" w:rsidR="00433CE3" w:rsidRDefault="00433C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D658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7641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A6832C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86E97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A2065D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01EAD6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AC4A3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5497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A047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9C61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4C2543"/>
    <w:multiLevelType w:val="multilevel"/>
    <w:tmpl w:val="E014F3CC"/>
    <w:lvl w:ilvl="0">
      <w:start w:val="1"/>
      <w:numFmt w:val="decimal"/>
      <w:lvlText w:val="Section %1."/>
      <w:lvlJc w:val="left"/>
      <w:pPr>
        <w:tabs>
          <w:tab w:val="num" w:pos="360"/>
        </w:tabs>
        <w:ind w:left="360" w:hanging="360"/>
      </w:pPr>
    </w:lvl>
    <w:lvl w:ilvl="1">
      <w:start w:val="1"/>
      <w:numFmt w:val="decimal"/>
      <w:pStyle w:val="Heading24Body"/>
      <w:suff w:val="space"/>
      <w:lvlText w:val="Section %1.%2."/>
      <w:lvlJc w:val="left"/>
      <w:pPr>
        <w:tabs>
          <w:tab w:val="num" w:pos="1440"/>
        </w:tabs>
        <w:ind w:left="0" w:firstLine="720"/>
      </w:pPr>
      <w:rPr>
        <w:b w:val="0"/>
        <w:i w:val="0"/>
        <w:caps w:val="0"/>
        <w:sz w:val="24"/>
        <w:u w:val="none"/>
      </w:rPr>
    </w:lvl>
    <w:lvl w:ilvl="2">
      <w:start w:val="1"/>
      <w:numFmt w:val="lowerLetter"/>
      <w:pStyle w:val="Heading32Body"/>
      <w:lvlText w:val="(%3)"/>
      <w:lvlJc w:val="left"/>
      <w:pPr>
        <w:tabs>
          <w:tab w:val="num" w:pos="2160"/>
        </w:tabs>
        <w:ind w:left="720" w:firstLine="720"/>
      </w:pPr>
      <w:rPr>
        <w:b w:val="0"/>
        <w:i w:val="0"/>
        <w:caps w:val="0"/>
        <w:sz w:val="24"/>
        <w:u w:val="none"/>
      </w:r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4"/>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72704DC"/>
    <w:multiLevelType w:val="multilevel"/>
    <w:tmpl w:val="E522DC20"/>
    <w:name w:val="General Numbering (1a)"/>
    <w:lvl w:ilvl="0">
      <w:start w:val="1"/>
      <w:numFmt w:val="decimal"/>
      <w:lvlText w:val="Section %1."/>
      <w:lvlJc w:val="left"/>
      <w:pPr>
        <w:tabs>
          <w:tab w:val="num" w:pos="1800"/>
        </w:tabs>
        <w:ind w:left="0" w:firstLine="720"/>
      </w:pPr>
      <w:rPr>
        <w:rFonts w:hint="default"/>
        <w:caps w:val="0"/>
        <w:color w:val="auto"/>
        <w:u w:val="none"/>
      </w:rPr>
    </w:lvl>
    <w:lvl w:ilvl="1">
      <w:start w:val="1"/>
      <w:numFmt w:val="lowerLetter"/>
      <w:lvlText w:val="(%2)"/>
      <w:lvlJc w:val="left"/>
      <w:pPr>
        <w:tabs>
          <w:tab w:val="num" w:pos="1800"/>
        </w:tabs>
        <w:ind w:left="720" w:firstLine="720"/>
      </w:pPr>
      <w:rPr>
        <w:rFonts w:hint="default"/>
        <w:caps w:val="0"/>
        <w:color w:val="auto"/>
        <w:u w:val="none"/>
      </w:rPr>
    </w:lvl>
    <w:lvl w:ilvl="2">
      <w:start w:val="1"/>
      <w:numFmt w:val="lowerRoman"/>
      <w:lvlText w:val="(%3)"/>
      <w:lvlJc w:val="left"/>
      <w:pPr>
        <w:tabs>
          <w:tab w:val="num" w:pos="2880"/>
        </w:tabs>
        <w:ind w:left="1440" w:firstLine="720"/>
      </w:pPr>
      <w:rPr>
        <w:rFonts w:hint="default"/>
        <w:caps w:val="0"/>
        <w:color w:val="auto"/>
        <w:u w:val="none"/>
      </w:rPr>
    </w:lvl>
    <w:lvl w:ilvl="3">
      <w:start w:val="1"/>
      <w:numFmt w:val="decimal"/>
      <w:lvlText w:val="(%4)"/>
      <w:lvlJc w:val="left"/>
      <w:pPr>
        <w:tabs>
          <w:tab w:val="num" w:pos="3600"/>
        </w:tabs>
        <w:ind w:left="3600" w:hanging="720"/>
      </w:pPr>
      <w:rPr>
        <w:rFonts w:hint="default"/>
        <w:caps w:val="0"/>
        <w:color w:val="auto"/>
        <w:u w:val="none"/>
      </w:rPr>
    </w:lvl>
    <w:lvl w:ilvl="4">
      <w:start w:val="1"/>
      <w:numFmt w:val="lowerLetter"/>
      <w:lvlText w:val="%5."/>
      <w:lvlJc w:val="left"/>
      <w:pPr>
        <w:tabs>
          <w:tab w:val="num" w:pos="4320"/>
        </w:tabs>
        <w:ind w:left="4320" w:hanging="720"/>
      </w:pPr>
      <w:rPr>
        <w:rFonts w:hint="default"/>
        <w:caps w:val="0"/>
        <w:color w:val="auto"/>
        <w:u w:val="none"/>
      </w:rPr>
    </w:lvl>
    <w:lvl w:ilvl="5">
      <w:start w:val="1"/>
      <w:numFmt w:val="lowerRoman"/>
      <w:lvlText w:val="%6."/>
      <w:lvlJc w:val="left"/>
      <w:pPr>
        <w:tabs>
          <w:tab w:val="num" w:pos="5040"/>
        </w:tabs>
        <w:ind w:left="5040" w:hanging="720"/>
      </w:pPr>
      <w:rPr>
        <w:rFonts w:hint="default"/>
        <w:caps w:val="0"/>
        <w:color w:val="auto"/>
        <w:u w:val="none"/>
      </w:rPr>
    </w:lvl>
    <w:lvl w:ilvl="6">
      <w:start w:val="1"/>
      <w:numFmt w:val="decimal"/>
      <w:lvlText w:val="%7)"/>
      <w:lvlJc w:val="left"/>
      <w:pPr>
        <w:tabs>
          <w:tab w:val="num" w:pos="5760"/>
        </w:tabs>
        <w:ind w:left="5760" w:hanging="720"/>
      </w:pPr>
      <w:rPr>
        <w:rFonts w:hint="default"/>
        <w:caps w:val="0"/>
        <w:color w:val="auto"/>
        <w:u w:val="none"/>
      </w:rPr>
    </w:lvl>
    <w:lvl w:ilvl="7">
      <w:start w:val="1"/>
      <w:numFmt w:val="lowerLetter"/>
      <w:lvlText w:val="%8)"/>
      <w:lvlJc w:val="left"/>
      <w:pPr>
        <w:tabs>
          <w:tab w:val="num" w:pos="6480"/>
        </w:tabs>
        <w:ind w:left="6480" w:hanging="720"/>
      </w:pPr>
      <w:rPr>
        <w:rFonts w:hint="default"/>
        <w:caps w:val="0"/>
        <w:color w:val="auto"/>
        <w:u w:val="none"/>
      </w:rPr>
    </w:lvl>
    <w:lvl w:ilvl="8">
      <w:start w:val="1"/>
      <w:numFmt w:val="lowerRoman"/>
      <w:lvlText w:val="%9)"/>
      <w:lvlJc w:val="left"/>
      <w:pPr>
        <w:tabs>
          <w:tab w:val="num" w:pos="7200"/>
        </w:tabs>
        <w:ind w:left="7200" w:hanging="720"/>
      </w:pPr>
      <w:rPr>
        <w:rFonts w:hint="default"/>
        <w:caps w:val="0"/>
        <w:color w:val="auto"/>
        <w:u w:val="none"/>
      </w:rPr>
    </w:lvl>
  </w:abstractNum>
  <w:abstractNum w:abstractNumId="12" w15:restartNumberingAfterBreak="0">
    <w:nsid w:val="0CE97E5B"/>
    <w:multiLevelType w:val="hybridMultilevel"/>
    <w:tmpl w:val="6D722E0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0F6A127D"/>
    <w:multiLevelType w:val="hybridMultilevel"/>
    <w:tmpl w:val="DB027412"/>
    <w:lvl w:ilvl="0" w:tplc="6A9663D4">
      <w:start w:val="1"/>
      <w:numFmt w:val="decimal"/>
      <w:pStyle w:val="00NumberList"/>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3637C21"/>
    <w:multiLevelType w:val="multilevel"/>
    <w:tmpl w:val="D2F82180"/>
    <w:name w:val="BSAI Scheme 4"/>
    <w:lvl w:ilvl="0">
      <w:start w:val="1"/>
      <w:numFmt w:val="decimal"/>
      <w:pStyle w:val="Heading1"/>
      <w:lvlText w:val="Section %1."/>
      <w:lvlJc w:val="left"/>
      <w:pPr>
        <w:tabs>
          <w:tab w:val="num" w:pos="1800"/>
        </w:tabs>
        <w:ind w:left="0" w:firstLine="720"/>
      </w:pPr>
      <w:rPr>
        <w:rFonts w:hint="default"/>
        <w:caps w:val="0"/>
        <w:color w:val="auto"/>
        <w:u w:val="none"/>
      </w:rPr>
    </w:lvl>
    <w:lvl w:ilvl="1">
      <w:start w:val="1"/>
      <w:numFmt w:val="lowerLetter"/>
      <w:pStyle w:val="Heading2"/>
      <w:lvlText w:val="(%2)"/>
      <w:lvlJc w:val="left"/>
      <w:pPr>
        <w:tabs>
          <w:tab w:val="num" w:pos="1800"/>
        </w:tabs>
        <w:ind w:left="720" w:firstLine="720"/>
      </w:pPr>
      <w:rPr>
        <w:rFonts w:hint="default"/>
        <w:caps w:val="0"/>
        <w:color w:val="auto"/>
        <w:u w:val="none"/>
      </w:rPr>
    </w:lvl>
    <w:lvl w:ilvl="2">
      <w:start w:val="1"/>
      <w:numFmt w:val="lowerRoman"/>
      <w:pStyle w:val="Heading3"/>
      <w:lvlText w:val="(%3)"/>
      <w:lvlJc w:val="left"/>
      <w:pPr>
        <w:tabs>
          <w:tab w:val="num" w:pos="2880"/>
        </w:tabs>
        <w:ind w:left="1440" w:firstLine="720"/>
      </w:pPr>
      <w:rPr>
        <w:rFonts w:hint="default"/>
        <w:caps w:val="0"/>
        <w:color w:val="auto"/>
        <w:u w:val="none"/>
      </w:rPr>
    </w:lvl>
    <w:lvl w:ilvl="3">
      <w:start w:val="1"/>
      <w:numFmt w:val="decimal"/>
      <w:pStyle w:val="Heading4"/>
      <w:lvlText w:val="(%4)"/>
      <w:lvlJc w:val="left"/>
      <w:pPr>
        <w:tabs>
          <w:tab w:val="num" w:pos="4320"/>
        </w:tabs>
        <w:ind w:left="4320" w:hanging="720"/>
      </w:pPr>
      <w:rPr>
        <w:rFonts w:hint="default"/>
        <w:caps w:val="0"/>
        <w:color w:val="auto"/>
        <w:u w:val="none"/>
      </w:rPr>
    </w:lvl>
    <w:lvl w:ilvl="4">
      <w:start w:val="1"/>
      <w:numFmt w:val="lowerLetter"/>
      <w:pStyle w:val="Heading5"/>
      <w:lvlText w:val="%5."/>
      <w:lvlJc w:val="left"/>
      <w:pPr>
        <w:tabs>
          <w:tab w:val="num" w:pos="5040"/>
        </w:tabs>
        <w:ind w:left="5040" w:hanging="720"/>
      </w:pPr>
      <w:rPr>
        <w:rFonts w:hint="default"/>
        <w:caps w:val="0"/>
        <w:color w:val="auto"/>
        <w:u w:val="none"/>
      </w:rPr>
    </w:lvl>
    <w:lvl w:ilvl="5">
      <w:start w:val="1"/>
      <w:numFmt w:val="lowerRoman"/>
      <w:pStyle w:val="Heading6"/>
      <w:lvlText w:val="%6."/>
      <w:lvlJc w:val="left"/>
      <w:pPr>
        <w:tabs>
          <w:tab w:val="num" w:pos="5760"/>
        </w:tabs>
        <w:ind w:left="5760" w:hanging="720"/>
      </w:pPr>
      <w:rPr>
        <w:rFonts w:hint="default"/>
        <w:caps w:val="0"/>
        <w:color w:val="auto"/>
        <w:u w:val="none"/>
      </w:rPr>
    </w:lvl>
    <w:lvl w:ilvl="6">
      <w:start w:val="1"/>
      <w:numFmt w:val="decimal"/>
      <w:pStyle w:val="Heading7"/>
      <w:lvlText w:val="%7)"/>
      <w:lvlJc w:val="left"/>
      <w:pPr>
        <w:tabs>
          <w:tab w:val="num" w:pos="6480"/>
        </w:tabs>
        <w:ind w:left="6480" w:hanging="720"/>
      </w:pPr>
      <w:rPr>
        <w:rFonts w:hint="default"/>
        <w:caps w:val="0"/>
        <w:color w:val="auto"/>
        <w:u w:val="none"/>
      </w:rPr>
    </w:lvl>
    <w:lvl w:ilvl="7">
      <w:start w:val="1"/>
      <w:numFmt w:val="lowerLetter"/>
      <w:pStyle w:val="Heading8"/>
      <w:lvlText w:val="%8)"/>
      <w:lvlJc w:val="left"/>
      <w:pPr>
        <w:tabs>
          <w:tab w:val="num" w:pos="7200"/>
        </w:tabs>
        <w:ind w:left="7200" w:hanging="720"/>
      </w:pPr>
      <w:rPr>
        <w:rFonts w:hint="default"/>
        <w:caps w:val="0"/>
        <w:color w:val="auto"/>
        <w:u w:val="none"/>
      </w:rPr>
    </w:lvl>
    <w:lvl w:ilvl="8">
      <w:start w:val="1"/>
      <w:numFmt w:val="lowerRoman"/>
      <w:pStyle w:val="Heading9"/>
      <w:lvlText w:val="%9)"/>
      <w:lvlJc w:val="left"/>
      <w:pPr>
        <w:tabs>
          <w:tab w:val="num" w:pos="7920"/>
        </w:tabs>
        <w:ind w:left="7920" w:hanging="720"/>
      </w:pPr>
      <w:rPr>
        <w:rFonts w:hint="default"/>
        <w:caps w:val="0"/>
        <w:color w:val="auto"/>
        <w:u w:val="none"/>
      </w:rPr>
    </w:lvl>
  </w:abstractNum>
  <w:abstractNum w:abstractNumId="15" w15:restartNumberingAfterBreak="0">
    <w:nsid w:val="19C5433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8DF27F1"/>
    <w:multiLevelType w:val="hybridMultilevel"/>
    <w:tmpl w:val="09F8E49C"/>
    <w:lvl w:ilvl="0" w:tplc="EDE403A0">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8E256B"/>
    <w:multiLevelType w:val="hybridMultilevel"/>
    <w:tmpl w:val="433849EC"/>
    <w:lvl w:ilvl="0" w:tplc="B276FB7C">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D00721B"/>
    <w:multiLevelType w:val="hybridMultilevel"/>
    <w:tmpl w:val="E26C0C2E"/>
    <w:lvl w:ilvl="0" w:tplc="E1DC6488">
      <w:start w:val="1"/>
      <w:numFmt w:val="bullet"/>
      <w:pStyle w:val="00BulletLis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D9421D"/>
    <w:multiLevelType w:val="multilevel"/>
    <w:tmpl w:val="F5BCC148"/>
    <w:lvl w:ilvl="0">
      <w:start w:val="1"/>
      <w:numFmt w:val="decimal"/>
      <w:lvlText w:val="Section %1."/>
      <w:lvlJc w:val="left"/>
      <w:pPr>
        <w:tabs>
          <w:tab w:val="num" w:pos="1800"/>
        </w:tabs>
        <w:ind w:left="0" w:firstLine="720"/>
      </w:pPr>
      <w:rPr>
        <w:rFonts w:hint="default"/>
        <w:caps w:val="0"/>
        <w:color w:val="auto"/>
        <w:u w:val="none"/>
      </w:rPr>
    </w:lvl>
    <w:lvl w:ilvl="1">
      <w:start w:val="1"/>
      <w:numFmt w:val="lowerLetter"/>
      <w:lvlText w:val="(%2)"/>
      <w:lvlJc w:val="left"/>
      <w:pPr>
        <w:tabs>
          <w:tab w:val="num" w:pos="1800"/>
        </w:tabs>
        <w:ind w:left="720" w:firstLine="720"/>
      </w:pPr>
      <w:rPr>
        <w:rFonts w:hint="default"/>
        <w:caps w:val="0"/>
        <w:color w:val="auto"/>
        <w:u w:val="none"/>
      </w:rPr>
    </w:lvl>
    <w:lvl w:ilvl="2">
      <w:start w:val="1"/>
      <w:numFmt w:val="lowerRoman"/>
      <w:lvlText w:val="(%3)"/>
      <w:lvlJc w:val="left"/>
      <w:pPr>
        <w:tabs>
          <w:tab w:val="num" w:pos="2880"/>
        </w:tabs>
        <w:ind w:left="1440" w:firstLine="720"/>
      </w:pPr>
      <w:rPr>
        <w:rFonts w:hint="default"/>
        <w:caps w:val="0"/>
        <w:color w:val="auto"/>
        <w:u w:val="none"/>
      </w:rPr>
    </w:lvl>
    <w:lvl w:ilvl="3">
      <w:start w:val="1"/>
      <w:numFmt w:val="decimal"/>
      <w:lvlText w:val="(%4)"/>
      <w:lvlJc w:val="left"/>
      <w:pPr>
        <w:tabs>
          <w:tab w:val="num" w:pos="3240"/>
        </w:tabs>
        <w:ind w:left="2160" w:firstLine="720"/>
      </w:pPr>
      <w:rPr>
        <w:rFonts w:hint="default"/>
        <w:caps w:val="0"/>
        <w:color w:val="auto"/>
        <w:u w:val="none"/>
      </w:rPr>
    </w:lvl>
    <w:lvl w:ilvl="4">
      <w:start w:val="1"/>
      <w:numFmt w:val="lowerLetter"/>
      <w:lvlText w:val="%5."/>
      <w:lvlJc w:val="left"/>
      <w:pPr>
        <w:tabs>
          <w:tab w:val="num" w:pos="5040"/>
        </w:tabs>
        <w:ind w:left="0" w:firstLine="4320"/>
      </w:pPr>
      <w:rPr>
        <w:rFonts w:hint="default"/>
        <w:caps w:val="0"/>
        <w:color w:val="auto"/>
        <w:u w:val="none"/>
      </w:rPr>
    </w:lvl>
    <w:lvl w:ilvl="5">
      <w:start w:val="1"/>
      <w:numFmt w:val="lowerRoman"/>
      <w:lvlText w:val="%6."/>
      <w:lvlJc w:val="left"/>
      <w:pPr>
        <w:tabs>
          <w:tab w:val="num" w:pos="5760"/>
        </w:tabs>
        <w:ind w:left="0" w:firstLine="5040"/>
      </w:pPr>
      <w:rPr>
        <w:rFonts w:hint="default"/>
        <w:caps w:val="0"/>
        <w:color w:val="auto"/>
        <w:u w:val="none"/>
      </w:rPr>
    </w:lvl>
    <w:lvl w:ilvl="6">
      <w:start w:val="1"/>
      <w:numFmt w:val="decimal"/>
      <w:lvlText w:val="%7)"/>
      <w:lvlJc w:val="left"/>
      <w:pPr>
        <w:tabs>
          <w:tab w:val="num" w:pos="6480"/>
        </w:tabs>
        <w:ind w:left="0" w:firstLine="5760"/>
      </w:pPr>
      <w:rPr>
        <w:rFonts w:hint="default"/>
        <w:caps w:val="0"/>
        <w:color w:val="auto"/>
        <w:u w:val="none"/>
      </w:rPr>
    </w:lvl>
    <w:lvl w:ilvl="7">
      <w:start w:val="1"/>
      <w:numFmt w:val="lowerLetter"/>
      <w:lvlText w:val="%8)"/>
      <w:lvlJc w:val="left"/>
      <w:pPr>
        <w:tabs>
          <w:tab w:val="num" w:pos="7200"/>
        </w:tabs>
        <w:ind w:left="0" w:firstLine="6480"/>
      </w:pPr>
      <w:rPr>
        <w:rFonts w:hint="default"/>
        <w:caps w:val="0"/>
        <w:color w:val="auto"/>
        <w:u w:val="none"/>
      </w:rPr>
    </w:lvl>
    <w:lvl w:ilvl="8">
      <w:start w:val="1"/>
      <w:numFmt w:val="lowerRoman"/>
      <w:lvlText w:val="%9)"/>
      <w:lvlJc w:val="left"/>
      <w:pPr>
        <w:tabs>
          <w:tab w:val="num" w:pos="7920"/>
        </w:tabs>
        <w:ind w:left="0" w:firstLine="7200"/>
      </w:pPr>
      <w:rPr>
        <w:rFonts w:hint="default"/>
        <w:caps w:val="0"/>
        <w:color w:val="auto"/>
        <w:u w:val="none"/>
      </w:rPr>
    </w:lvl>
  </w:abstractNum>
  <w:abstractNum w:abstractNumId="20" w15:restartNumberingAfterBreak="0">
    <w:nsid w:val="5A5E1535"/>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B995963"/>
    <w:multiLevelType w:val="hybridMultilevel"/>
    <w:tmpl w:val="230A818A"/>
    <w:lvl w:ilvl="0" w:tplc="C71E5206">
      <w:start w:val="1"/>
      <w:numFmt w:val="upperLetter"/>
      <w:lvlText w:val="(%1)"/>
      <w:lvlJc w:val="left"/>
      <w:pPr>
        <w:ind w:left="4755" w:hanging="435"/>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2" w15:restartNumberingAfterBreak="0">
    <w:nsid w:val="5C270681"/>
    <w:multiLevelType w:val="multilevel"/>
    <w:tmpl w:val="69F68A04"/>
    <w:lvl w:ilvl="0">
      <w:start w:val="1"/>
      <w:numFmt w:val="decimal"/>
      <w:lvlText w:val="Section %1."/>
      <w:lvlJc w:val="left"/>
      <w:pPr>
        <w:tabs>
          <w:tab w:val="num" w:pos="1800"/>
        </w:tabs>
        <w:ind w:left="0" w:firstLine="720"/>
      </w:pPr>
      <w:rPr>
        <w:rFonts w:hint="default"/>
      </w:rPr>
    </w:lvl>
    <w:lvl w:ilvl="1">
      <w:start w:val="1"/>
      <w:numFmt w:val="lowerLetter"/>
      <w:lvlText w:val="(%2)"/>
      <w:lvlJc w:val="left"/>
      <w:pPr>
        <w:tabs>
          <w:tab w:val="num" w:pos="1800"/>
        </w:tabs>
        <w:ind w:left="720" w:firstLine="720"/>
      </w:pPr>
      <w:rPr>
        <w:rFonts w:hint="default"/>
      </w:rPr>
    </w:lvl>
    <w:lvl w:ilvl="2">
      <w:start w:val="1"/>
      <w:numFmt w:val="lowerRoman"/>
      <w:lvlText w:val="%3."/>
      <w:lvlJc w:val="left"/>
      <w:pPr>
        <w:tabs>
          <w:tab w:val="num" w:pos="2880"/>
        </w:tabs>
        <w:ind w:left="1440" w:firstLine="720"/>
      </w:pPr>
      <w:rPr>
        <w:rFonts w:hint="default"/>
      </w:rPr>
    </w:lvl>
    <w:lvl w:ilvl="3">
      <w:start w:val="1"/>
      <w:numFmt w:val="decimal"/>
      <w:lvlText w:val="(%4)"/>
      <w:lvlJc w:val="left"/>
      <w:pPr>
        <w:tabs>
          <w:tab w:val="num" w:pos="3240"/>
        </w:tabs>
        <w:ind w:left="2160" w:firstLine="720"/>
      </w:pPr>
      <w:rPr>
        <w:rFonts w:hint="default"/>
      </w:rPr>
    </w:lvl>
    <w:lvl w:ilvl="4">
      <w:start w:val="1"/>
      <w:numFmt w:val="lowerLetter"/>
      <w:lvlText w:val="(%5)"/>
      <w:lvlJc w:val="left"/>
      <w:pPr>
        <w:tabs>
          <w:tab w:val="num" w:pos="3960"/>
        </w:tabs>
        <w:ind w:left="2880" w:firstLine="720"/>
      </w:pPr>
      <w:rPr>
        <w:rFonts w:hint="default"/>
      </w:rPr>
    </w:lvl>
    <w:lvl w:ilvl="5">
      <w:start w:val="1"/>
      <w:numFmt w:val="lowerRoman"/>
      <w:lvlText w:val="(%6)"/>
      <w:lvlJc w:val="left"/>
      <w:pPr>
        <w:tabs>
          <w:tab w:val="num" w:pos="5040"/>
        </w:tabs>
        <w:ind w:left="3600" w:firstLine="720"/>
      </w:pPr>
      <w:rPr>
        <w:rFonts w:hint="default"/>
      </w:rPr>
    </w:lvl>
    <w:lvl w:ilvl="6">
      <w:start w:val="1"/>
      <w:numFmt w:val="decimal"/>
      <w:lvlText w:val="%7)"/>
      <w:lvlJc w:val="left"/>
      <w:pPr>
        <w:tabs>
          <w:tab w:val="num" w:pos="5400"/>
        </w:tabs>
        <w:ind w:left="2880" w:firstLine="2160"/>
      </w:pPr>
      <w:rPr>
        <w:rFonts w:hint="default"/>
      </w:rPr>
    </w:lvl>
    <w:lvl w:ilvl="7">
      <w:start w:val="1"/>
      <w:numFmt w:val="lowerLetter"/>
      <w:lvlText w:val="%8)"/>
      <w:lvlJc w:val="left"/>
      <w:pPr>
        <w:tabs>
          <w:tab w:val="num" w:pos="6120"/>
        </w:tabs>
        <w:ind w:left="3600" w:firstLine="2160"/>
      </w:pPr>
      <w:rPr>
        <w:rFonts w:hint="default"/>
      </w:rPr>
    </w:lvl>
    <w:lvl w:ilvl="8">
      <w:start w:val="1"/>
      <w:numFmt w:val="lowerRoman"/>
      <w:lvlText w:val="%9)"/>
      <w:lvlJc w:val="left"/>
      <w:pPr>
        <w:tabs>
          <w:tab w:val="num" w:pos="7200"/>
        </w:tabs>
        <w:ind w:left="4320" w:firstLine="2160"/>
      </w:pPr>
      <w:rPr>
        <w:rFonts w:hint="default"/>
      </w:rPr>
    </w:lvl>
  </w:abstractNum>
  <w:num w:numId="1" w16cid:durableId="830026835">
    <w:abstractNumId w:val="18"/>
  </w:num>
  <w:num w:numId="2" w16cid:durableId="120154974">
    <w:abstractNumId w:val="13"/>
  </w:num>
  <w:num w:numId="3" w16cid:durableId="1973555843">
    <w:abstractNumId w:val="14"/>
  </w:num>
  <w:num w:numId="4" w16cid:durableId="1434932446">
    <w:abstractNumId w:val="6"/>
  </w:num>
  <w:num w:numId="5" w16cid:durableId="1982997125">
    <w:abstractNumId w:val="9"/>
  </w:num>
  <w:num w:numId="6" w16cid:durableId="194345308">
    <w:abstractNumId w:val="7"/>
  </w:num>
  <w:num w:numId="7" w16cid:durableId="1449934396">
    <w:abstractNumId w:val="5"/>
  </w:num>
  <w:num w:numId="8" w16cid:durableId="940335167">
    <w:abstractNumId w:val="4"/>
  </w:num>
  <w:num w:numId="9" w16cid:durableId="948589361">
    <w:abstractNumId w:val="8"/>
  </w:num>
  <w:num w:numId="10" w16cid:durableId="1345476575">
    <w:abstractNumId w:val="3"/>
  </w:num>
  <w:num w:numId="11" w16cid:durableId="1512988603">
    <w:abstractNumId w:val="2"/>
  </w:num>
  <w:num w:numId="12" w16cid:durableId="214466370">
    <w:abstractNumId w:val="1"/>
  </w:num>
  <w:num w:numId="13" w16cid:durableId="16977894">
    <w:abstractNumId w:val="0"/>
  </w:num>
  <w:num w:numId="14" w16cid:durableId="526677599">
    <w:abstractNumId w:val="17"/>
  </w:num>
  <w:num w:numId="15" w16cid:durableId="529806195">
    <w:abstractNumId w:val="18"/>
  </w:num>
  <w:num w:numId="16" w16cid:durableId="404571421">
    <w:abstractNumId w:val="13"/>
  </w:num>
  <w:num w:numId="17" w16cid:durableId="1238052874">
    <w:abstractNumId w:val="16"/>
  </w:num>
  <w:num w:numId="18" w16cid:durableId="96145605">
    <w:abstractNumId w:val="14"/>
  </w:num>
  <w:num w:numId="19" w16cid:durableId="18874497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0621190">
    <w:abstractNumId w:val="10"/>
  </w:num>
  <w:num w:numId="21" w16cid:durableId="126054459">
    <w:abstractNumId w:val="14"/>
  </w:num>
  <w:num w:numId="22" w16cid:durableId="259223463">
    <w:abstractNumId w:val="14"/>
  </w:num>
  <w:num w:numId="23" w16cid:durableId="999650367">
    <w:abstractNumId w:val="14"/>
  </w:num>
  <w:num w:numId="24" w16cid:durableId="1918663683">
    <w:abstractNumId w:val="14"/>
  </w:num>
  <w:num w:numId="25" w16cid:durableId="176703096">
    <w:abstractNumId w:val="14"/>
  </w:num>
  <w:num w:numId="26" w16cid:durableId="1578711769">
    <w:abstractNumId w:val="14"/>
  </w:num>
  <w:num w:numId="27" w16cid:durableId="324289236">
    <w:abstractNumId w:val="14"/>
  </w:num>
  <w:num w:numId="28" w16cid:durableId="28989635">
    <w:abstractNumId w:val="14"/>
  </w:num>
  <w:num w:numId="29" w16cid:durableId="239759870">
    <w:abstractNumId w:val="14"/>
  </w:num>
  <w:num w:numId="30" w16cid:durableId="1078290658">
    <w:abstractNumId w:val="14"/>
  </w:num>
  <w:num w:numId="31" w16cid:durableId="727801836">
    <w:abstractNumId w:val="14"/>
  </w:num>
  <w:num w:numId="32" w16cid:durableId="1468930641">
    <w:abstractNumId w:val="14"/>
  </w:num>
  <w:num w:numId="33" w16cid:durableId="741566245">
    <w:abstractNumId w:val="14"/>
  </w:num>
  <w:num w:numId="34" w16cid:durableId="1284773743">
    <w:abstractNumId w:val="21"/>
  </w:num>
  <w:num w:numId="35" w16cid:durableId="536818194">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clickAndTypeStyle w:val="Double"/>
  <w:drawingGridHorizontalSpacing w:val="120"/>
  <w:drawingGridVerticalSpacing w:val="163"/>
  <w:displayHorizontalDrawingGridEvery w:val="0"/>
  <w:displayVerticalDrawingGridEvery w:val="2"/>
  <w:doNotShadeFormData/>
  <w:characterSpacingControl w:val="compressPunctuation"/>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917-0923-6130, v. 4"/>
    <w:docVar w:name="ndGeneratedStampLocation" w:val="ExceptFirst"/>
  </w:docVars>
  <w:rsids>
    <w:rsidRoot w:val="00B222FA"/>
    <w:rsid w:val="00000B2F"/>
    <w:rsid w:val="00002BE4"/>
    <w:rsid w:val="000036E0"/>
    <w:rsid w:val="00004250"/>
    <w:rsid w:val="0000463D"/>
    <w:rsid w:val="00006981"/>
    <w:rsid w:val="00006C45"/>
    <w:rsid w:val="00007E38"/>
    <w:rsid w:val="000100A6"/>
    <w:rsid w:val="0001315C"/>
    <w:rsid w:val="0001352D"/>
    <w:rsid w:val="000140C9"/>
    <w:rsid w:val="00015C5F"/>
    <w:rsid w:val="00017679"/>
    <w:rsid w:val="00017EA5"/>
    <w:rsid w:val="00021597"/>
    <w:rsid w:val="00021E53"/>
    <w:rsid w:val="0002206A"/>
    <w:rsid w:val="00022DD7"/>
    <w:rsid w:val="00025C08"/>
    <w:rsid w:val="00027332"/>
    <w:rsid w:val="00027E09"/>
    <w:rsid w:val="00027F10"/>
    <w:rsid w:val="0003044D"/>
    <w:rsid w:val="00030760"/>
    <w:rsid w:val="00031714"/>
    <w:rsid w:val="0003364D"/>
    <w:rsid w:val="00033B5C"/>
    <w:rsid w:val="0003432B"/>
    <w:rsid w:val="00034BE8"/>
    <w:rsid w:val="00036AF2"/>
    <w:rsid w:val="0003798D"/>
    <w:rsid w:val="00037D8F"/>
    <w:rsid w:val="00040E16"/>
    <w:rsid w:val="00042048"/>
    <w:rsid w:val="0004402D"/>
    <w:rsid w:val="00045906"/>
    <w:rsid w:val="0005171E"/>
    <w:rsid w:val="000521FB"/>
    <w:rsid w:val="00054D71"/>
    <w:rsid w:val="00056CB2"/>
    <w:rsid w:val="000616F2"/>
    <w:rsid w:val="0006221A"/>
    <w:rsid w:val="000622E2"/>
    <w:rsid w:val="0006385C"/>
    <w:rsid w:val="00063A38"/>
    <w:rsid w:val="00064C9C"/>
    <w:rsid w:val="00065034"/>
    <w:rsid w:val="00065A94"/>
    <w:rsid w:val="00070A78"/>
    <w:rsid w:val="00070E32"/>
    <w:rsid w:val="000712D1"/>
    <w:rsid w:val="000767FC"/>
    <w:rsid w:val="000805FE"/>
    <w:rsid w:val="00080D7F"/>
    <w:rsid w:val="0008332B"/>
    <w:rsid w:val="00083A13"/>
    <w:rsid w:val="000856D5"/>
    <w:rsid w:val="00085A42"/>
    <w:rsid w:val="00085DAF"/>
    <w:rsid w:val="000871CA"/>
    <w:rsid w:val="00087E80"/>
    <w:rsid w:val="00090452"/>
    <w:rsid w:val="00091304"/>
    <w:rsid w:val="00093C06"/>
    <w:rsid w:val="000A1D3B"/>
    <w:rsid w:val="000A2566"/>
    <w:rsid w:val="000A3F8C"/>
    <w:rsid w:val="000A52F9"/>
    <w:rsid w:val="000A5C50"/>
    <w:rsid w:val="000A7C88"/>
    <w:rsid w:val="000B1378"/>
    <w:rsid w:val="000B1689"/>
    <w:rsid w:val="000B6BF4"/>
    <w:rsid w:val="000B7777"/>
    <w:rsid w:val="000C006D"/>
    <w:rsid w:val="000C07E9"/>
    <w:rsid w:val="000C0C3F"/>
    <w:rsid w:val="000C3A3E"/>
    <w:rsid w:val="000C4976"/>
    <w:rsid w:val="000C5237"/>
    <w:rsid w:val="000C58BF"/>
    <w:rsid w:val="000D49ED"/>
    <w:rsid w:val="000D7B6D"/>
    <w:rsid w:val="000E1C0E"/>
    <w:rsid w:val="000E1E21"/>
    <w:rsid w:val="000E2354"/>
    <w:rsid w:val="000E4703"/>
    <w:rsid w:val="000E50B2"/>
    <w:rsid w:val="000E5CBB"/>
    <w:rsid w:val="000E68B6"/>
    <w:rsid w:val="000E6BD6"/>
    <w:rsid w:val="000F0B76"/>
    <w:rsid w:val="000F15F9"/>
    <w:rsid w:val="000F1865"/>
    <w:rsid w:val="000F21ED"/>
    <w:rsid w:val="000F2DE6"/>
    <w:rsid w:val="000F4008"/>
    <w:rsid w:val="000F7370"/>
    <w:rsid w:val="000F7C51"/>
    <w:rsid w:val="00100487"/>
    <w:rsid w:val="001005AC"/>
    <w:rsid w:val="00102249"/>
    <w:rsid w:val="00103418"/>
    <w:rsid w:val="00103694"/>
    <w:rsid w:val="00103C19"/>
    <w:rsid w:val="00103C3D"/>
    <w:rsid w:val="001040A1"/>
    <w:rsid w:val="00104BDD"/>
    <w:rsid w:val="00104DAA"/>
    <w:rsid w:val="0010581E"/>
    <w:rsid w:val="00106876"/>
    <w:rsid w:val="001078D2"/>
    <w:rsid w:val="00107DC9"/>
    <w:rsid w:val="00110794"/>
    <w:rsid w:val="001119F9"/>
    <w:rsid w:val="001127EC"/>
    <w:rsid w:val="00115606"/>
    <w:rsid w:val="001172FB"/>
    <w:rsid w:val="00120410"/>
    <w:rsid w:val="0012095E"/>
    <w:rsid w:val="001212BB"/>
    <w:rsid w:val="00122B0D"/>
    <w:rsid w:val="00123345"/>
    <w:rsid w:val="00124287"/>
    <w:rsid w:val="00124CCD"/>
    <w:rsid w:val="00124F72"/>
    <w:rsid w:val="001257B2"/>
    <w:rsid w:val="0012586B"/>
    <w:rsid w:val="001258F5"/>
    <w:rsid w:val="00125C6B"/>
    <w:rsid w:val="0012627B"/>
    <w:rsid w:val="0012799B"/>
    <w:rsid w:val="00130C24"/>
    <w:rsid w:val="001310C2"/>
    <w:rsid w:val="00132AEF"/>
    <w:rsid w:val="001338EB"/>
    <w:rsid w:val="00133C8F"/>
    <w:rsid w:val="001340C1"/>
    <w:rsid w:val="00135124"/>
    <w:rsid w:val="0013590A"/>
    <w:rsid w:val="00135A3D"/>
    <w:rsid w:val="00135EF0"/>
    <w:rsid w:val="00140272"/>
    <w:rsid w:val="00142B1C"/>
    <w:rsid w:val="00146A55"/>
    <w:rsid w:val="001476AF"/>
    <w:rsid w:val="001500B2"/>
    <w:rsid w:val="00151467"/>
    <w:rsid w:val="00151E97"/>
    <w:rsid w:val="001524DE"/>
    <w:rsid w:val="0015398B"/>
    <w:rsid w:val="001552DB"/>
    <w:rsid w:val="00156F04"/>
    <w:rsid w:val="00160EF0"/>
    <w:rsid w:val="00162563"/>
    <w:rsid w:val="001627E7"/>
    <w:rsid w:val="00162DE1"/>
    <w:rsid w:val="00164119"/>
    <w:rsid w:val="00164F09"/>
    <w:rsid w:val="001665E6"/>
    <w:rsid w:val="00170604"/>
    <w:rsid w:val="00170D49"/>
    <w:rsid w:val="00171F89"/>
    <w:rsid w:val="00172161"/>
    <w:rsid w:val="0017453B"/>
    <w:rsid w:val="00175397"/>
    <w:rsid w:val="00175BA1"/>
    <w:rsid w:val="00176148"/>
    <w:rsid w:val="00176A0E"/>
    <w:rsid w:val="001772C8"/>
    <w:rsid w:val="001807B4"/>
    <w:rsid w:val="001820CE"/>
    <w:rsid w:val="001823BA"/>
    <w:rsid w:val="001827E1"/>
    <w:rsid w:val="00184802"/>
    <w:rsid w:val="00184C98"/>
    <w:rsid w:val="00186ABB"/>
    <w:rsid w:val="00193985"/>
    <w:rsid w:val="00193AD1"/>
    <w:rsid w:val="00193E29"/>
    <w:rsid w:val="00194CC9"/>
    <w:rsid w:val="00194EBA"/>
    <w:rsid w:val="00194EBF"/>
    <w:rsid w:val="00194F5D"/>
    <w:rsid w:val="00195688"/>
    <w:rsid w:val="00196145"/>
    <w:rsid w:val="001A0C85"/>
    <w:rsid w:val="001A4D11"/>
    <w:rsid w:val="001A5927"/>
    <w:rsid w:val="001A5D9B"/>
    <w:rsid w:val="001A7DEC"/>
    <w:rsid w:val="001B1F2D"/>
    <w:rsid w:val="001B2FA2"/>
    <w:rsid w:val="001B6F12"/>
    <w:rsid w:val="001C1527"/>
    <w:rsid w:val="001C15EE"/>
    <w:rsid w:val="001C300A"/>
    <w:rsid w:val="001C5DB2"/>
    <w:rsid w:val="001C6821"/>
    <w:rsid w:val="001C68E5"/>
    <w:rsid w:val="001D12C5"/>
    <w:rsid w:val="001D18F3"/>
    <w:rsid w:val="001D2FEB"/>
    <w:rsid w:val="001D3022"/>
    <w:rsid w:val="001D3EF0"/>
    <w:rsid w:val="001D40D7"/>
    <w:rsid w:val="001D4CA3"/>
    <w:rsid w:val="001D50CD"/>
    <w:rsid w:val="001D5A17"/>
    <w:rsid w:val="001D5DC3"/>
    <w:rsid w:val="001D7988"/>
    <w:rsid w:val="001E1761"/>
    <w:rsid w:val="001E5386"/>
    <w:rsid w:val="001E684E"/>
    <w:rsid w:val="001F26D0"/>
    <w:rsid w:val="001F49E9"/>
    <w:rsid w:val="001F79C9"/>
    <w:rsid w:val="001F7BF2"/>
    <w:rsid w:val="00200713"/>
    <w:rsid w:val="00201FA8"/>
    <w:rsid w:val="0020688D"/>
    <w:rsid w:val="002071B6"/>
    <w:rsid w:val="002108B0"/>
    <w:rsid w:val="00211843"/>
    <w:rsid w:val="00212509"/>
    <w:rsid w:val="002141BB"/>
    <w:rsid w:val="00216568"/>
    <w:rsid w:val="00217FDF"/>
    <w:rsid w:val="0022034E"/>
    <w:rsid w:val="00225C56"/>
    <w:rsid w:val="002264B1"/>
    <w:rsid w:val="0022694B"/>
    <w:rsid w:val="00235845"/>
    <w:rsid w:val="00235B7A"/>
    <w:rsid w:val="002361B1"/>
    <w:rsid w:val="00237614"/>
    <w:rsid w:val="00243182"/>
    <w:rsid w:val="00243458"/>
    <w:rsid w:val="00246223"/>
    <w:rsid w:val="0024725E"/>
    <w:rsid w:val="00247A4F"/>
    <w:rsid w:val="002512AC"/>
    <w:rsid w:val="00251ECD"/>
    <w:rsid w:val="00252864"/>
    <w:rsid w:val="00252D36"/>
    <w:rsid w:val="00253AF9"/>
    <w:rsid w:val="002540AF"/>
    <w:rsid w:val="00255846"/>
    <w:rsid w:val="00260406"/>
    <w:rsid w:val="00260EBE"/>
    <w:rsid w:val="00261FB1"/>
    <w:rsid w:val="00263F73"/>
    <w:rsid w:val="00264458"/>
    <w:rsid w:val="0026560B"/>
    <w:rsid w:val="0026644B"/>
    <w:rsid w:val="00266BA9"/>
    <w:rsid w:val="00266D8F"/>
    <w:rsid w:val="002749B0"/>
    <w:rsid w:val="00277942"/>
    <w:rsid w:val="002807AF"/>
    <w:rsid w:val="00281524"/>
    <w:rsid w:val="002816A4"/>
    <w:rsid w:val="00281BEA"/>
    <w:rsid w:val="0028363C"/>
    <w:rsid w:val="0028551A"/>
    <w:rsid w:val="00285C81"/>
    <w:rsid w:val="0029045E"/>
    <w:rsid w:val="002908E7"/>
    <w:rsid w:val="0029143B"/>
    <w:rsid w:val="002914F8"/>
    <w:rsid w:val="002931D0"/>
    <w:rsid w:val="002950B7"/>
    <w:rsid w:val="002953FC"/>
    <w:rsid w:val="0029546C"/>
    <w:rsid w:val="00296F12"/>
    <w:rsid w:val="002A56BC"/>
    <w:rsid w:val="002B0C74"/>
    <w:rsid w:val="002B102E"/>
    <w:rsid w:val="002B1A2C"/>
    <w:rsid w:val="002B46DD"/>
    <w:rsid w:val="002C0DA2"/>
    <w:rsid w:val="002C26E1"/>
    <w:rsid w:val="002C2AC1"/>
    <w:rsid w:val="002C2B00"/>
    <w:rsid w:val="002C6965"/>
    <w:rsid w:val="002C7886"/>
    <w:rsid w:val="002C7E92"/>
    <w:rsid w:val="002D2120"/>
    <w:rsid w:val="002D6C03"/>
    <w:rsid w:val="002D70A7"/>
    <w:rsid w:val="002E0159"/>
    <w:rsid w:val="002E1831"/>
    <w:rsid w:val="002E1922"/>
    <w:rsid w:val="002E1FDF"/>
    <w:rsid w:val="002E34B3"/>
    <w:rsid w:val="002E47AD"/>
    <w:rsid w:val="002E4DF4"/>
    <w:rsid w:val="002E536B"/>
    <w:rsid w:val="002F66AE"/>
    <w:rsid w:val="002F721F"/>
    <w:rsid w:val="00300669"/>
    <w:rsid w:val="00301A59"/>
    <w:rsid w:val="00302B46"/>
    <w:rsid w:val="00303B3E"/>
    <w:rsid w:val="0030475D"/>
    <w:rsid w:val="00304EBB"/>
    <w:rsid w:val="0030558F"/>
    <w:rsid w:val="0030737D"/>
    <w:rsid w:val="00310D34"/>
    <w:rsid w:val="00310FF4"/>
    <w:rsid w:val="00314421"/>
    <w:rsid w:val="00316372"/>
    <w:rsid w:val="00316AFD"/>
    <w:rsid w:val="00321BB3"/>
    <w:rsid w:val="00322DD9"/>
    <w:rsid w:val="003267FA"/>
    <w:rsid w:val="00327762"/>
    <w:rsid w:val="00330522"/>
    <w:rsid w:val="0033253A"/>
    <w:rsid w:val="00333492"/>
    <w:rsid w:val="0033372A"/>
    <w:rsid w:val="00335DBC"/>
    <w:rsid w:val="00342423"/>
    <w:rsid w:val="00343F7C"/>
    <w:rsid w:val="00345D58"/>
    <w:rsid w:val="003473E5"/>
    <w:rsid w:val="00347F22"/>
    <w:rsid w:val="0035085C"/>
    <w:rsid w:val="00350FDB"/>
    <w:rsid w:val="00351695"/>
    <w:rsid w:val="00351B13"/>
    <w:rsid w:val="00354B27"/>
    <w:rsid w:val="0035541D"/>
    <w:rsid w:val="003564AA"/>
    <w:rsid w:val="00356B93"/>
    <w:rsid w:val="003601FB"/>
    <w:rsid w:val="00361B9C"/>
    <w:rsid w:val="00361EB1"/>
    <w:rsid w:val="003627D4"/>
    <w:rsid w:val="00362B14"/>
    <w:rsid w:val="00362DFC"/>
    <w:rsid w:val="00363501"/>
    <w:rsid w:val="00363AE6"/>
    <w:rsid w:val="00363AF2"/>
    <w:rsid w:val="00364A82"/>
    <w:rsid w:val="003651B6"/>
    <w:rsid w:val="003718BE"/>
    <w:rsid w:val="003734EF"/>
    <w:rsid w:val="00374B69"/>
    <w:rsid w:val="003751CC"/>
    <w:rsid w:val="00376EF6"/>
    <w:rsid w:val="00380087"/>
    <w:rsid w:val="00380EAD"/>
    <w:rsid w:val="0038246E"/>
    <w:rsid w:val="003870F1"/>
    <w:rsid w:val="0039015D"/>
    <w:rsid w:val="00390F5C"/>
    <w:rsid w:val="003928FA"/>
    <w:rsid w:val="00393500"/>
    <w:rsid w:val="00393E64"/>
    <w:rsid w:val="00394422"/>
    <w:rsid w:val="00394EF3"/>
    <w:rsid w:val="00395481"/>
    <w:rsid w:val="003A00E6"/>
    <w:rsid w:val="003A0680"/>
    <w:rsid w:val="003A0C93"/>
    <w:rsid w:val="003A111E"/>
    <w:rsid w:val="003A112B"/>
    <w:rsid w:val="003A13E3"/>
    <w:rsid w:val="003A3AAC"/>
    <w:rsid w:val="003A3F20"/>
    <w:rsid w:val="003A415A"/>
    <w:rsid w:val="003A4183"/>
    <w:rsid w:val="003A48D8"/>
    <w:rsid w:val="003A49D7"/>
    <w:rsid w:val="003A602F"/>
    <w:rsid w:val="003A649A"/>
    <w:rsid w:val="003A72D0"/>
    <w:rsid w:val="003A7619"/>
    <w:rsid w:val="003B0800"/>
    <w:rsid w:val="003B0EC6"/>
    <w:rsid w:val="003B1455"/>
    <w:rsid w:val="003B1728"/>
    <w:rsid w:val="003B2E9A"/>
    <w:rsid w:val="003B411C"/>
    <w:rsid w:val="003B4415"/>
    <w:rsid w:val="003B5E50"/>
    <w:rsid w:val="003B6FAA"/>
    <w:rsid w:val="003C02EC"/>
    <w:rsid w:val="003C0C52"/>
    <w:rsid w:val="003C2ABD"/>
    <w:rsid w:val="003C3D2A"/>
    <w:rsid w:val="003C507C"/>
    <w:rsid w:val="003D0DFE"/>
    <w:rsid w:val="003D151F"/>
    <w:rsid w:val="003D1F93"/>
    <w:rsid w:val="003D29F2"/>
    <w:rsid w:val="003D2E38"/>
    <w:rsid w:val="003D350A"/>
    <w:rsid w:val="003D38A8"/>
    <w:rsid w:val="003D39B6"/>
    <w:rsid w:val="003D524A"/>
    <w:rsid w:val="003D58B4"/>
    <w:rsid w:val="003D687D"/>
    <w:rsid w:val="003D78A4"/>
    <w:rsid w:val="003D7A8D"/>
    <w:rsid w:val="003E146F"/>
    <w:rsid w:val="003E26AC"/>
    <w:rsid w:val="003E5722"/>
    <w:rsid w:val="003E670B"/>
    <w:rsid w:val="003E7699"/>
    <w:rsid w:val="003F1C0F"/>
    <w:rsid w:val="003F429D"/>
    <w:rsid w:val="003F7182"/>
    <w:rsid w:val="00400224"/>
    <w:rsid w:val="00403DC2"/>
    <w:rsid w:val="004044DE"/>
    <w:rsid w:val="004078CA"/>
    <w:rsid w:val="004139EC"/>
    <w:rsid w:val="0041442C"/>
    <w:rsid w:val="004161F0"/>
    <w:rsid w:val="00422684"/>
    <w:rsid w:val="00422CE8"/>
    <w:rsid w:val="00423044"/>
    <w:rsid w:val="0042355A"/>
    <w:rsid w:val="0042551B"/>
    <w:rsid w:val="004259C6"/>
    <w:rsid w:val="00425F04"/>
    <w:rsid w:val="0043326F"/>
    <w:rsid w:val="00433B7F"/>
    <w:rsid w:val="00433CE3"/>
    <w:rsid w:val="00436E04"/>
    <w:rsid w:val="00437118"/>
    <w:rsid w:val="00437D55"/>
    <w:rsid w:val="00444DC0"/>
    <w:rsid w:val="00445228"/>
    <w:rsid w:val="00446934"/>
    <w:rsid w:val="00446AD7"/>
    <w:rsid w:val="00446B86"/>
    <w:rsid w:val="0045082A"/>
    <w:rsid w:val="00452345"/>
    <w:rsid w:val="00455851"/>
    <w:rsid w:val="00456DAC"/>
    <w:rsid w:val="004576EB"/>
    <w:rsid w:val="00457C88"/>
    <w:rsid w:val="00461430"/>
    <w:rsid w:val="0046242B"/>
    <w:rsid w:val="004627FB"/>
    <w:rsid w:val="00463CE9"/>
    <w:rsid w:val="00465A95"/>
    <w:rsid w:val="00466A17"/>
    <w:rsid w:val="00466A22"/>
    <w:rsid w:val="00467C15"/>
    <w:rsid w:val="0047035F"/>
    <w:rsid w:val="00472028"/>
    <w:rsid w:val="004729AE"/>
    <w:rsid w:val="00472A85"/>
    <w:rsid w:val="00477AA1"/>
    <w:rsid w:val="004810A1"/>
    <w:rsid w:val="0048457B"/>
    <w:rsid w:val="004854F4"/>
    <w:rsid w:val="004859E9"/>
    <w:rsid w:val="00486860"/>
    <w:rsid w:val="00486F09"/>
    <w:rsid w:val="00487082"/>
    <w:rsid w:val="00487212"/>
    <w:rsid w:val="00490D21"/>
    <w:rsid w:val="00490E05"/>
    <w:rsid w:val="00491109"/>
    <w:rsid w:val="00494D9A"/>
    <w:rsid w:val="004952BE"/>
    <w:rsid w:val="004967E2"/>
    <w:rsid w:val="00497567"/>
    <w:rsid w:val="0049785E"/>
    <w:rsid w:val="004A03B8"/>
    <w:rsid w:val="004A0BC8"/>
    <w:rsid w:val="004A1C37"/>
    <w:rsid w:val="004A206E"/>
    <w:rsid w:val="004A419C"/>
    <w:rsid w:val="004A43CE"/>
    <w:rsid w:val="004A51EE"/>
    <w:rsid w:val="004A6DC4"/>
    <w:rsid w:val="004A726C"/>
    <w:rsid w:val="004A74E6"/>
    <w:rsid w:val="004A799A"/>
    <w:rsid w:val="004A7D4A"/>
    <w:rsid w:val="004B06E6"/>
    <w:rsid w:val="004B1757"/>
    <w:rsid w:val="004B37AC"/>
    <w:rsid w:val="004B4E23"/>
    <w:rsid w:val="004B7BE8"/>
    <w:rsid w:val="004C0D16"/>
    <w:rsid w:val="004C16C2"/>
    <w:rsid w:val="004C4752"/>
    <w:rsid w:val="004C4EA8"/>
    <w:rsid w:val="004C5FFF"/>
    <w:rsid w:val="004C669A"/>
    <w:rsid w:val="004C6D11"/>
    <w:rsid w:val="004C7489"/>
    <w:rsid w:val="004D36E1"/>
    <w:rsid w:val="004D40C7"/>
    <w:rsid w:val="004D4AF1"/>
    <w:rsid w:val="004D50C7"/>
    <w:rsid w:val="004E4625"/>
    <w:rsid w:val="004E46D6"/>
    <w:rsid w:val="004E5437"/>
    <w:rsid w:val="004E7326"/>
    <w:rsid w:val="004F170F"/>
    <w:rsid w:val="004F2545"/>
    <w:rsid w:val="004F365B"/>
    <w:rsid w:val="004F4559"/>
    <w:rsid w:val="004F6095"/>
    <w:rsid w:val="00500906"/>
    <w:rsid w:val="00504BD9"/>
    <w:rsid w:val="00505A98"/>
    <w:rsid w:val="00505D50"/>
    <w:rsid w:val="005067D7"/>
    <w:rsid w:val="00507661"/>
    <w:rsid w:val="00507AF7"/>
    <w:rsid w:val="00507FD5"/>
    <w:rsid w:val="0051188F"/>
    <w:rsid w:val="00511B74"/>
    <w:rsid w:val="005130AF"/>
    <w:rsid w:val="00515AC6"/>
    <w:rsid w:val="0051662E"/>
    <w:rsid w:val="0052090B"/>
    <w:rsid w:val="00520DBA"/>
    <w:rsid w:val="0052221B"/>
    <w:rsid w:val="00522B18"/>
    <w:rsid w:val="00526081"/>
    <w:rsid w:val="005268B9"/>
    <w:rsid w:val="0052727E"/>
    <w:rsid w:val="0053132E"/>
    <w:rsid w:val="0053289C"/>
    <w:rsid w:val="00534B2A"/>
    <w:rsid w:val="00534EF8"/>
    <w:rsid w:val="00534FB0"/>
    <w:rsid w:val="005408C9"/>
    <w:rsid w:val="00540B14"/>
    <w:rsid w:val="00542924"/>
    <w:rsid w:val="0054553E"/>
    <w:rsid w:val="005513D4"/>
    <w:rsid w:val="005525ED"/>
    <w:rsid w:val="005527F9"/>
    <w:rsid w:val="00557DCC"/>
    <w:rsid w:val="00562066"/>
    <w:rsid w:val="0056432E"/>
    <w:rsid w:val="005672A8"/>
    <w:rsid w:val="00570009"/>
    <w:rsid w:val="00570FD0"/>
    <w:rsid w:val="005717A5"/>
    <w:rsid w:val="00572AAE"/>
    <w:rsid w:val="00573C59"/>
    <w:rsid w:val="005745F0"/>
    <w:rsid w:val="005769C1"/>
    <w:rsid w:val="00577CA0"/>
    <w:rsid w:val="00581659"/>
    <w:rsid w:val="00581717"/>
    <w:rsid w:val="00582D12"/>
    <w:rsid w:val="00582D78"/>
    <w:rsid w:val="00584DA3"/>
    <w:rsid w:val="00591801"/>
    <w:rsid w:val="00592332"/>
    <w:rsid w:val="005955FC"/>
    <w:rsid w:val="00595752"/>
    <w:rsid w:val="00595E6A"/>
    <w:rsid w:val="005965B0"/>
    <w:rsid w:val="005A0F35"/>
    <w:rsid w:val="005A2CD9"/>
    <w:rsid w:val="005A604E"/>
    <w:rsid w:val="005A626E"/>
    <w:rsid w:val="005A64ED"/>
    <w:rsid w:val="005B1F77"/>
    <w:rsid w:val="005B2D1F"/>
    <w:rsid w:val="005B40AB"/>
    <w:rsid w:val="005B5F16"/>
    <w:rsid w:val="005C0347"/>
    <w:rsid w:val="005C181C"/>
    <w:rsid w:val="005C3792"/>
    <w:rsid w:val="005D144B"/>
    <w:rsid w:val="005D3443"/>
    <w:rsid w:val="005D6C15"/>
    <w:rsid w:val="005D6D91"/>
    <w:rsid w:val="005E01A8"/>
    <w:rsid w:val="005E1DC4"/>
    <w:rsid w:val="005E7FD6"/>
    <w:rsid w:val="005F0D56"/>
    <w:rsid w:val="005F306B"/>
    <w:rsid w:val="005F36C0"/>
    <w:rsid w:val="005F3700"/>
    <w:rsid w:val="005F4A60"/>
    <w:rsid w:val="005F4C52"/>
    <w:rsid w:val="005F59B6"/>
    <w:rsid w:val="005F6897"/>
    <w:rsid w:val="005F72BF"/>
    <w:rsid w:val="005F74D6"/>
    <w:rsid w:val="0060008B"/>
    <w:rsid w:val="00600531"/>
    <w:rsid w:val="006010DE"/>
    <w:rsid w:val="00602143"/>
    <w:rsid w:val="00604234"/>
    <w:rsid w:val="00607C58"/>
    <w:rsid w:val="00612FAB"/>
    <w:rsid w:val="00613B95"/>
    <w:rsid w:val="00614956"/>
    <w:rsid w:val="006166BC"/>
    <w:rsid w:val="00617CC4"/>
    <w:rsid w:val="00621108"/>
    <w:rsid w:val="006214F5"/>
    <w:rsid w:val="006220B5"/>
    <w:rsid w:val="00627AB7"/>
    <w:rsid w:val="00631D86"/>
    <w:rsid w:val="0063592C"/>
    <w:rsid w:val="00637594"/>
    <w:rsid w:val="006379F3"/>
    <w:rsid w:val="00640119"/>
    <w:rsid w:val="0064068B"/>
    <w:rsid w:val="0064140F"/>
    <w:rsid w:val="0064561E"/>
    <w:rsid w:val="006504AF"/>
    <w:rsid w:val="00651682"/>
    <w:rsid w:val="00651D24"/>
    <w:rsid w:val="006542F6"/>
    <w:rsid w:val="006546B9"/>
    <w:rsid w:val="00654BE9"/>
    <w:rsid w:val="00655826"/>
    <w:rsid w:val="00655ED1"/>
    <w:rsid w:val="00657169"/>
    <w:rsid w:val="00661B9B"/>
    <w:rsid w:val="006633A1"/>
    <w:rsid w:val="006642E3"/>
    <w:rsid w:val="006646AD"/>
    <w:rsid w:val="0066580D"/>
    <w:rsid w:val="00670028"/>
    <w:rsid w:val="006729AF"/>
    <w:rsid w:val="00674455"/>
    <w:rsid w:val="00676BC6"/>
    <w:rsid w:val="00681129"/>
    <w:rsid w:val="0068189F"/>
    <w:rsid w:val="00681BC9"/>
    <w:rsid w:val="00681D71"/>
    <w:rsid w:val="00682106"/>
    <w:rsid w:val="00687FF1"/>
    <w:rsid w:val="00690182"/>
    <w:rsid w:val="006912CD"/>
    <w:rsid w:val="0069475A"/>
    <w:rsid w:val="006955E1"/>
    <w:rsid w:val="006960E0"/>
    <w:rsid w:val="006A1404"/>
    <w:rsid w:val="006A3525"/>
    <w:rsid w:val="006A5200"/>
    <w:rsid w:val="006A5F11"/>
    <w:rsid w:val="006B1BFB"/>
    <w:rsid w:val="006B2135"/>
    <w:rsid w:val="006B7E2A"/>
    <w:rsid w:val="006C0A8B"/>
    <w:rsid w:val="006C1B1C"/>
    <w:rsid w:val="006C1C47"/>
    <w:rsid w:val="006C2C76"/>
    <w:rsid w:val="006C3C02"/>
    <w:rsid w:val="006C498F"/>
    <w:rsid w:val="006C60E5"/>
    <w:rsid w:val="006C6ABB"/>
    <w:rsid w:val="006C7B43"/>
    <w:rsid w:val="006C7FB8"/>
    <w:rsid w:val="006D0805"/>
    <w:rsid w:val="006D2D40"/>
    <w:rsid w:val="006D31EA"/>
    <w:rsid w:val="006D356B"/>
    <w:rsid w:val="006D3944"/>
    <w:rsid w:val="006D41E9"/>
    <w:rsid w:val="006D4DAC"/>
    <w:rsid w:val="006D6989"/>
    <w:rsid w:val="006D7564"/>
    <w:rsid w:val="006D7D93"/>
    <w:rsid w:val="006E0964"/>
    <w:rsid w:val="006E1261"/>
    <w:rsid w:val="006E252B"/>
    <w:rsid w:val="006E59C8"/>
    <w:rsid w:val="006F1355"/>
    <w:rsid w:val="006F1C7D"/>
    <w:rsid w:val="006F31A8"/>
    <w:rsid w:val="006F58E9"/>
    <w:rsid w:val="006F5E6A"/>
    <w:rsid w:val="0070544D"/>
    <w:rsid w:val="0071123E"/>
    <w:rsid w:val="00714D6F"/>
    <w:rsid w:val="007155C2"/>
    <w:rsid w:val="00716940"/>
    <w:rsid w:val="00717DB5"/>
    <w:rsid w:val="007202B7"/>
    <w:rsid w:val="00720A23"/>
    <w:rsid w:val="007219D6"/>
    <w:rsid w:val="00722299"/>
    <w:rsid w:val="00723F01"/>
    <w:rsid w:val="007307E0"/>
    <w:rsid w:val="007317FC"/>
    <w:rsid w:val="00731CF0"/>
    <w:rsid w:val="007373B5"/>
    <w:rsid w:val="00737C64"/>
    <w:rsid w:val="0074119C"/>
    <w:rsid w:val="00741AC4"/>
    <w:rsid w:val="007433B7"/>
    <w:rsid w:val="0074378E"/>
    <w:rsid w:val="00744640"/>
    <w:rsid w:val="007451AD"/>
    <w:rsid w:val="00747C43"/>
    <w:rsid w:val="0075004E"/>
    <w:rsid w:val="0075051A"/>
    <w:rsid w:val="0075164C"/>
    <w:rsid w:val="007533B8"/>
    <w:rsid w:val="00753F62"/>
    <w:rsid w:val="0075465C"/>
    <w:rsid w:val="00754734"/>
    <w:rsid w:val="00755188"/>
    <w:rsid w:val="00755848"/>
    <w:rsid w:val="00755F03"/>
    <w:rsid w:val="00756092"/>
    <w:rsid w:val="007566B0"/>
    <w:rsid w:val="00757BD2"/>
    <w:rsid w:val="00762A8E"/>
    <w:rsid w:val="007642A5"/>
    <w:rsid w:val="007645B3"/>
    <w:rsid w:val="00765C27"/>
    <w:rsid w:val="00766FF1"/>
    <w:rsid w:val="0076751A"/>
    <w:rsid w:val="00770B33"/>
    <w:rsid w:val="00772842"/>
    <w:rsid w:val="007770F9"/>
    <w:rsid w:val="0078044C"/>
    <w:rsid w:val="0078110B"/>
    <w:rsid w:val="00781396"/>
    <w:rsid w:val="007814AD"/>
    <w:rsid w:val="00782E94"/>
    <w:rsid w:val="007835F1"/>
    <w:rsid w:val="00783CF4"/>
    <w:rsid w:val="00785C06"/>
    <w:rsid w:val="00787F33"/>
    <w:rsid w:val="0079178C"/>
    <w:rsid w:val="00791952"/>
    <w:rsid w:val="00791D5D"/>
    <w:rsid w:val="00793818"/>
    <w:rsid w:val="00793A91"/>
    <w:rsid w:val="007942F0"/>
    <w:rsid w:val="00795258"/>
    <w:rsid w:val="00795545"/>
    <w:rsid w:val="007A052D"/>
    <w:rsid w:val="007A39AE"/>
    <w:rsid w:val="007A3C52"/>
    <w:rsid w:val="007A4A86"/>
    <w:rsid w:val="007A548F"/>
    <w:rsid w:val="007A6350"/>
    <w:rsid w:val="007A7C2B"/>
    <w:rsid w:val="007B140D"/>
    <w:rsid w:val="007B2F11"/>
    <w:rsid w:val="007B30F1"/>
    <w:rsid w:val="007B38AD"/>
    <w:rsid w:val="007B493D"/>
    <w:rsid w:val="007B7983"/>
    <w:rsid w:val="007C07A6"/>
    <w:rsid w:val="007C264E"/>
    <w:rsid w:val="007C425A"/>
    <w:rsid w:val="007C5154"/>
    <w:rsid w:val="007C5F7D"/>
    <w:rsid w:val="007C7316"/>
    <w:rsid w:val="007D1057"/>
    <w:rsid w:val="007D1305"/>
    <w:rsid w:val="007D2126"/>
    <w:rsid w:val="007D2873"/>
    <w:rsid w:val="007D2DC5"/>
    <w:rsid w:val="007D3036"/>
    <w:rsid w:val="007D4DF0"/>
    <w:rsid w:val="007D5DF0"/>
    <w:rsid w:val="007D6301"/>
    <w:rsid w:val="007E7B11"/>
    <w:rsid w:val="007F184C"/>
    <w:rsid w:val="007F2106"/>
    <w:rsid w:val="007F253A"/>
    <w:rsid w:val="007F393E"/>
    <w:rsid w:val="007F43C1"/>
    <w:rsid w:val="007F5C10"/>
    <w:rsid w:val="007F5D3C"/>
    <w:rsid w:val="00802BA5"/>
    <w:rsid w:val="00802D19"/>
    <w:rsid w:val="00805E5B"/>
    <w:rsid w:val="00805F42"/>
    <w:rsid w:val="00807840"/>
    <w:rsid w:val="0080795A"/>
    <w:rsid w:val="00813192"/>
    <w:rsid w:val="00813ED2"/>
    <w:rsid w:val="00816471"/>
    <w:rsid w:val="00822B22"/>
    <w:rsid w:val="0082319E"/>
    <w:rsid w:val="00824004"/>
    <w:rsid w:val="008309AF"/>
    <w:rsid w:val="00833988"/>
    <w:rsid w:val="00833B8C"/>
    <w:rsid w:val="008342B4"/>
    <w:rsid w:val="0083475D"/>
    <w:rsid w:val="00834856"/>
    <w:rsid w:val="00840C20"/>
    <w:rsid w:val="00847887"/>
    <w:rsid w:val="00847D96"/>
    <w:rsid w:val="00853EC6"/>
    <w:rsid w:val="00854C38"/>
    <w:rsid w:val="008554C0"/>
    <w:rsid w:val="00856455"/>
    <w:rsid w:val="0086333F"/>
    <w:rsid w:val="00863554"/>
    <w:rsid w:val="00864E07"/>
    <w:rsid w:val="0086656A"/>
    <w:rsid w:val="00866C12"/>
    <w:rsid w:val="008701C6"/>
    <w:rsid w:val="00874EE9"/>
    <w:rsid w:val="00882E8F"/>
    <w:rsid w:val="00886248"/>
    <w:rsid w:val="0088729F"/>
    <w:rsid w:val="00887A49"/>
    <w:rsid w:val="0089084C"/>
    <w:rsid w:val="00891168"/>
    <w:rsid w:val="00891ADB"/>
    <w:rsid w:val="00892D16"/>
    <w:rsid w:val="0089489E"/>
    <w:rsid w:val="00894DDA"/>
    <w:rsid w:val="00896B0B"/>
    <w:rsid w:val="008974FB"/>
    <w:rsid w:val="0089779C"/>
    <w:rsid w:val="008A374B"/>
    <w:rsid w:val="008A3790"/>
    <w:rsid w:val="008A3CF3"/>
    <w:rsid w:val="008A59FF"/>
    <w:rsid w:val="008A7C2F"/>
    <w:rsid w:val="008A7C97"/>
    <w:rsid w:val="008B144E"/>
    <w:rsid w:val="008B1973"/>
    <w:rsid w:val="008B31B5"/>
    <w:rsid w:val="008B4355"/>
    <w:rsid w:val="008B743B"/>
    <w:rsid w:val="008B7D86"/>
    <w:rsid w:val="008C1020"/>
    <w:rsid w:val="008C10E6"/>
    <w:rsid w:val="008C1384"/>
    <w:rsid w:val="008C2558"/>
    <w:rsid w:val="008C379C"/>
    <w:rsid w:val="008C4346"/>
    <w:rsid w:val="008C6726"/>
    <w:rsid w:val="008D0228"/>
    <w:rsid w:val="008D0526"/>
    <w:rsid w:val="008D2CB7"/>
    <w:rsid w:val="008D4017"/>
    <w:rsid w:val="008D4664"/>
    <w:rsid w:val="008D570B"/>
    <w:rsid w:val="008D6A24"/>
    <w:rsid w:val="008D7407"/>
    <w:rsid w:val="008D7A0D"/>
    <w:rsid w:val="008E13E7"/>
    <w:rsid w:val="008E20BB"/>
    <w:rsid w:val="008E3138"/>
    <w:rsid w:val="008E3C33"/>
    <w:rsid w:val="008E4A23"/>
    <w:rsid w:val="008E6779"/>
    <w:rsid w:val="008E6E7B"/>
    <w:rsid w:val="008E73B0"/>
    <w:rsid w:val="008E7B0A"/>
    <w:rsid w:val="008F1050"/>
    <w:rsid w:val="008F2CDD"/>
    <w:rsid w:val="008F3C5A"/>
    <w:rsid w:val="008F4417"/>
    <w:rsid w:val="008F5A82"/>
    <w:rsid w:val="008F6CB4"/>
    <w:rsid w:val="008F7792"/>
    <w:rsid w:val="008F7A92"/>
    <w:rsid w:val="009009C3"/>
    <w:rsid w:val="00901457"/>
    <w:rsid w:val="009022E6"/>
    <w:rsid w:val="0090359B"/>
    <w:rsid w:val="00904523"/>
    <w:rsid w:val="00905E73"/>
    <w:rsid w:val="00905E8C"/>
    <w:rsid w:val="00906BF2"/>
    <w:rsid w:val="00906CEF"/>
    <w:rsid w:val="0090722B"/>
    <w:rsid w:val="009112BC"/>
    <w:rsid w:val="00915948"/>
    <w:rsid w:val="00921272"/>
    <w:rsid w:val="009249C6"/>
    <w:rsid w:val="00925BEF"/>
    <w:rsid w:val="009266C9"/>
    <w:rsid w:val="00927D00"/>
    <w:rsid w:val="00930321"/>
    <w:rsid w:val="00930894"/>
    <w:rsid w:val="00930E32"/>
    <w:rsid w:val="00931A1B"/>
    <w:rsid w:val="00932811"/>
    <w:rsid w:val="00932AD3"/>
    <w:rsid w:val="00933452"/>
    <w:rsid w:val="009342C7"/>
    <w:rsid w:val="009344AA"/>
    <w:rsid w:val="00936D79"/>
    <w:rsid w:val="0093713C"/>
    <w:rsid w:val="00940353"/>
    <w:rsid w:val="009408F4"/>
    <w:rsid w:val="009419AF"/>
    <w:rsid w:val="00943B32"/>
    <w:rsid w:val="00945708"/>
    <w:rsid w:val="0094687F"/>
    <w:rsid w:val="009472AD"/>
    <w:rsid w:val="009475BC"/>
    <w:rsid w:val="0095205F"/>
    <w:rsid w:val="0095258D"/>
    <w:rsid w:val="0095350F"/>
    <w:rsid w:val="009543A0"/>
    <w:rsid w:val="00954F1D"/>
    <w:rsid w:val="00956405"/>
    <w:rsid w:val="00957130"/>
    <w:rsid w:val="00960A65"/>
    <w:rsid w:val="00965BA6"/>
    <w:rsid w:val="009674AB"/>
    <w:rsid w:val="00970977"/>
    <w:rsid w:val="00971A85"/>
    <w:rsid w:val="00971BB8"/>
    <w:rsid w:val="009743BE"/>
    <w:rsid w:val="00974904"/>
    <w:rsid w:val="00974C3F"/>
    <w:rsid w:val="00977326"/>
    <w:rsid w:val="00977EEB"/>
    <w:rsid w:val="0098089A"/>
    <w:rsid w:val="00980F10"/>
    <w:rsid w:val="0098133A"/>
    <w:rsid w:val="0098183C"/>
    <w:rsid w:val="00981A8D"/>
    <w:rsid w:val="00981CCD"/>
    <w:rsid w:val="009834B1"/>
    <w:rsid w:val="0098400A"/>
    <w:rsid w:val="00984B37"/>
    <w:rsid w:val="00986902"/>
    <w:rsid w:val="00987462"/>
    <w:rsid w:val="00987E3E"/>
    <w:rsid w:val="00990962"/>
    <w:rsid w:val="0099216B"/>
    <w:rsid w:val="009928C0"/>
    <w:rsid w:val="009945AA"/>
    <w:rsid w:val="0099460F"/>
    <w:rsid w:val="00997903"/>
    <w:rsid w:val="009A577F"/>
    <w:rsid w:val="009A74E3"/>
    <w:rsid w:val="009A75E1"/>
    <w:rsid w:val="009B126A"/>
    <w:rsid w:val="009B2190"/>
    <w:rsid w:val="009B2218"/>
    <w:rsid w:val="009B29D6"/>
    <w:rsid w:val="009B5372"/>
    <w:rsid w:val="009B6988"/>
    <w:rsid w:val="009B6A26"/>
    <w:rsid w:val="009B7E26"/>
    <w:rsid w:val="009C012A"/>
    <w:rsid w:val="009C02A7"/>
    <w:rsid w:val="009C5FFE"/>
    <w:rsid w:val="009D0072"/>
    <w:rsid w:val="009D0253"/>
    <w:rsid w:val="009D7349"/>
    <w:rsid w:val="009D7EAD"/>
    <w:rsid w:val="009E025C"/>
    <w:rsid w:val="009E049B"/>
    <w:rsid w:val="009E3432"/>
    <w:rsid w:val="009E34A4"/>
    <w:rsid w:val="009E3572"/>
    <w:rsid w:val="009E3C57"/>
    <w:rsid w:val="009E5C0D"/>
    <w:rsid w:val="009E5F74"/>
    <w:rsid w:val="009E7239"/>
    <w:rsid w:val="009E7C5B"/>
    <w:rsid w:val="009F00A8"/>
    <w:rsid w:val="009F1A28"/>
    <w:rsid w:val="009F34B5"/>
    <w:rsid w:val="009F356C"/>
    <w:rsid w:val="009F529A"/>
    <w:rsid w:val="009F54B8"/>
    <w:rsid w:val="009F712D"/>
    <w:rsid w:val="00A003BD"/>
    <w:rsid w:val="00A00515"/>
    <w:rsid w:val="00A0112D"/>
    <w:rsid w:val="00A02EA1"/>
    <w:rsid w:val="00A03FFA"/>
    <w:rsid w:val="00A0493B"/>
    <w:rsid w:val="00A0587E"/>
    <w:rsid w:val="00A131AB"/>
    <w:rsid w:val="00A1455B"/>
    <w:rsid w:val="00A14639"/>
    <w:rsid w:val="00A1599B"/>
    <w:rsid w:val="00A15A7C"/>
    <w:rsid w:val="00A17449"/>
    <w:rsid w:val="00A20ED3"/>
    <w:rsid w:val="00A2303B"/>
    <w:rsid w:val="00A253DA"/>
    <w:rsid w:val="00A26098"/>
    <w:rsid w:val="00A2714A"/>
    <w:rsid w:val="00A31970"/>
    <w:rsid w:val="00A33045"/>
    <w:rsid w:val="00A331AA"/>
    <w:rsid w:val="00A348AD"/>
    <w:rsid w:val="00A377C7"/>
    <w:rsid w:val="00A37E1C"/>
    <w:rsid w:val="00A40182"/>
    <w:rsid w:val="00A40DA8"/>
    <w:rsid w:val="00A41FF9"/>
    <w:rsid w:val="00A4230E"/>
    <w:rsid w:val="00A439B4"/>
    <w:rsid w:val="00A441C7"/>
    <w:rsid w:val="00A45AF3"/>
    <w:rsid w:val="00A465F3"/>
    <w:rsid w:val="00A51315"/>
    <w:rsid w:val="00A525AB"/>
    <w:rsid w:val="00A5367A"/>
    <w:rsid w:val="00A557B3"/>
    <w:rsid w:val="00A60B72"/>
    <w:rsid w:val="00A60D17"/>
    <w:rsid w:val="00A630A6"/>
    <w:rsid w:val="00A6476C"/>
    <w:rsid w:val="00A64EB0"/>
    <w:rsid w:val="00A65862"/>
    <w:rsid w:val="00A66700"/>
    <w:rsid w:val="00A67EE4"/>
    <w:rsid w:val="00A67FD3"/>
    <w:rsid w:val="00A70139"/>
    <w:rsid w:val="00A70B3B"/>
    <w:rsid w:val="00A71716"/>
    <w:rsid w:val="00A741E6"/>
    <w:rsid w:val="00A7619C"/>
    <w:rsid w:val="00A7756B"/>
    <w:rsid w:val="00A81A9B"/>
    <w:rsid w:val="00A8210A"/>
    <w:rsid w:val="00A829D6"/>
    <w:rsid w:val="00A8331B"/>
    <w:rsid w:val="00A837F9"/>
    <w:rsid w:val="00A84312"/>
    <w:rsid w:val="00A8436A"/>
    <w:rsid w:val="00A86012"/>
    <w:rsid w:val="00A87FBB"/>
    <w:rsid w:val="00A9195E"/>
    <w:rsid w:val="00A93204"/>
    <w:rsid w:val="00A94549"/>
    <w:rsid w:val="00AA097A"/>
    <w:rsid w:val="00AA159F"/>
    <w:rsid w:val="00AB08E3"/>
    <w:rsid w:val="00AB3064"/>
    <w:rsid w:val="00AB63DE"/>
    <w:rsid w:val="00AB73FC"/>
    <w:rsid w:val="00AB7F71"/>
    <w:rsid w:val="00AC0170"/>
    <w:rsid w:val="00AC0B93"/>
    <w:rsid w:val="00AC1794"/>
    <w:rsid w:val="00AC3982"/>
    <w:rsid w:val="00AC5B94"/>
    <w:rsid w:val="00AC6270"/>
    <w:rsid w:val="00AC6324"/>
    <w:rsid w:val="00AC67E1"/>
    <w:rsid w:val="00AC7067"/>
    <w:rsid w:val="00AD1058"/>
    <w:rsid w:val="00AD114A"/>
    <w:rsid w:val="00AD309C"/>
    <w:rsid w:val="00AD48EC"/>
    <w:rsid w:val="00AD4928"/>
    <w:rsid w:val="00AD504D"/>
    <w:rsid w:val="00AD5AA1"/>
    <w:rsid w:val="00AD661F"/>
    <w:rsid w:val="00AD7347"/>
    <w:rsid w:val="00AD7C46"/>
    <w:rsid w:val="00AE336B"/>
    <w:rsid w:val="00AE33A1"/>
    <w:rsid w:val="00AE5373"/>
    <w:rsid w:val="00AE58B1"/>
    <w:rsid w:val="00AE5C15"/>
    <w:rsid w:val="00AE6D02"/>
    <w:rsid w:val="00AE7016"/>
    <w:rsid w:val="00AE77E9"/>
    <w:rsid w:val="00AE7BD4"/>
    <w:rsid w:val="00AF1302"/>
    <w:rsid w:val="00AF1958"/>
    <w:rsid w:val="00AF3684"/>
    <w:rsid w:val="00AF4BC9"/>
    <w:rsid w:val="00AF5A03"/>
    <w:rsid w:val="00AF6BBE"/>
    <w:rsid w:val="00B04057"/>
    <w:rsid w:val="00B044B0"/>
    <w:rsid w:val="00B04711"/>
    <w:rsid w:val="00B0509C"/>
    <w:rsid w:val="00B07D6F"/>
    <w:rsid w:val="00B102DC"/>
    <w:rsid w:val="00B11F70"/>
    <w:rsid w:val="00B12796"/>
    <w:rsid w:val="00B14FB4"/>
    <w:rsid w:val="00B17123"/>
    <w:rsid w:val="00B207AE"/>
    <w:rsid w:val="00B222FA"/>
    <w:rsid w:val="00B2350F"/>
    <w:rsid w:val="00B24B6F"/>
    <w:rsid w:val="00B266CB"/>
    <w:rsid w:val="00B3180D"/>
    <w:rsid w:val="00B3200D"/>
    <w:rsid w:val="00B342FE"/>
    <w:rsid w:val="00B35BD9"/>
    <w:rsid w:val="00B36A55"/>
    <w:rsid w:val="00B36CA1"/>
    <w:rsid w:val="00B36EBA"/>
    <w:rsid w:val="00B40A6B"/>
    <w:rsid w:val="00B433A9"/>
    <w:rsid w:val="00B43B54"/>
    <w:rsid w:val="00B45203"/>
    <w:rsid w:val="00B477FA"/>
    <w:rsid w:val="00B500CB"/>
    <w:rsid w:val="00B5032F"/>
    <w:rsid w:val="00B514E6"/>
    <w:rsid w:val="00B52114"/>
    <w:rsid w:val="00B5212A"/>
    <w:rsid w:val="00B5399E"/>
    <w:rsid w:val="00B556DC"/>
    <w:rsid w:val="00B55D28"/>
    <w:rsid w:val="00B611FC"/>
    <w:rsid w:val="00B61313"/>
    <w:rsid w:val="00B622FC"/>
    <w:rsid w:val="00B6309E"/>
    <w:rsid w:val="00B6341E"/>
    <w:rsid w:val="00B64CA8"/>
    <w:rsid w:val="00B67BFA"/>
    <w:rsid w:val="00B70243"/>
    <w:rsid w:val="00B739D7"/>
    <w:rsid w:val="00B73CB3"/>
    <w:rsid w:val="00B73CBE"/>
    <w:rsid w:val="00B76294"/>
    <w:rsid w:val="00B77F5E"/>
    <w:rsid w:val="00B827C8"/>
    <w:rsid w:val="00B83B19"/>
    <w:rsid w:val="00B87CB5"/>
    <w:rsid w:val="00B907D3"/>
    <w:rsid w:val="00B91884"/>
    <w:rsid w:val="00B9323D"/>
    <w:rsid w:val="00B95235"/>
    <w:rsid w:val="00B955F8"/>
    <w:rsid w:val="00B9654B"/>
    <w:rsid w:val="00BA0852"/>
    <w:rsid w:val="00BA0A60"/>
    <w:rsid w:val="00BA0F89"/>
    <w:rsid w:val="00BA3C05"/>
    <w:rsid w:val="00BA576A"/>
    <w:rsid w:val="00BB3846"/>
    <w:rsid w:val="00BB57FD"/>
    <w:rsid w:val="00BB6694"/>
    <w:rsid w:val="00BC02E6"/>
    <w:rsid w:val="00BC0681"/>
    <w:rsid w:val="00BC19AF"/>
    <w:rsid w:val="00BC1E62"/>
    <w:rsid w:val="00BC258B"/>
    <w:rsid w:val="00BC2A03"/>
    <w:rsid w:val="00BC30A9"/>
    <w:rsid w:val="00BC30DD"/>
    <w:rsid w:val="00BC31A0"/>
    <w:rsid w:val="00BC33B9"/>
    <w:rsid w:val="00BC408F"/>
    <w:rsid w:val="00BC4971"/>
    <w:rsid w:val="00BC6BE9"/>
    <w:rsid w:val="00BD194A"/>
    <w:rsid w:val="00BD2060"/>
    <w:rsid w:val="00BD4163"/>
    <w:rsid w:val="00BD4236"/>
    <w:rsid w:val="00BD6F0F"/>
    <w:rsid w:val="00BE0D67"/>
    <w:rsid w:val="00BE4290"/>
    <w:rsid w:val="00BE573A"/>
    <w:rsid w:val="00BE5EA8"/>
    <w:rsid w:val="00BF1718"/>
    <w:rsid w:val="00BF25EE"/>
    <w:rsid w:val="00BF2C30"/>
    <w:rsid w:val="00BF3845"/>
    <w:rsid w:val="00BF4102"/>
    <w:rsid w:val="00BF4BFD"/>
    <w:rsid w:val="00BF699A"/>
    <w:rsid w:val="00BF6BCB"/>
    <w:rsid w:val="00BF7176"/>
    <w:rsid w:val="00C00747"/>
    <w:rsid w:val="00C00CD1"/>
    <w:rsid w:val="00C030AE"/>
    <w:rsid w:val="00C03227"/>
    <w:rsid w:val="00C03405"/>
    <w:rsid w:val="00C036F2"/>
    <w:rsid w:val="00C03C62"/>
    <w:rsid w:val="00C045E6"/>
    <w:rsid w:val="00C04714"/>
    <w:rsid w:val="00C05F1C"/>
    <w:rsid w:val="00C07336"/>
    <w:rsid w:val="00C0788A"/>
    <w:rsid w:val="00C12B8D"/>
    <w:rsid w:val="00C149A5"/>
    <w:rsid w:val="00C1538E"/>
    <w:rsid w:val="00C169D9"/>
    <w:rsid w:val="00C16B6B"/>
    <w:rsid w:val="00C171C8"/>
    <w:rsid w:val="00C175CB"/>
    <w:rsid w:val="00C1766A"/>
    <w:rsid w:val="00C246FF"/>
    <w:rsid w:val="00C24AF7"/>
    <w:rsid w:val="00C260D3"/>
    <w:rsid w:val="00C277FC"/>
    <w:rsid w:val="00C308BB"/>
    <w:rsid w:val="00C30B99"/>
    <w:rsid w:val="00C321EA"/>
    <w:rsid w:val="00C323AC"/>
    <w:rsid w:val="00C32BE4"/>
    <w:rsid w:val="00C347AE"/>
    <w:rsid w:val="00C3702C"/>
    <w:rsid w:val="00C409B6"/>
    <w:rsid w:val="00C41AFB"/>
    <w:rsid w:val="00C432AB"/>
    <w:rsid w:val="00C443AD"/>
    <w:rsid w:val="00C45B1E"/>
    <w:rsid w:val="00C4655B"/>
    <w:rsid w:val="00C46BA9"/>
    <w:rsid w:val="00C52842"/>
    <w:rsid w:val="00C52E94"/>
    <w:rsid w:val="00C539EB"/>
    <w:rsid w:val="00C56195"/>
    <w:rsid w:val="00C613BC"/>
    <w:rsid w:val="00C631FB"/>
    <w:rsid w:val="00C64DAD"/>
    <w:rsid w:val="00C65880"/>
    <w:rsid w:val="00C661DA"/>
    <w:rsid w:val="00C700FA"/>
    <w:rsid w:val="00C7159E"/>
    <w:rsid w:val="00C74EC5"/>
    <w:rsid w:val="00C764FA"/>
    <w:rsid w:val="00C77CAB"/>
    <w:rsid w:val="00C85AE2"/>
    <w:rsid w:val="00C85D1E"/>
    <w:rsid w:val="00C92047"/>
    <w:rsid w:val="00C92627"/>
    <w:rsid w:val="00C92F29"/>
    <w:rsid w:val="00C97666"/>
    <w:rsid w:val="00CA1325"/>
    <w:rsid w:val="00CA1512"/>
    <w:rsid w:val="00CA35A7"/>
    <w:rsid w:val="00CA4F89"/>
    <w:rsid w:val="00CA53E2"/>
    <w:rsid w:val="00CA6189"/>
    <w:rsid w:val="00CA7F19"/>
    <w:rsid w:val="00CA7FD3"/>
    <w:rsid w:val="00CB0651"/>
    <w:rsid w:val="00CB08D4"/>
    <w:rsid w:val="00CB27C3"/>
    <w:rsid w:val="00CB586E"/>
    <w:rsid w:val="00CB6637"/>
    <w:rsid w:val="00CC0FE0"/>
    <w:rsid w:val="00CC19AC"/>
    <w:rsid w:val="00CC2ACC"/>
    <w:rsid w:val="00CC324B"/>
    <w:rsid w:val="00CC75B7"/>
    <w:rsid w:val="00CD009C"/>
    <w:rsid w:val="00CD0966"/>
    <w:rsid w:val="00CD20A3"/>
    <w:rsid w:val="00CD3647"/>
    <w:rsid w:val="00CD3F29"/>
    <w:rsid w:val="00CD63E3"/>
    <w:rsid w:val="00CD6893"/>
    <w:rsid w:val="00CD753D"/>
    <w:rsid w:val="00CE032F"/>
    <w:rsid w:val="00CE07CB"/>
    <w:rsid w:val="00CE0DFE"/>
    <w:rsid w:val="00CE1054"/>
    <w:rsid w:val="00CE3457"/>
    <w:rsid w:val="00CE3F7A"/>
    <w:rsid w:val="00CE4AED"/>
    <w:rsid w:val="00CE5847"/>
    <w:rsid w:val="00CF2E00"/>
    <w:rsid w:val="00CF2E0D"/>
    <w:rsid w:val="00CF3CFF"/>
    <w:rsid w:val="00CF4305"/>
    <w:rsid w:val="00CF5C74"/>
    <w:rsid w:val="00CF5DFA"/>
    <w:rsid w:val="00D00094"/>
    <w:rsid w:val="00D00B72"/>
    <w:rsid w:val="00D0122C"/>
    <w:rsid w:val="00D017F6"/>
    <w:rsid w:val="00D01A85"/>
    <w:rsid w:val="00D02371"/>
    <w:rsid w:val="00D02CE2"/>
    <w:rsid w:val="00D06C0B"/>
    <w:rsid w:val="00D112F0"/>
    <w:rsid w:val="00D11D6A"/>
    <w:rsid w:val="00D14518"/>
    <w:rsid w:val="00D151E0"/>
    <w:rsid w:val="00D179B5"/>
    <w:rsid w:val="00D17C1F"/>
    <w:rsid w:val="00D20C25"/>
    <w:rsid w:val="00D22FAA"/>
    <w:rsid w:val="00D24348"/>
    <w:rsid w:val="00D268FB"/>
    <w:rsid w:val="00D32575"/>
    <w:rsid w:val="00D32B18"/>
    <w:rsid w:val="00D3479B"/>
    <w:rsid w:val="00D36789"/>
    <w:rsid w:val="00D37648"/>
    <w:rsid w:val="00D409FE"/>
    <w:rsid w:val="00D40A5F"/>
    <w:rsid w:val="00D40CC3"/>
    <w:rsid w:val="00D4259E"/>
    <w:rsid w:val="00D44FC8"/>
    <w:rsid w:val="00D454B7"/>
    <w:rsid w:val="00D47950"/>
    <w:rsid w:val="00D47BF4"/>
    <w:rsid w:val="00D50144"/>
    <w:rsid w:val="00D51462"/>
    <w:rsid w:val="00D5147F"/>
    <w:rsid w:val="00D525F3"/>
    <w:rsid w:val="00D52778"/>
    <w:rsid w:val="00D54FB5"/>
    <w:rsid w:val="00D55F40"/>
    <w:rsid w:val="00D5603D"/>
    <w:rsid w:val="00D56CC0"/>
    <w:rsid w:val="00D57BB2"/>
    <w:rsid w:val="00D6127A"/>
    <w:rsid w:val="00D63EE5"/>
    <w:rsid w:val="00D6418E"/>
    <w:rsid w:val="00D64F4E"/>
    <w:rsid w:val="00D65109"/>
    <w:rsid w:val="00D665CA"/>
    <w:rsid w:val="00D66697"/>
    <w:rsid w:val="00D7020E"/>
    <w:rsid w:val="00D72FE0"/>
    <w:rsid w:val="00D752B4"/>
    <w:rsid w:val="00D752C2"/>
    <w:rsid w:val="00D7685F"/>
    <w:rsid w:val="00D768BB"/>
    <w:rsid w:val="00D7758D"/>
    <w:rsid w:val="00D80835"/>
    <w:rsid w:val="00D80893"/>
    <w:rsid w:val="00D81E1C"/>
    <w:rsid w:val="00D81FF3"/>
    <w:rsid w:val="00D82955"/>
    <w:rsid w:val="00D83604"/>
    <w:rsid w:val="00D845AA"/>
    <w:rsid w:val="00D85C4A"/>
    <w:rsid w:val="00D860CD"/>
    <w:rsid w:val="00D87531"/>
    <w:rsid w:val="00D906F7"/>
    <w:rsid w:val="00D907BD"/>
    <w:rsid w:val="00D90ADC"/>
    <w:rsid w:val="00D9197A"/>
    <w:rsid w:val="00D9204D"/>
    <w:rsid w:val="00D95A6C"/>
    <w:rsid w:val="00D965CC"/>
    <w:rsid w:val="00D97233"/>
    <w:rsid w:val="00D973EB"/>
    <w:rsid w:val="00D9799C"/>
    <w:rsid w:val="00D97D00"/>
    <w:rsid w:val="00DA1918"/>
    <w:rsid w:val="00DA32B0"/>
    <w:rsid w:val="00DA34AF"/>
    <w:rsid w:val="00DA3AC7"/>
    <w:rsid w:val="00DA6C87"/>
    <w:rsid w:val="00DA7B15"/>
    <w:rsid w:val="00DB0133"/>
    <w:rsid w:val="00DB1493"/>
    <w:rsid w:val="00DB2FE4"/>
    <w:rsid w:val="00DB6623"/>
    <w:rsid w:val="00DB71DD"/>
    <w:rsid w:val="00DB7C2E"/>
    <w:rsid w:val="00DC029A"/>
    <w:rsid w:val="00DC1197"/>
    <w:rsid w:val="00DC120D"/>
    <w:rsid w:val="00DC1C19"/>
    <w:rsid w:val="00DD03FF"/>
    <w:rsid w:val="00DD1FDF"/>
    <w:rsid w:val="00DD2D19"/>
    <w:rsid w:val="00DD2EF8"/>
    <w:rsid w:val="00DD3C3D"/>
    <w:rsid w:val="00DD46A0"/>
    <w:rsid w:val="00DD66F2"/>
    <w:rsid w:val="00DE4C8E"/>
    <w:rsid w:val="00DE4D2F"/>
    <w:rsid w:val="00DE5753"/>
    <w:rsid w:val="00DE6083"/>
    <w:rsid w:val="00DF0C9F"/>
    <w:rsid w:val="00DF2A9F"/>
    <w:rsid w:val="00DF4228"/>
    <w:rsid w:val="00DF4685"/>
    <w:rsid w:val="00DF4EE9"/>
    <w:rsid w:val="00DF5CE2"/>
    <w:rsid w:val="00DF6480"/>
    <w:rsid w:val="00DF7028"/>
    <w:rsid w:val="00DF73C5"/>
    <w:rsid w:val="00DF7900"/>
    <w:rsid w:val="00E00F15"/>
    <w:rsid w:val="00E0220F"/>
    <w:rsid w:val="00E04391"/>
    <w:rsid w:val="00E05069"/>
    <w:rsid w:val="00E05424"/>
    <w:rsid w:val="00E07869"/>
    <w:rsid w:val="00E108E5"/>
    <w:rsid w:val="00E10997"/>
    <w:rsid w:val="00E1162A"/>
    <w:rsid w:val="00E11B98"/>
    <w:rsid w:val="00E163B6"/>
    <w:rsid w:val="00E1714A"/>
    <w:rsid w:val="00E176C8"/>
    <w:rsid w:val="00E209D5"/>
    <w:rsid w:val="00E21D26"/>
    <w:rsid w:val="00E22545"/>
    <w:rsid w:val="00E229AA"/>
    <w:rsid w:val="00E25765"/>
    <w:rsid w:val="00E271FA"/>
    <w:rsid w:val="00E272DA"/>
    <w:rsid w:val="00E27ABD"/>
    <w:rsid w:val="00E30F63"/>
    <w:rsid w:val="00E31BA5"/>
    <w:rsid w:val="00E331AC"/>
    <w:rsid w:val="00E33C36"/>
    <w:rsid w:val="00E33F44"/>
    <w:rsid w:val="00E34C6D"/>
    <w:rsid w:val="00E353D8"/>
    <w:rsid w:val="00E35922"/>
    <w:rsid w:val="00E359C4"/>
    <w:rsid w:val="00E35AC5"/>
    <w:rsid w:val="00E4001D"/>
    <w:rsid w:val="00E4214C"/>
    <w:rsid w:val="00E42A4B"/>
    <w:rsid w:val="00E42E0B"/>
    <w:rsid w:val="00E4546E"/>
    <w:rsid w:val="00E45483"/>
    <w:rsid w:val="00E45CBA"/>
    <w:rsid w:val="00E45E40"/>
    <w:rsid w:val="00E465BC"/>
    <w:rsid w:val="00E50692"/>
    <w:rsid w:val="00E510A7"/>
    <w:rsid w:val="00E5184A"/>
    <w:rsid w:val="00E51BCB"/>
    <w:rsid w:val="00E522EE"/>
    <w:rsid w:val="00E532D8"/>
    <w:rsid w:val="00E5456E"/>
    <w:rsid w:val="00E54C4A"/>
    <w:rsid w:val="00E56F0C"/>
    <w:rsid w:val="00E572F2"/>
    <w:rsid w:val="00E607A6"/>
    <w:rsid w:val="00E60A8C"/>
    <w:rsid w:val="00E60AB5"/>
    <w:rsid w:val="00E6237B"/>
    <w:rsid w:val="00E624D6"/>
    <w:rsid w:val="00E62CE9"/>
    <w:rsid w:val="00E6677B"/>
    <w:rsid w:val="00E678D4"/>
    <w:rsid w:val="00E72780"/>
    <w:rsid w:val="00E72D6F"/>
    <w:rsid w:val="00E73442"/>
    <w:rsid w:val="00E73DAB"/>
    <w:rsid w:val="00E76147"/>
    <w:rsid w:val="00E80836"/>
    <w:rsid w:val="00E8099F"/>
    <w:rsid w:val="00E81FBD"/>
    <w:rsid w:val="00E8249F"/>
    <w:rsid w:val="00E85E2E"/>
    <w:rsid w:val="00E92B51"/>
    <w:rsid w:val="00E94241"/>
    <w:rsid w:val="00E94890"/>
    <w:rsid w:val="00E948B5"/>
    <w:rsid w:val="00E96187"/>
    <w:rsid w:val="00E96211"/>
    <w:rsid w:val="00E979BA"/>
    <w:rsid w:val="00EA0373"/>
    <w:rsid w:val="00EA3022"/>
    <w:rsid w:val="00EA3DD1"/>
    <w:rsid w:val="00EA6B2A"/>
    <w:rsid w:val="00EA6D4D"/>
    <w:rsid w:val="00EB0D53"/>
    <w:rsid w:val="00EB143A"/>
    <w:rsid w:val="00EB287F"/>
    <w:rsid w:val="00EB372F"/>
    <w:rsid w:val="00EB5435"/>
    <w:rsid w:val="00EB6A91"/>
    <w:rsid w:val="00EB7DF3"/>
    <w:rsid w:val="00EC06B0"/>
    <w:rsid w:val="00EC348D"/>
    <w:rsid w:val="00EC5A0B"/>
    <w:rsid w:val="00ED410E"/>
    <w:rsid w:val="00ED4E24"/>
    <w:rsid w:val="00ED5BA0"/>
    <w:rsid w:val="00ED6D68"/>
    <w:rsid w:val="00EE0799"/>
    <w:rsid w:val="00EE4006"/>
    <w:rsid w:val="00EE5754"/>
    <w:rsid w:val="00EF0AFF"/>
    <w:rsid w:val="00EF1E33"/>
    <w:rsid w:val="00EF1E72"/>
    <w:rsid w:val="00EF3294"/>
    <w:rsid w:val="00EF4CB0"/>
    <w:rsid w:val="00EF64A3"/>
    <w:rsid w:val="00EF65BE"/>
    <w:rsid w:val="00EF6883"/>
    <w:rsid w:val="00EF6B1F"/>
    <w:rsid w:val="00EF74D9"/>
    <w:rsid w:val="00EF7C87"/>
    <w:rsid w:val="00F003B0"/>
    <w:rsid w:val="00F02B06"/>
    <w:rsid w:val="00F02D0A"/>
    <w:rsid w:val="00F02F56"/>
    <w:rsid w:val="00F033C7"/>
    <w:rsid w:val="00F04DB2"/>
    <w:rsid w:val="00F073AF"/>
    <w:rsid w:val="00F07DB4"/>
    <w:rsid w:val="00F102BA"/>
    <w:rsid w:val="00F104FD"/>
    <w:rsid w:val="00F12FD0"/>
    <w:rsid w:val="00F13334"/>
    <w:rsid w:val="00F142AF"/>
    <w:rsid w:val="00F1586A"/>
    <w:rsid w:val="00F15876"/>
    <w:rsid w:val="00F22098"/>
    <w:rsid w:val="00F23EFD"/>
    <w:rsid w:val="00F23FE5"/>
    <w:rsid w:val="00F24C42"/>
    <w:rsid w:val="00F24D14"/>
    <w:rsid w:val="00F26E4E"/>
    <w:rsid w:val="00F27EC0"/>
    <w:rsid w:val="00F32E13"/>
    <w:rsid w:val="00F34318"/>
    <w:rsid w:val="00F34628"/>
    <w:rsid w:val="00F3601C"/>
    <w:rsid w:val="00F3648A"/>
    <w:rsid w:val="00F3648E"/>
    <w:rsid w:val="00F36574"/>
    <w:rsid w:val="00F41901"/>
    <w:rsid w:val="00F4312B"/>
    <w:rsid w:val="00F45293"/>
    <w:rsid w:val="00F516D0"/>
    <w:rsid w:val="00F53477"/>
    <w:rsid w:val="00F53562"/>
    <w:rsid w:val="00F57708"/>
    <w:rsid w:val="00F63978"/>
    <w:rsid w:val="00F64E73"/>
    <w:rsid w:val="00F65646"/>
    <w:rsid w:val="00F6688C"/>
    <w:rsid w:val="00F6763B"/>
    <w:rsid w:val="00F70606"/>
    <w:rsid w:val="00F71391"/>
    <w:rsid w:val="00F72B25"/>
    <w:rsid w:val="00F74195"/>
    <w:rsid w:val="00F76F8A"/>
    <w:rsid w:val="00F82395"/>
    <w:rsid w:val="00F84E8C"/>
    <w:rsid w:val="00F85429"/>
    <w:rsid w:val="00F855ED"/>
    <w:rsid w:val="00F875D8"/>
    <w:rsid w:val="00F91B87"/>
    <w:rsid w:val="00F94378"/>
    <w:rsid w:val="00F94E8B"/>
    <w:rsid w:val="00FA1319"/>
    <w:rsid w:val="00FA2AB7"/>
    <w:rsid w:val="00FA4819"/>
    <w:rsid w:val="00FA5C7E"/>
    <w:rsid w:val="00FA6B1D"/>
    <w:rsid w:val="00FA7C53"/>
    <w:rsid w:val="00FB3747"/>
    <w:rsid w:val="00FB43BB"/>
    <w:rsid w:val="00FB4DD8"/>
    <w:rsid w:val="00FB6501"/>
    <w:rsid w:val="00FB6B21"/>
    <w:rsid w:val="00FB6C54"/>
    <w:rsid w:val="00FC16D4"/>
    <w:rsid w:val="00FC2CEE"/>
    <w:rsid w:val="00FC4279"/>
    <w:rsid w:val="00FC44B9"/>
    <w:rsid w:val="00FC45E1"/>
    <w:rsid w:val="00FC4B21"/>
    <w:rsid w:val="00FC4C29"/>
    <w:rsid w:val="00FC566C"/>
    <w:rsid w:val="00FC6829"/>
    <w:rsid w:val="00FC6B7A"/>
    <w:rsid w:val="00FC7F50"/>
    <w:rsid w:val="00FD12D9"/>
    <w:rsid w:val="00FD3414"/>
    <w:rsid w:val="00FD46D8"/>
    <w:rsid w:val="00FD5D2E"/>
    <w:rsid w:val="00FE10A6"/>
    <w:rsid w:val="00FE26E0"/>
    <w:rsid w:val="00FE53AC"/>
    <w:rsid w:val="00FF1948"/>
    <w:rsid w:val="00FF42AD"/>
    <w:rsid w:val="00FF436F"/>
    <w:rsid w:val="00FF43B9"/>
    <w:rsid w:val="00FF5EE7"/>
    <w:rsid w:val="00FF62A6"/>
    <w:rsid w:val="00FF65DD"/>
    <w:rsid w:val="00FF7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0DBD45"/>
  <w15:docId w15:val="{11A2CBD6-BF34-4C45-ACBC-40AAB753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FD46D8"/>
    <w:pPr>
      <w:keepNext/>
      <w:numPr>
        <w:numId w:val="3"/>
      </w:numPr>
      <w:tabs>
        <w:tab w:val="clear" w:pos="1800"/>
      </w:tabs>
      <w:spacing w:after="240"/>
      <w:jc w:val="both"/>
      <w:outlineLvl w:val="0"/>
    </w:pPr>
    <w:rPr>
      <w:rFonts w:cs="Arial"/>
      <w:bCs/>
      <w:szCs w:val="32"/>
    </w:rPr>
  </w:style>
  <w:style w:type="paragraph" w:styleId="Heading2">
    <w:name w:val="heading 2"/>
    <w:basedOn w:val="Normal"/>
    <w:next w:val="Normal"/>
    <w:qFormat/>
    <w:rsid w:val="00C045E6"/>
    <w:pPr>
      <w:numPr>
        <w:ilvl w:val="1"/>
        <w:numId w:val="3"/>
      </w:numPr>
      <w:tabs>
        <w:tab w:val="clear" w:pos="1800"/>
      </w:tabs>
      <w:spacing w:after="240"/>
      <w:jc w:val="both"/>
      <w:outlineLvl w:val="1"/>
    </w:pPr>
    <w:rPr>
      <w:rFonts w:cs="Arial"/>
      <w:bCs/>
      <w:iCs/>
      <w:szCs w:val="28"/>
    </w:rPr>
  </w:style>
  <w:style w:type="paragraph" w:styleId="Heading3">
    <w:name w:val="heading 3"/>
    <w:basedOn w:val="Normal"/>
    <w:next w:val="Normal"/>
    <w:qFormat/>
    <w:pPr>
      <w:numPr>
        <w:ilvl w:val="2"/>
        <w:numId w:val="3"/>
      </w:numPr>
      <w:spacing w:after="240"/>
      <w:outlineLvl w:val="2"/>
    </w:pPr>
    <w:rPr>
      <w:rFonts w:cs="Arial"/>
      <w:bCs/>
      <w:szCs w:val="26"/>
    </w:rPr>
  </w:style>
  <w:style w:type="paragraph" w:styleId="Heading4">
    <w:name w:val="heading 4"/>
    <w:basedOn w:val="Normal"/>
    <w:next w:val="Normal"/>
    <w:qFormat/>
    <w:pPr>
      <w:numPr>
        <w:ilvl w:val="3"/>
        <w:numId w:val="3"/>
      </w:numPr>
      <w:tabs>
        <w:tab w:val="clear" w:pos="4320"/>
      </w:tabs>
      <w:spacing w:after="240"/>
      <w:outlineLvl w:val="3"/>
    </w:pPr>
    <w:rPr>
      <w:bCs/>
      <w:szCs w:val="28"/>
    </w:rPr>
  </w:style>
  <w:style w:type="paragraph" w:styleId="Heading5">
    <w:name w:val="heading 5"/>
    <w:basedOn w:val="Normal"/>
    <w:next w:val="Normal"/>
    <w:qFormat/>
    <w:pPr>
      <w:numPr>
        <w:ilvl w:val="4"/>
        <w:numId w:val="3"/>
      </w:numPr>
      <w:tabs>
        <w:tab w:val="clear" w:pos="5040"/>
      </w:tabs>
      <w:spacing w:after="240"/>
      <w:outlineLvl w:val="4"/>
    </w:pPr>
    <w:rPr>
      <w:bCs/>
      <w:iCs/>
      <w:szCs w:val="26"/>
    </w:rPr>
  </w:style>
  <w:style w:type="paragraph" w:styleId="Heading6">
    <w:name w:val="heading 6"/>
    <w:basedOn w:val="Normal"/>
    <w:next w:val="Normal"/>
    <w:qFormat/>
    <w:pPr>
      <w:numPr>
        <w:ilvl w:val="5"/>
        <w:numId w:val="3"/>
      </w:numPr>
      <w:tabs>
        <w:tab w:val="clear" w:pos="5760"/>
      </w:tabs>
      <w:spacing w:after="240"/>
      <w:outlineLvl w:val="5"/>
    </w:pPr>
    <w:rPr>
      <w:bCs/>
      <w:szCs w:val="22"/>
    </w:rPr>
  </w:style>
  <w:style w:type="paragraph" w:styleId="Heading7">
    <w:name w:val="heading 7"/>
    <w:basedOn w:val="Normal"/>
    <w:next w:val="Normal"/>
    <w:qFormat/>
    <w:pPr>
      <w:numPr>
        <w:ilvl w:val="6"/>
        <w:numId w:val="3"/>
      </w:numPr>
      <w:tabs>
        <w:tab w:val="clear" w:pos="6480"/>
      </w:tabs>
      <w:spacing w:after="240"/>
      <w:outlineLvl w:val="6"/>
    </w:pPr>
  </w:style>
  <w:style w:type="paragraph" w:styleId="Heading8">
    <w:name w:val="heading 8"/>
    <w:basedOn w:val="Normal"/>
    <w:next w:val="Normal"/>
    <w:qFormat/>
    <w:pPr>
      <w:numPr>
        <w:ilvl w:val="7"/>
        <w:numId w:val="3"/>
      </w:numPr>
      <w:tabs>
        <w:tab w:val="clear" w:pos="7200"/>
      </w:tabs>
      <w:spacing w:after="240"/>
      <w:outlineLvl w:val="7"/>
    </w:pPr>
    <w:rPr>
      <w:iCs/>
    </w:rPr>
  </w:style>
  <w:style w:type="paragraph" w:styleId="Heading9">
    <w:name w:val="heading 9"/>
    <w:basedOn w:val="Normal"/>
    <w:next w:val="Normal"/>
    <w:qFormat/>
    <w:pPr>
      <w:numPr>
        <w:ilvl w:val="8"/>
        <w:numId w:val="3"/>
      </w:numPr>
      <w:tabs>
        <w:tab w:val="clear" w:pos="7920"/>
      </w:tabs>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D46D8"/>
    <w:rPr>
      <w:rFonts w:cs="Arial"/>
      <w:bCs/>
      <w:sz w:val="24"/>
      <w:szCs w:val="32"/>
    </w:rPr>
  </w:style>
  <w:style w:type="character" w:styleId="FootnoteReference">
    <w:name w:val="footnote reference"/>
    <w:semiHidden/>
  </w:style>
  <w:style w:type="paragraph" w:styleId="Header">
    <w:name w:val="header"/>
    <w:aliases w:val="h"/>
    <w:basedOn w:val="Normal"/>
    <w:link w:val="HeaderChar"/>
    <w:pPr>
      <w:tabs>
        <w:tab w:val="center" w:pos="4680"/>
        <w:tab w:val="right" w:pos="9360"/>
      </w:tabs>
    </w:p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link w:val="Footer"/>
    <w:uiPriority w:val="99"/>
    <w:locked/>
    <w:rsid w:val="00C03C62"/>
    <w:rPr>
      <w:sz w:val="24"/>
      <w:szCs w:val="24"/>
    </w:rPr>
  </w:style>
  <w:style w:type="paragraph" w:customStyle="1" w:styleId="Heading1Body">
    <w:name w:val="Heading 1 Body"/>
    <w:basedOn w:val="Normal"/>
    <w:next w:val="Heading1"/>
    <w:pPr>
      <w:ind w:firstLine="720"/>
      <w:jc w:val="both"/>
    </w:pPr>
  </w:style>
  <w:style w:type="paragraph" w:customStyle="1" w:styleId="Heading3Body">
    <w:name w:val="Heading 3 Body"/>
    <w:basedOn w:val="Normal"/>
    <w:next w:val="Heading3"/>
    <w:pPr>
      <w:ind w:left="720" w:firstLine="720"/>
      <w:jc w:val="both"/>
    </w:pPr>
  </w:style>
  <w:style w:type="paragraph" w:customStyle="1" w:styleId="Heading4Body">
    <w:name w:val="Heading 4 Body"/>
    <w:basedOn w:val="Normal"/>
    <w:next w:val="Heading4"/>
    <w:pPr>
      <w:ind w:left="1440" w:firstLine="720"/>
      <w:jc w:val="both"/>
    </w:pPr>
  </w:style>
  <w:style w:type="paragraph" w:customStyle="1" w:styleId="BodyText15">
    <w:name w:val="* Body Text 1.5"/>
    <w:basedOn w:val="Normal"/>
    <w:pPr>
      <w:spacing w:line="360" w:lineRule="auto"/>
      <w:ind w:firstLine="1440"/>
    </w:pPr>
  </w:style>
  <w:style w:type="character" w:styleId="Emphasis">
    <w:name w:val="Emphasis"/>
    <w:basedOn w:val="DefaultParagraphFont"/>
    <w:rsid w:val="006C2C76"/>
    <w:rPr>
      <w:i/>
      <w:iCs/>
    </w:rPr>
  </w:style>
  <w:style w:type="paragraph" w:customStyle="1" w:styleId="BodyText5">
    <w:name w:val="* Body Text .5"/>
    <w:basedOn w:val="Normal"/>
    <w:link w:val="BodyText5Char"/>
    <w:autoRedefine/>
    <w:pPr>
      <w:spacing w:after="240"/>
      <w:ind w:firstLine="720"/>
      <w:jc w:val="both"/>
    </w:pPr>
  </w:style>
  <w:style w:type="character" w:customStyle="1" w:styleId="BodyText5Char">
    <w:name w:val="* Body Text .5 Char"/>
    <w:link w:val="BodyText5"/>
    <w:rPr>
      <w:sz w:val="24"/>
      <w:szCs w:val="24"/>
      <w:lang w:val="en-US" w:eastAsia="en-US" w:bidi="ar-SA"/>
    </w:r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spacing w:after="240"/>
    </w:pPr>
  </w:style>
  <w:style w:type="paragraph" w:customStyle="1" w:styleId="TitleC">
    <w:name w:val="* Title C"/>
    <w:basedOn w:val="Normal"/>
    <w:pPr>
      <w:keepNext/>
      <w:spacing w:after="240"/>
      <w:jc w:val="center"/>
    </w:pPr>
    <w:rPr>
      <w:b/>
    </w:rPr>
  </w:style>
  <w:style w:type="paragraph" w:customStyle="1" w:styleId="TitleL">
    <w:name w:val="* Title L"/>
    <w:basedOn w:val="Normal"/>
    <w:pPr>
      <w:keepNext/>
      <w:spacing w:after="240"/>
    </w:pPr>
    <w:rPr>
      <w:b/>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rPr>
      <w:szCs w:val="20"/>
    </w:rPr>
  </w:style>
  <w:style w:type="character" w:customStyle="1" w:styleId="DocID">
    <w:name w:val="DocID"/>
    <w:rPr>
      <w:rFonts w:ascii="Arial" w:hAnsi="Arial"/>
      <w:sz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szCs w:val="20"/>
    </w:rPr>
  </w:style>
  <w:style w:type="paragraph" w:customStyle="1" w:styleId="TOCPage">
    <w:name w:val="TOC Page"/>
    <w:basedOn w:val="Normal"/>
    <w:pPr>
      <w:spacing w:after="240"/>
      <w:jc w:val="right"/>
    </w:pPr>
    <w:rPr>
      <w:b/>
      <w:szCs w:val="20"/>
    </w:rPr>
  </w:style>
  <w:style w:type="paragraph" w:styleId="Signature">
    <w:name w:val="Signature"/>
    <w:aliases w:val="Signature Right"/>
    <w:basedOn w:val="Normal"/>
    <w:link w:val="SignatureChar"/>
    <w:qFormat/>
    <w:rsid w:val="003718BE"/>
    <w:pPr>
      <w:tabs>
        <w:tab w:val="right" w:pos="9360"/>
      </w:tabs>
      <w:ind w:left="4680"/>
      <w:jc w:val="both"/>
    </w:pPr>
    <w:rPr>
      <w:rFonts w:eastAsiaTheme="minorHAnsi" w:cstheme="minorBidi"/>
      <w:color w:val="000000" w:themeColor="text1"/>
    </w:rPr>
  </w:style>
  <w:style w:type="character" w:customStyle="1" w:styleId="SignatureChar">
    <w:name w:val="Signature Char"/>
    <w:aliases w:val="Signature Right Char"/>
    <w:basedOn w:val="DefaultParagraphFont"/>
    <w:link w:val="Signature"/>
    <w:rsid w:val="003718BE"/>
    <w:rPr>
      <w:rFonts w:eastAsiaTheme="minorHAnsi" w:cstheme="minorBidi"/>
      <w:color w:val="000000" w:themeColor="text1"/>
      <w:sz w:val="24"/>
      <w:szCs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
    <w:name w:val="Default Paragraph Font Para Char"/>
    <w:basedOn w:val="Normal"/>
    <w:pPr>
      <w:spacing w:after="160" w:line="240" w:lineRule="exact"/>
      <w:jc w:val="both"/>
    </w:pPr>
    <w:rPr>
      <w:rFonts w:ascii="Verdana" w:hAnsi="Verdana"/>
      <w:sz w:val="20"/>
      <w:szCs w:val="20"/>
    </w:rPr>
  </w:style>
  <w:style w:type="paragraph" w:customStyle="1" w:styleId="00BodyText5">
    <w:name w:val="00 Body Text .5"/>
    <w:basedOn w:val="Normal"/>
    <w:link w:val="00BodyText5Char"/>
    <w:qFormat/>
    <w:rsid w:val="006C2C76"/>
    <w:pPr>
      <w:spacing w:after="240"/>
      <w:ind w:firstLine="720"/>
      <w:jc w:val="both"/>
    </w:pPr>
  </w:style>
  <w:style w:type="paragraph" w:styleId="FootnoteText">
    <w:name w:val="footnote text"/>
    <w:basedOn w:val="Normal"/>
    <w:semiHidden/>
    <w:pPr>
      <w:spacing w:after="240"/>
      <w:ind w:left="720" w:hanging="720"/>
    </w:pPr>
    <w:rPr>
      <w:szCs w:val="20"/>
    </w:rPr>
  </w:style>
  <w:style w:type="paragraph" w:customStyle="1" w:styleId="00BulletList">
    <w:name w:val="00 Bullet List"/>
    <w:basedOn w:val="Normal"/>
    <w:pPr>
      <w:numPr>
        <w:numId w:val="15"/>
      </w:numPr>
      <w:tabs>
        <w:tab w:val="clear" w:pos="1440"/>
        <w:tab w:val="num" w:pos="360"/>
      </w:tabs>
      <w:spacing w:after="240"/>
      <w:ind w:left="0" w:firstLine="0"/>
    </w:pPr>
  </w:style>
  <w:style w:type="paragraph" w:customStyle="1" w:styleId="00BlockInd5">
    <w:name w:val="00 Block Ind .5"/>
    <w:basedOn w:val="Normal"/>
    <w:qFormat/>
    <w:pPr>
      <w:spacing w:after="240"/>
      <w:ind w:left="720" w:right="720"/>
    </w:pPr>
  </w:style>
  <w:style w:type="paragraph" w:customStyle="1" w:styleId="00BlockInd1">
    <w:name w:val="00 Block Ind 1"/>
    <w:basedOn w:val="Normal"/>
    <w:pPr>
      <w:spacing w:after="240"/>
      <w:ind w:left="1440" w:right="1440"/>
    </w:pPr>
  </w:style>
  <w:style w:type="paragraph" w:customStyle="1" w:styleId="00BodyText1">
    <w:name w:val="00 Body Text 1"/>
    <w:basedOn w:val="Normal"/>
    <w:pPr>
      <w:spacing w:after="240"/>
      <w:ind w:firstLine="1440"/>
    </w:pPr>
  </w:style>
  <w:style w:type="paragraph" w:customStyle="1" w:styleId="00BodyText15">
    <w:name w:val="00 Body Text 1.5"/>
    <w:basedOn w:val="Normal"/>
    <w:pPr>
      <w:spacing w:line="360" w:lineRule="auto"/>
      <w:ind w:firstLine="1440"/>
    </w:pPr>
  </w:style>
  <w:style w:type="paragraph" w:customStyle="1" w:styleId="00BodyTextDbl">
    <w:name w:val="00 Body Text Dbl"/>
    <w:basedOn w:val="Normal"/>
    <w:pPr>
      <w:spacing w:line="480" w:lineRule="auto"/>
      <w:ind w:firstLine="1440"/>
    </w:pPr>
  </w:style>
  <w:style w:type="paragraph" w:customStyle="1" w:styleId="00Center">
    <w:name w:val="00 Center"/>
    <w:basedOn w:val="Normal"/>
    <w:qFormat/>
    <w:pPr>
      <w:keepNext/>
      <w:spacing w:after="240"/>
      <w:jc w:val="center"/>
    </w:pPr>
  </w:style>
  <w:style w:type="paragraph" w:customStyle="1" w:styleId="00Double">
    <w:name w:val="00 Double"/>
    <w:basedOn w:val="Normal"/>
    <w:pPr>
      <w:spacing w:line="480" w:lineRule="auto"/>
    </w:pPr>
  </w:style>
  <w:style w:type="paragraph" w:customStyle="1" w:styleId="00HangingIndent">
    <w:name w:val="00 Hanging Indent"/>
    <w:basedOn w:val="Normal"/>
    <w:pPr>
      <w:spacing w:after="240"/>
      <w:ind w:left="2880" w:hanging="2160"/>
    </w:pPr>
  </w:style>
  <w:style w:type="paragraph" w:customStyle="1" w:styleId="00JBodyText1">
    <w:name w:val="00 J Body Text 1"/>
    <w:basedOn w:val="Normal"/>
    <w:pPr>
      <w:spacing w:after="240"/>
      <w:ind w:firstLine="1440"/>
      <w:jc w:val="both"/>
    </w:pPr>
  </w:style>
  <w:style w:type="paragraph" w:customStyle="1" w:styleId="00LeftIndent5">
    <w:name w:val="00 Left Indent .5"/>
    <w:basedOn w:val="Normal"/>
    <w:pPr>
      <w:spacing w:after="240"/>
      <w:ind w:left="720"/>
    </w:pPr>
  </w:style>
  <w:style w:type="paragraph" w:customStyle="1" w:styleId="00LeftIndent10">
    <w:name w:val="00 Left Indent 1.0"/>
    <w:basedOn w:val="Normal"/>
    <w:pPr>
      <w:spacing w:after="240"/>
      <w:ind w:left="1440"/>
    </w:pPr>
  </w:style>
  <w:style w:type="paragraph" w:customStyle="1" w:styleId="00LeftIndent15">
    <w:name w:val="00 Left Indent 1.5"/>
    <w:basedOn w:val="Normal"/>
    <w:pPr>
      <w:spacing w:after="240"/>
      <w:ind w:left="2160"/>
    </w:pPr>
  </w:style>
  <w:style w:type="paragraph" w:customStyle="1" w:styleId="00Normal">
    <w:name w:val="00 Normal"/>
    <w:basedOn w:val="Normal"/>
    <w:qFormat/>
    <w:pPr>
      <w:spacing w:after="240"/>
    </w:pPr>
  </w:style>
  <w:style w:type="paragraph" w:customStyle="1" w:styleId="00NumberList">
    <w:name w:val="00 Number List"/>
    <w:basedOn w:val="Normal"/>
    <w:pPr>
      <w:numPr>
        <w:numId w:val="16"/>
      </w:numPr>
      <w:tabs>
        <w:tab w:val="clear" w:pos="1080"/>
        <w:tab w:val="num" w:pos="360"/>
      </w:tabs>
      <w:spacing w:after="240"/>
      <w:ind w:firstLine="0"/>
    </w:pPr>
  </w:style>
  <w:style w:type="paragraph" w:customStyle="1" w:styleId="00PlainText">
    <w:name w:val="00 Plain Text"/>
    <w:basedOn w:val="Normal"/>
  </w:style>
  <w:style w:type="paragraph" w:customStyle="1" w:styleId="00TitleC">
    <w:name w:val="00 Title C"/>
    <w:basedOn w:val="Normal"/>
    <w:pPr>
      <w:keepNext/>
      <w:spacing w:after="240"/>
      <w:jc w:val="center"/>
    </w:pPr>
    <w:rPr>
      <w:b/>
    </w:rPr>
  </w:style>
  <w:style w:type="paragraph" w:customStyle="1" w:styleId="00TitleL">
    <w:name w:val="00 Title L"/>
    <w:basedOn w:val="Normal"/>
    <w:pPr>
      <w:keepNext/>
      <w:spacing w:after="240"/>
    </w:pPr>
    <w:rPr>
      <w:b/>
    </w:rPr>
  </w:style>
  <w:style w:type="paragraph" w:styleId="ListBullet">
    <w:name w:val="List Bullet"/>
    <w:basedOn w:val="Normal"/>
    <w:pPr>
      <w:numPr>
        <w:numId w:val="5"/>
      </w:numPr>
    </w:pPr>
  </w:style>
  <w:style w:type="paragraph" w:styleId="ListBullet2">
    <w:name w:val="List Bullet 2"/>
    <w:basedOn w:val="Normal"/>
    <w:autoRedefine/>
    <w:pPr>
      <w:tabs>
        <w:tab w:val="num" w:pos="720"/>
      </w:tabs>
      <w:ind w:left="720" w:hanging="360"/>
    </w:pPr>
  </w:style>
  <w:style w:type="character" w:customStyle="1" w:styleId="DOCID0">
    <w:name w:val="DOCID"/>
    <w:rPr>
      <w:rFonts w:ascii="Arial" w:hAnsi="Arial" w:cs="Arial"/>
      <w:sz w:val="16"/>
      <w:szCs w:val="16"/>
    </w:rPr>
  </w:style>
  <w:style w:type="paragraph" w:customStyle="1" w:styleId="Heading24Body">
    <w:name w:val="Heading 24 Body"/>
    <w:basedOn w:val="Normal"/>
    <w:next w:val="Normal"/>
    <w:pPr>
      <w:numPr>
        <w:ilvl w:val="1"/>
        <w:numId w:val="20"/>
      </w:numPr>
      <w:tabs>
        <w:tab w:val="clear" w:pos="1440"/>
      </w:tabs>
      <w:ind w:left="1440"/>
      <w:jc w:val="both"/>
    </w:pPr>
  </w:style>
  <w:style w:type="paragraph" w:customStyle="1" w:styleId="Heading32Body">
    <w:name w:val="Heading 32 Body"/>
    <w:basedOn w:val="Normal"/>
    <w:next w:val="Normal"/>
    <w:pPr>
      <w:numPr>
        <w:ilvl w:val="2"/>
        <w:numId w:val="20"/>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0"/>
      <w:jc w:val="both"/>
    </w:pPr>
  </w:style>
  <w:style w:type="paragraph" w:styleId="BalloonText">
    <w:name w:val="Balloon Text"/>
    <w:basedOn w:val="Normal"/>
    <w:link w:val="BalloonTextChar"/>
    <w:rsid w:val="004F2545"/>
    <w:rPr>
      <w:rFonts w:ascii="Tahoma" w:hAnsi="Tahoma" w:cs="Tahoma"/>
      <w:sz w:val="16"/>
      <w:szCs w:val="16"/>
    </w:rPr>
  </w:style>
  <w:style w:type="character" w:customStyle="1" w:styleId="BalloonTextChar">
    <w:name w:val="Balloon Text Char"/>
    <w:link w:val="BalloonText"/>
    <w:rsid w:val="004F2545"/>
    <w:rPr>
      <w:rFonts w:ascii="Tahoma" w:hAnsi="Tahoma" w:cs="Tahoma"/>
      <w:sz w:val="16"/>
      <w:szCs w:val="16"/>
    </w:rPr>
  </w:style>
  <w:style w:type="character" w:styleId="Hyperlink">
    <w:name w:val="Hyperlink"/>
    <w:uiPriority w:val="99"/>
    <w:rsid w:val="00D52778"/>
    <w:rPr>
      <w:color w:val="0000FF"/>
      <w:u w:val="single"/>
    </w:rPr>
  </w:style>
  <w:style w:type="paragraph" w:customStyle="1" w:styleId="Default">
    <w:name w:val="Default"/>
    <w:rsid w:val="00BE5EA8"/>
    <w:pPr>
      <w:autoSpaceDE w:val="0"/>
      <w:autoSpaceDN w:val="0"/>
      <w:adjustRightInd w:val="0"/>
    </w:pPr>
    <w:rPr>
      <w:color w:val="000000"/>
      <w:sz w:val="24"/>
      <w:szCs w:val="24"/>
    </w:rPr>
  </w:style>
  <w:style w:type="paragraph" w:styleId="BodyText">
    <w:name w:val="Body Text"/>
    <w:basedOn w:val="Normal"/>
    <w:link w:val="BodyTextChar"/>
    <w:unhideWhenUsed/>
    <w:rsid w:val="00BE5EA8"/>
    <w:pPr>
      <w:spacing w:after="120"/>
    </w:pPr>
  </w:style>
  <w:style w:type="character" w:customStyle="1" w:styleId="BodyTextChar">
    <w:name w:val="Body Text Char"/>
    <w:basedOn w:val="DefaultParagraphFont"/>
    <w:link w:val="BodyText"/>
    <w:rsid w:val="00BE5EA8"/>
    <w:rPr>
      <w:sz w:val="24"/>
      <w:szCs w:val="24"/>
    </w:rPr>
  </w:style>
  <w:style w:type="paragraph" w:styleId="Index8">
    <w:name w:val="index 8"/>
    <w:basedOn w:val="Normal"/>
    <w:next w:val="Normal"/>
    <w:autoRedefine/>
    <w:semiHidden/>
    <w:rsid w:val="005E7FD6"/>
    <w:pPr>
      <w:ind w:left="1920" w:hanging="240"/>
    </w:pPr>
  </w:style>
  <w:style w:type="character" w:styleId="CommentReference">
    <w:name w:val="annotation reference"/>
    <w:basedOn w:val="DefaultParagraphFont"/>
    <w:semiHidden/>
    <w:unhideWhenUsed/>
    <w:rsid w:val="00582D12"/>
    <w:rPr>
      <w:sz w:val="16"/>
      <w:szCs w:val="16"/>
    </w:rPr>
  </w:style>
  <w:style w:type="paragraph" w:styleId="CommentText">
    <w:name w:val="annotation text"/>
    <w:basedOn w:val="Normal"/>
    <w:link w:val="CommentTextChar"/>
    <w:unhideWhenUsed/>
    <w:rsid w:val="00582D12"/>
    <w:rPr>
      <w:sz w:val="20"/>
      <w:szCs w:val="20"/>
    </w:rPr>
  </w:style>
  <w:style w:type="character" w:customStyle="1" w:styleId="CommentTextChar">
    <w:name w:val="Comment Text Char"/>
    <w:basedOn w:val="DefaultParagraphFont"/>
    <w:link w:val="CommentText"/>
    <w:rsid w:val="00582D12"/>
  </w:style>
  <w:style w:type="paragraph" w:styleId="CommentSubject">
    <w:name w:val="annotation subject"/>
    <w:basedOn w:val="CommentText"/>
    <w:next w:val="CommentText"/>
    <w:link w:val="CommentSubjectChar"/>
    <w:semiHidden/>
    <w:unhideWhenUsed/>
    <w:rsid w:val="00582D12"/>
    <w:rPr>
      <w:b/>
      <w:bCs/>
    </w:rPr>
  </w:style>
  <w:style w:type="character" w:customStyle="1" w:styleId="CommentSubjectChar">
    <w:name w:val="Comment Subject Char"/>
    <w:basedOn w:val="CommentTextChar"/>
    <w:link w:val="CommentSubject"/>
    <w:semiHidden/>
    <w:rsid w:val="00582D12"/>
    <w:rPr>
      <w:b/>
      <w:bCs/>
    </w:rPr>
  </w:style>
  <w:style w:type="paragraph" w:customStyle="1" w:styleId="TableParagraph">
    <w:name w:val="Table Paragraph"/>
    <w:basedOn w:val="Normal"/>
    <w:uiPriority w:val="1"/>
    <w:qFormat/>
    <w:rsid w:val="009F1A28"/>
    <w:pPr>
      <w:widowControl w:val="0"/>
      <w:autoSpaceDE w:val="0"/>
      <w:autoSpaceDN w:val="0"/>
      <w:jc w:val="center"/>
    </w:pPr>
    <w:rPr>
      <w:rFonts w:ascii="Calibri" w:eastAsia="Calibri" w:hAnsi="Calibri" w:cs="Calibri"/>
      <w:sz w:val="22"/>
      <w:szCs w:val="22"/>
      <w:lang w:bidi="en-US"/>
    </w:rPr>
  </w:style>
  <w:style w:type="character" w:customStyle="1" w:styleId="HeaderChar">
    <w:name w:val="Header Char"/>
    <w:aliases w:val="h Char"/>
    <w:basedOn w:val="DefaultParagraphFont"/>
    <w:link w:val="Header"/>
    <w:rsid w:val="001B1F2D"/>
    <w:rPr>
      <w:sz w:val="24"/>
      <w:szCs w:val="24"/>
    </w:rPr>
  </w:style>
  <w:style w:type="character" w:styleId="UnresolvedMention">
    <w:name w:val="Unresolved Mention"/>
    <w:basedOn w:val="DefaultParagraphFont"/>
    <w:uiPriority w:val="99"/>
    <w:semiHidden/>
    <w:unhideWhenUsed/>
    <w:rsid w:val="0086656A"/>
    <w:rPr>
      <w:color w:val="605E5C"/>
      <w:shd w:val="clear" w:color="auto" w:fill="E1DFDD"/>
    </w:rPr>
  </w:style>
  <w:style w:type="paragraph" w:styleId="Revision">
    <w:name w:val="Revision"/>
    <w:hidden/>
    <w:uiPriority w:val="99"/>
    <w:semiHidden/>
    <w:rsid w:val="005B2D1F"/>
    <w:rPr>
      <w:sz w:val="24"/>
      <w:szCs w:val="24"/>
    </w:rPr>
  </w:style>
  <w:style w:type="character" w:customStyle="1" w:styleId="00BodyText5Char">
    <w:name w:val="00 Body Text .5 Char"/>
    <w:basedOn w:val="DefaultParagraphFont"/>
    <w:link w:val="00BodyText5"/>
    <w:rsid w:val="00D97D00"/>
    <w:rPr>
      <w:sz w:val="24"/>
      <w:szCs w:val="24"/>
    </w:rPr>
  </w:style>
  <w:style w:type="paragraph" w:styleId="ListParagraph">
    <w:name w:val="List Paragraph"/>
    <w:basedOn w:val="Normal"/>
    <w:uiPriority w:val="34"/>
    <w:qFormat/>
    <w:rsid w:val="00080D7F"/>
    <w:pPr>
      <w:ind w:left="720"/>
    </w:pPr>
  </w:style>
  <w:style w:type="character" w:styleId="FollowedHyperlink">
    <w:name w:val="FollowedHyperlink"/>
    <w:basedOn w:val="DefaultParagraphFont"/>
    <w:uiPriority w:val="99"/>
    <w:semiHidden/>
    <w:unhideWhenUsed/>
    <w:rsid w:val="005E01A8"/>
    <w:rPr>
      <w:color w:val="96607D"/>
      <w:u w:val="single"/>
    </w:rPr>
  </w:style>
  <w:style w:type="paragraph" w:customStyle="1" w:styleId="msonormal0">
    <w:name w:val="msonormal"/>
    <w:basedOn w:val="Normal"/>
    <w:rsid w:val="005E01A8"/>
    <w:pPr>
      <w:spacing w:before="100" w:beforeAutospacing="1" w:after="100" w:afterAutospacing="1"/>
    </w:pPr>
  </w:style>
  <w:style w:type="paragraph" w:customStyle="1" w:styleId="xl65">
    <w:name w:val="xl65"/>
    <w:basedOn w:val="Normal"/>
    <w:rsid w:val="005E01A8"/>
    <w:pPr>
      <w:spacing w:before="100" w:beforeAutospacing="1" w:after="100" w:afterAutospacing="1"/>
      <w:jc w:val="center"/>
    </w:pPr>
    <w:rPr>
      <w:b/>
      <w:bCs/>
    </w:rPr>
  </w:style>
  <w:style w:type="paragraph" w:customStyle="1" w:styleId="xl66">
    <w:name w:val="xl66"/>
    <w:basedOn w:val="Normal"/>
    <w:rsid w:val="005E01A8"/>
    <w:pPr>
      <w:spacing w:before="100" w:beforeAutospacing="1" w:after="100" w:afterAutospacing="1"/>
      <w:jc w:val="center"/>
    </w:pPr>
  </w:style>
  <w:style w:type="paragraph" w:customStyle="1" w:styleId="xl67">
    <w:name w:val="xl67"/>
    <w:basedOn w:val="Normal"/>
    <w:rsid w:val="005E01A8"/>
    <w:pPr>
      <w:spacing w:before="100" w:beforeAutospacing="1" w:after="100" w:afterAutospacing="1"/>
      <w:jc w:val="center"/>
    </w:pPr>
  </w:style>
  <w:style w:type="paragraph" w:customStyle="1" w:styleId="xl68">
    <w:name w:val="xl68"/>
    <w:basedOn w:val="Normal"/>
    <w:rsid w:val="005E01A8"/>
    <w:pPr>
      <w:spacing w:before="100" w:beforeAutospacing="1" w:after="100" w:afterAutospacing="1"/>
      <w:jc w:val="center"/>
    </w:pPr>
  </w:style>
  <w:style w:type="paragraph" w:customStyle="1" w:styleId="xl69">
    <w:name w:val="xl69"/>
    <w:basedOn w:val="Normal"/>
    <w:rsid w:val="005E01A8"/>
    <w:pPr>
      <w:spacing w:before="100" w:beforeAutospacing="1" w:after="100" w:afterAutospacing="1"/>
      <w:jc w:val="right"/>
    </w:pPr>
  </w:style>
  <w:style w:type="paragraph" w:customStyle="1" w:styleId="xl70">
    <w:name w:val="xl70"/>
    <w:basedOn w:val="Normal"/>
    <w:rsid w:val="00FA4819"/>
    <w:pPr>
      <w:spacing w:before="100" w:beforeAutospacing="1" w:after="100" w:afterAutospacing="1"/>
    </w:pPr>
  </w:style>
  <w:style w:type="paragraph" w:customStyle="1" w:styleId="SignatureLEFT">
    <w:name w:val="Signature LEFT"/>
    <w:basedOn w:val="Normal"/>
    <w:link w:val="SignatureLEFTChar"/>
    <w:qFormat/>
    <w:rsid w:val="003718BE"/>
    <w:pPr>
      <w:tabs>
        <w:tab w:val="right" w:pos="4680"/>
      </w:tabs>
      <w:ind w:right="4680"/>
      <w:jc w:val="both"/>
    </w:pPr>
    <w:rPr>
      <w:rFonts w:eastAsiaTheme="minorHAnsi" w:cstheme="minorBidi"/>
      <w:szCs w:val="20"/>
    </w:rPr>
  </w:style>
  <w:style w:type="character" w:customStyle="1" w:styleId="SignatureLEFTChar">
    <w:name w:val="Signature LEFT Char"/>
    <w:basedOn w:val="DefaultParagraphFont"/>
    <w:link w:val="SignatureLEFT"/>
    <w:rsid w:val="003718BE"/>
    <w:rPr>
      <w:rFonts w:eastAsiaTheme="minorHAnsi"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5116">
      <w:bodyDiv w:val="1"/>
      <w:marLeft w:val="0"/>
      <w:marRight w:val="0"/>
      <w:marTop w:val="0"/>
      <w:marBottom w:val="0"/>
      <w:divBdr>
        <w:top w:val="none" w:sz="0" w:space="0" w:color="auto"/>
        <w:left w:val="none" w:sz="0" w:space="0" w:color="auto"/>
        <w:bottom w:val="none" w:sz="0" w:space="0" w:color="auto"/>
        <w:right w:val="none" w:sz="0" w:space="0" w:color="auto"/>
      </w:divBdr>
    </w:div>
    <w:div w:id="53822049">
      <w:bodyDiv w:val="1"/>
      <w:marLeft w:val="0"/>
      <w:marRight w:val="0"/>
      <w:marTop w:val="0"/>
      <w:marBottom w:val="0"/>
      <w:divBdr>
        <w:top w:val="none" w:sz="0" w:space="0" w:color="auto"/>
        <w:left w:val="none" w:sz="0" w:space="0" w:color="auto"/>
        <w:bottom w:val="none" w:sz="0" w:space="0" w:color="auto"/>
        <w:right w:val="none" w:sz="0" w:space="0" w:color="auto"/>
      </w:divBdr>
    </w:div>
    <w:div w:id="74477897">
      <w:bodyDiv w:val="1"/>
      <w:marLeft w:val="0"/>
      <w:marRight w:val="0"/>
      <w:marTop w:val="0"/>
      <w:marBottom w:val="0"/>
      <w:divBdr>
        <w:top w:val="none" w:sz="0" w:space="0" w:color="auto"/>
        <w:left w:val="none" w:sz="0" w:space="0" w:color="auto"/>
        <w:bottom w:val="none" w:sz="0" w:space="0" w:color="auto"/>
        <w:right w:val="none" w:sz="0" w:space="0" w:color="auto"/>
      </w:divBdr>
    </w:div>
    <w:div w:id="110782201">
      <w:bodyDiv w:val="1"/>
      <w:marLeft w:val="0"/>
      <w:marRight w:val="0"/>
      <w:marTop w:val="0"/>
      <w:marBottom w:val="0"/>
      <w:divBdr>
        <w:top w:val="none" w:sz="0" w:space="0" w:color="auto"/>
        <w:left w:val="none" w:sz="0" w:space="0" w:color="auto"/>
        <w:bottom w:val="none" w:sz="0" w:space="0" w:color="auto"/>
        <w:right w:val="none" w:sz="0" w:space="0" w:color="auto"/>
      </w:divBdr>
    </w:div>
    <w:div w:id="116919842">
      <w:bodyDiv w:val="1"/>
      <w:marLeft w:val="0"/>
      <w:marRight w:val="0"/>
      <w:marTop w:val="0"/>
      <w:marBottom w:val="0"/>
      <w:divBdr>
        <w:top w:val="none" w:sz="0" w:space="0" w:color="auto"/>
        <w:left w:val="none" w:sz="0" w:space="0" w:color="auto"/>
        <w:bottom w:val="none" w:sz="0" w:space="0" w:color="auto"/>
        <w:right w:val="none" w:sz="0" w:space="0" w:color="auto"/>
      </w:divBdr>
    </w:div>
    <w:div w:id="121115318">
      <w:bodyDiv w:val="1"/>
      <w:marLeft w:val="0"/>
      <w:marRight w:val="0"/>
      <w:marTop w:val="0"/>
      <w:marBottom w:val="0"/>
      <w:divBdr>
        <w:top w:val="none" w:sz="0" w:space="0" w:color="auto"/>
        <w:left w:val="none" w:sz="0" w:space="0" w:color="auto"/>
        <w:bottom w:val="none" w:sz="0" w:space="0" w:color="auto"/>
        <w:right w:val="none" w:sz="0" w:space="0" w:color="auto"/>
      </w:divBdr>
    </w:div>
    <w:div w:id="222376513">
      <w:bodyDiv w:val="1"/>
      <w:marLeft w:val="0"/>
      <w:marRight w:val="0"/>
      <w:marTop w:val="0"/>
      <w:marBottom w:val="0"/>
      <w:divBdr>
        <w:top w:val="none" w:sz="0" w:space="0" w:color="auto"/>
        <w:left w:val="none" w:sz="0" w:space="0" w:color="auto"/>
        <w:bottom w:val="none" w:sz="0" w:space="0" w:color="auto"/>
        <w:right w:val="none" w:sz="0" w:space="0" w:color="auto"/>
      </w:divBdr>
    </w:div>
    <w:div w:id="278462497">
      <w:bodyDiv w:val="1"/>
      <w:marLeft w:val="0"/>
      <w:marRight w:val="0"/>
      <w:marTop w:val="0"/>
      <w:marBottom w:val="0"/>
      <w:divBdr>
        <w:top w:val="none" w:sz="0" w:space="0" w:color="auto"/>
        <w:left w:val="none" w:sz="0" w:space="0" w:color="auto"/>
        <w:bottom w:val="none" w:sz="0" w:space="0" w:color="auto"/>
        <w:right w:val="none" w:sz="0" w:space="0" w:color="auto"/>
      </w:divBdr>
    </w:div>
    <w:div w:id="282032062">
      <w:bodyDiv w:val="1"/>
      <w:marLeft w:val="0"/>
      <w:marRight w:val="0"/>
      <w:marTop w:val="0"/>
      <w:marBottom w:val="0"/>
      <w:divBdr>
        <w:top w:val="none" w:sz="0" w:space="0" w:color="auto"/>
        <w:left w:val="none" w:sz="0" w:space="0" w:color="auto"/>
        <w:bottom w:val="none" w:sz="0" w:space="0" w:color="auto"/>
        <w:right w:val="none" w:sz="0" w:space="0" w:color="auto"/>
      </w:divBdr>
    </w:div>
    <w:div w:id="297954245">
      <w:bodyDiv w:val="1"/>
      <w:marLeft w:val="0"/>
      <w:marRight w:val="0"/>
      <w:marTop w:val="0"/>
      <w:marBottom w:val="0"/>
      <w:divBdr>
        <w:top w:val="none" w:sz="0" w:space="0" w:color="auto"/>
        <w:left w:val="none" w:sz="0" w:space="0" w:color="auto"/>
        <w:bottom w:val="none" w:sz="0" w:space="0" w:color="auto"/>
        <w:right w:val="none" w:sz="0" w:space="0" w:color="auto"/>
      </w:divBdr>
    </w:div>
    <w:div w:id="339430246">
      <w:bodyDiv w:val="1"/>
      <w:marLeft w:val="0"/>
      <w:marRight w:val="0"/>
      <w:marTop w:val="0"/>
      <w:marBottom w:val="0"/>
      <w:divBdr>
        <w:top w:val="none" w:sz="0" w:space="0" w:color="auto"/>
        <w:left w:val="none" w:sz="0" w:space="0" w:color="auto"/>
        <w:bottom w:val="none" w:sz="0" w:space="0" w:color="auto"/>
        <w:right w:val="none" w:sz="0" w:space="0" w:color="auto"/>
      </w:divBdr>
    </w:div>
    <w:div w:id="349989776">
      <w:bodyDiv w:val="1"/>
      <w:marLeft w:val="0"/>
      <w:marRight w:val="0"/>
      <w:marTop w:val="0"/>
      <w:marBottom w:val="0"/>
      <w:divBdr>
        <w:top w:val="none" w:sz="0" w:space="0" w:color="auto"/>
        <w:left w:val="none" w:sz="0" w:space="0" w:color="auto"/>
        <w:bottom w:val="none" w:sz="0" w:space="0" w:color="auto"/>
        <w:right w:val="none" w:sz="0" w:space="0" w:color="auto"/>
      </w:divBdr>
    </w:div>
    <w:div w:id="409737679">
      <w:bodyDiv w:val="1"/>
      <w:marLeft w:val="0"/>
      <w:marRight w:val="0"/>
      <w:marTop w:val="0"/>
      <w:marBottom w:val="0"/>
      <w:divBdr>
        <w:top w:val="none" w:sz="0" w:space="0" w:color="auto"/>
        <w:left w:val="none" w:sz="0" w:space="0" w:color="auto"/>
        <w:bottom w:val="none" w:sz="0" w:space="0" w:color="auto"/>
        <w:right w:val="none" w:sz="0" w:space="0" w:color="auto"/>
      </w:divBdr>
    </w:div>
    <w:div w:id="434987074">
      <w:bodyDiv w:val="1"/>
      <w:marLeft w:val="0"/>
      <w:marRight w:val="0"/>
      <w:marTop w:val="0"/>
      <w:marBottom w:val="0"/>
      <w:divBdr>
        <w:top w:val="none" w:sz="0" w:space="0" w:color="auto"/>
        <w:left w:val="none" w:sz="0" w:space="0" w:color="auto"/>
        <w:bottom w:val="none" w:sz="0" w:space="0" w:color="auto"/>
        <w:right w:val="none" w:sz="0" w:space="0" w:color="auto"/>
      </w:divBdr>
    </w:div>
    <w:div w:id="444085207">
      <w:bodyDiv w:val="1"/>
      <w:marLeft w:val="0"/>
      <w:marRight w:val="0"/>
      <w:marTop w:val="0"/>
      <w:marBottom w:val="0"/>
      <w:divBdr>
        <w:top w:val="none" w:sz="0" w:space="0" w:color="auto"/>
        <w:left w:val="none" w:sz="0" w:space="0" w:color="auto"/>
        <w:bottom w:val="none" w:sz="0" w:space="0" w:color="auto"/>
        <w:right w:val="none" w:sz="0" w:space="0" w:color="auto"/>
      </w:divBdr>
    </w:div>
    <w:div w:id="488905017">
      <w:bodyDiv w:val="1"/>
      <w:marLeft w:val="0"/>
      <w:marRight w:val="0"/>
      <w:marTop w:val="0"/>
      <w:marBottom w:val="0"/>
      <w:divBdr>
        <w:top w:val="none" w:sz="0" w:space="0" w:color="auto"/>
        <w:left w:val="none" w:sz="0" w:space="0" w:color="auto"/>
        <w:bottom w:val="none" w:sz="0" w:space="0" w:color="auto"/>
        <w:right w:val="none" w:sz="0" w:space="0" w:color="auto"/>
      </w:divBdr>
    </w:div>
    <w:div w:id="516234671">
      <w:bodyDiv w:val="1"/>
      <w:marLeft w:val="0"/>
      <w:marRight w:val="0"/>
      <w:marTop w:val="0"/>
      <w:marBottom w:val="0"/>
      <w:divBdr>
        <w:top w:val="none" w:sz="0" w:space="0" w:color="auto"/>
        <w:left w:val="none" w:sz="0" w:space="0" w:color="auto"/>
        <w:bottom w:val="none" w:sz="0" w:space="0" w:color="auto"/>
        <w:right w:val="none" w:sz="0" w:space="0" w:color="auto"/>
      </w:divBdr>
    </w:div>
    <w:div w:id="523176741">
      <w:bodyDiv w:val="1"/>
      <w:marLeft w:val="0"/>
      <w:marRight w:val="0"/>
      <w:marTop w:val="0"/>
      <w:marBottom w:val="0"/>
      <w:divBdr>
        <w:top w:val="none" w:sz="0" w:space="0" w:color="auto"/>
        <w:left w:val="none" w:sz="0" w:space="0" w:color="auto"/>
        <w:bottom w:val="none" w:sz="0" w:space="0" w:color="auto"/>
        <w:right w:val="none" w:sz="0" w:space="0" w:color="auto"/>
      </w:divBdr>
    </w:div>
    <w:div w:id="534076780">
      <w:bodyDiv w:val="1"/>
      <w:marLeft w:val="0"/>
      <w:marRight w:val="0"/>
      <w:marTop w:val="0"/>
      <w:marBottom w:val="0"/>
      <w:divBdr>
        <w:top w:val="none" w:sz="0" w:space="0" w:color="auto"/>
        <w:left w:val="none" w:sz="0" w:space="0" w:color="auto"/>
        <w:bottom w:val="none" w:sz="0" w:space="0" w:color="auto"/>
        <w:right w:val="none" w:sz="0" w:space="0" w:color="auto"/>
      </w:divBdr>
    </w:div>
    <w:div w:id="616331926">
      <w:bodyDiv w:val="1"/>
      <w:marLeft w:val="0"/>
      <w:marRight w:val="0"/>
      <w:marTop w:val="0"/>
      <w:marBottom w:val="0"/>
      <w:divBdr>
        <w:top w:val="none" w:sz="0" w:space="0" w:color="auto"/>
        <w:left w:val="none" w:sz="0" w:space="0" w:color="auto"/>
        <w:bottom w:val="none" w:sz="0" w:space="0" w:color="auto"/>
        <w:right w:val="none" w:sz="0" w:space="0" w:color="auto"/>
      </w:divBdr>
    </w:div>
    <w:div w:id="625701288">
      <w:bodyDiv w:val="1"/>
      <w:marLeft w:val="0"/>
      <w:marRight w:val="0"/>
      <w:marTop w:val="0"/>
      <w:marBottom w:val="0"/>
      <w:divBdr>
        <w:top w:val="none" w:sz="0" w:space="0" w:color="auto"/>
        <w:left w:val="none" w:sz="0" w:space="0" w:color="auto"/>
        <w:bottom w:val="none" w:sz="0" w:space="0" w:color="auto"/>
        <w:right w:val="none" w:sz="0" w:space="0" w:color="auto"/>
      </w:divBdr>
    </w:div>
    <w:div w:id="634337049">
      <w:bodyDiv w:val="1"/>
      <w:marLeft w:val="0"/>
      <w:marRight w:val="0"/>
      <w:marTop w:val="0"/>
      <w:marBottom w:val="0"/>
      <w:divBdr>
        <w:top w:val="none" w:sz="0" w:space="0" w:color="auto"/>
        <w:left w:val="none" w:sz="0" w:space="0" w:color="auto"/>
        <w:bottom w:val="none" w:sz="0" w:space="0" w:color="auto"/>
        <w:right w:val="none" w:sz="0" w:space="0" w:color="auto"/>
      </w:divBdr>
    </w:div>
    <w:div w:id="667639685">
      <w:bodyDiv w:val="1"/>
      <w:marLeft w:val="0"/>
      <w:marRight w:val="0"/>
      <w:marTop w:val="0"/>
      <w:marBottom w:val="0"/>
      <w:divBdr>
        <w:top w:val="none" w:sz="0" w:space="0" w:color="auto"/>
        <w:left w:val="none" w:sz="0" w:space="0" w:color="auto"/>
        <w:bottom w:val="none" w:sz="0" w:space="0" w:color="auto"/>
        <w:right w:val="none" w:sz="0" w:space="0" w:color="auto"/>
      </w:divBdr>
    </w:div>
    <w:div w:id="680551013">
      <w:bodyDiv w:val="1"/>
      <w:marLeft w:val="0"/>
      <w:marRight w:val="0"/>
      <w:marTop w:val="0"/>
      <w:marBottom w:val="0"/>
      <w:divBdr>
        <w:top w:val="none" w:sz="0" w:space="0" w:color="auto"/>
        <w:left w:val="none" w:sz="0" w:space="0" w:color="auto"/>
        <w:bottom w:val="none" w:sz="0" w:space="0" w:color="auto"/>
        <w:right w:val="none" w:sz="0" w:space="0" w:color="auto"/>
      </w:divBdr>
    </w:div>
    <w:div w:id="741635006">
      <w:bodyDiv w:val="1"/>
      <w:marLeft w:val="0"/>
      <w:marRight w:val="0"/>
      <w:marTop w:val="0"/>
      <w:marBottom w:val="0"/>
      <w:divBdr>
        <w:top w:val="none" w:sz="0" w:space="0" w:color="auto"/>
        <w:left w:val="none" w:sz="0" w:space="0" w:color="auto"/>
        <w:bottom w:val="none" w:sz="0" w:space="0" w:color="auto"/>
        <w:right w:val="none" w:sz="0" w:space="0" w:color="auto"/>
      </w:divBdr>
    </w:div>
    <w:div w:id="798035570">
      <w:bodyDiv w:val="1"/>
      <w:marLeft w:val="0"/>
      <w:marRight w:val="0"/>
      <w:marTop w:val="0"/>
      <w:marBottom w:val="0"/>
      <w:divBdr>
        <w:top w:val="none" w:sz="0" w:space="0" w:color="auto"/>
        <w:left w:val="none" w:sz="0" w:space="0" w:color="auto"/>
        <w:bottom w:val="none" w:sz="0" w:space="0" w:color="auto"/>
        <w:right w:val="none" w:sz="0" w:space="0" w:color="auto"/>
      </w:divBdr>
    </w:div>
    <w:div w:id="868225939">
      <w:bodyDiv w:val="1"/>
      <w:marLeft w:val="0"/>
      <w:marRight w:val="0"/>
      <w:marTop w:val="0"/>
      <w:marBottom w:val="0"/>
      <w:divBdr>
        <w:top w:val="none" w:sz="0" w:space="0" w:color="auto"/>
        <w:left w:val="none" w:sz="0" w:space="0" w:color="auto"/>
        <w:bottom w:val="none" w:sz="0" w:space="0" w:color="auto"/>
        <w:right w:val="none" w:sz="0" w:space="0" w:color="auto"/>
      </w:divBdr>
    </w:div>
    <w:div w:id="889614856">
      <w:bodyDiv w:val="1"/>
      <w:marLeft w:val="0"/>
      <w:marRight w:val="0"/>
      <w:marTop w:val="0"/>
      <w:marBottom w:val="0"/>
      <w:divBdr>
        <w:top w:val="none" w:sz="0" w:space="0" w:color="auto"/>
        <w:left w:val="none" w:sz="0" w:space="0" w:color="auto"/>
        <w:bottom w:val="none" w:sz="0" w:space="0" w:color="auto"/>
        <w:right w:val="none" w:sz="0" w:space="0" w:color="auto"/>
      </w:divBdr>
    </w:div>
    <w:div w:id="973173658">
      <w:bodyDiv w:val="1"/>
      <w:marLeft w:val="0"/>
      <w:marRight w:val="0"/>
      <w:marTop w:val="0"/>
      <w:marBottom w:val="0"/>
      <w:divBdr>
        <w:top w:val="none" w:sz="0" w:space="0" w:color="auto"/>
        <w:left w:val="none" w:sz="0" w:space="0" w:color="auto"/>
        <w:bottom w:val="none" w:sz="0" w:space="0" w:color="auto"/>
        <w:right w:val="none" w:sz="0" w:space="0" w:color="auto"/>
      </w:divBdr>
    </w:div>
    <w:div w:id="987125783">
      <w:bodyDiv w:val="1"/>
      <w:marLeft w:val="0"/>
      <w:marRight w:val="0"/>
      <w:marTop w:val="0"/>
      <w:marBottom w:val="0"/>
      <w:divBdr>
        <w:top w:val="none" w:sz="0" w:space="0" w:color="auto"/>
        <w:left w:val="none" w:sz="0" w:space="0" w:color="auto"/>
        <w:bottom w:val="none" w:sz="0" w:space="0" w:color="auto"/>
        <w:right w:val="none" w:sz="0" w:space="0" w:color="auto"/>
      </w:divBdr>
    </w:div>
    <w:div w:id="1021080048">
      <w:bodyDiv w:val="1"/>
      <w:marLeft w:val="0"/>
      <w:marRight w:val="0"/>
      <w:marTop w:val="0"/>
      <w:marBottom w:val="0"/>
      <w:divBdr>
        <w:top w:val="none" w:sz="0" w:space="0" w:color="auto"/>
        <w:left w:val="none" w:sz="0" w:space="0" w:color="auto"/>
        <w:bottom w:val="none" w:sz="0" w:space="0" w:color="auto"/>
        <w:right w:val="none" w:sz="0" w:space="0" w:color="auto"/>
      </w:divBdr>
    </w:div>
    <w:div w:id="1101334180">
      <w:bodyDiv w:val="1"/>
      <w:marLeft w:val="0"/>
      <w:marRight w:val="0"/>
      <w:marTop w:val="0"/>
      <w:marBottom w:val="0"/>
      <w:divBdr>
        <w:top w:val="none" w:sz="0" w:space="0" w:color="auto"/>
        <w:left w:val="none" w:sz="0" w:space="0" w:color="auto"/>
        <w:bottom w:val="none" w:sz="0" w:space="0" w:color="auto"/>
        <w:right w:val="none" w:sz="0" w:space="0" w:color="auto"/>
      </w:divBdr>
    </w:div>
    <w:div w:id="1117337613">
      <w:bodyDiv w:val="1"/>
      <w:marLeft w:val="0"/>
      <w:marRight w:val="0"/>
      <w:marTop w:val="0"/>
      <w:marBottom w:val="0"/>
      <w:divBdr>
        <w:top w:val="none" w:sz="0" w:space="0" w:color="auto"/>
        <w:left w:val="none" w:sz="0" w:space="0" w:color="auto"/>
        <w:bottom w:val="none" w:sz="0" w:space="0" w:color="auto"/>
        <w:right w:val="none" w:sz="0" w:space="0" w:color="auto"/>
      </w:divBdr>
    </w:div>
    <w:div w:id="1117872444">
      <w:bodyDiv w:val="1"/>
      <w:marLeft w:val="0"/>
      <w:marRight w:val="0"/>
      <w:marTop w:val="0"/>
      <w:marBottom w:val="0"/>
      <w:divBdr>
        <w:top w:val="none" w:sz="0" w:space="0" w:color="auto"/>
        <w:left w:val="none" w:sz="0" w:space="0" w:color="auto"/>
        <w:bottom w:val="none" w:sz="0" w:space="0" w:color="auto"/>
        <w:right w:val="none" w:sz="0" w:space="0" w:color="auto"/>
      </w:divBdr>
    </w:div>
    <w:div w:id="1124008543">
      <w:bodyDiv w:val="1"/>
      <w:marLeft w:val="0"/>
      <w:marRight w:val="0"/>
      <w:marTop w:val="0"/>
      <w:marBottom w:val="0"/>
      <w:divBdr>
        <w:top w:val="none" w:sz="0" w:space="0" w:color="auto"/>
        <w:left w:val="none" w:sz="0" w:space="0" w:color="auto"/>
        <w:bottom w:val="none" w:sz="0" w:space="0" w:color="auto"/>
        <w:right w:val="none" w:sz="0" w:space="0" w:color="auto"/>
      </w:divBdr>
    </w:div>
    <w:div w:id="1152136284">
      <w:bodyDiv w:val="1"/>
      <w:marLeft w:val="0"/>
      <w:marRight w:val="0"/>
      <w:marTop w:val="0"/>
      <w:marBottom w:val="0"/>
      <w:divBdr>
        <w:top w:val="none" w:sz="0" w:space="0" w:color="auto"/>
        <w:left w:val="none" w:sz="0" w:space="0" w:color="auto"/>
        <w:bottom w:val="none" w:sz="0" w:space="0" w:color="auto"/>
        <w:right w:val="none" w:sz="0" w:space="0" w:color="auto"/>
      </w:divBdr>
    </w:div>
    <w:div w:id="1155805891">
      <w:bodyDiv w:val="1"/>
      <w:marLeft w:val="0"/>
      <w:marRight w:val="0"/>
      <w:marTop w:val="0"/>
      <w:marBottom w:val="0"/>
      <w:divBdr>
        <w:top w:val="none" w:sz="0" w:space="0" w:color="auto"/>
        <w:left w:val="none" w:sz="0" w:space="0" w:color="auto"/>
        <w:bottom w:val="none" w:sz="0" w:space="0" w:color="auto"/>
        <w:right w:val="none" w:sz="0" w:space="0" w:color="auto"/>
      </w:divBdr>
    </w:div>
    <w:div w:id="1186287857">
      <w:bodyDiv w:val="1"/>
      <w:marLeft w:val="0"/>
      <w:marRight w:val="0"/>
      <w:marTop w:val="0"/>
      <w:marBottom w:val="0"/>
      <w:divBdr>
        <w:top w:val="none" w:sz="0" w:space="0" w:color="auto"/>
        <w:left w:val="none" w:sz="0" w:space="0" w:color="auto"/>
        <w:bottom w:val="none" w:sz="0" w:space="0" w:color="auto"/>
        <w:right w:val="none" w:sz="0" w:space="0" w:color="auto"/>
      </w:divBdr>
    </w:div>
    <w:div w:id="1220433612">
      <w:bodyDiv w:val="1"/>
      <w:marLeft w:val="0"/>
      <w:marRight w:val="0"/>
      <w:marTop w:val="0"/>
      <w:marBottom w:val="0"/>
      <w:divBdr>
        <w:top w:val="none" w:sz="0" w:space="0" w:color="auto"/>
        <w:left w:val="none" w:sz="0" w:space="0" w:color="auto"/>
        <w:bottom w:val="none" w:sz="0" w:space="0" w:color="auto"/>
        <w:right w:val="none" w:sz="0" w:space="0" w:color="auto"/>
      </w:divBdr>
    </w:div>
    <w:div w:id="1283027831">
      <w:bodyDiv w:val="1"/>
      <w:marLeft w:val="0"/>
      <w:marRight w:val="0"/>
      <w:marTop w:val="0"/>
      <w:marBottom w:val="0"/>
      <w:divBdr>
        <w:top w:val="none" w:sz="0" w:space="0" w:color="auto"/>
        <w:left w:val="none" w:sz="0" w:space="0" w:color="auto"/>
        <w:bottom w:val="none" w:sz="0" w:space="0" w:color="auto"/>
        <w:right w:val="none" w:sz="0" w:space="0" w:color="auto"/>
      </w:divBdr>
    </w:div>
    <w:div w:id="1300262777">
      <w:bodyDiv w:val="1"/>
      <w:marLeft w:val="0"/>
      <w:marRight w:val="0"/>
      <w:marTop w:val="0"/>
      <w:marBottom w:val="0"/>
      <w:divBdr>
        <w:top w:val="none" w:sz="0" w:space="0" w:color="auto"/>
        <w:left w:val="none" w:sz="0" w:space="0" w:color="auto"/>
        <w:bottom w:val="none" w:sz="0" w:space="0" w:color="auto"/>
        <w:right w:val="none" w:sz="0" w:space="0" w:color="auto"/>
      </w:divBdr>
    </w:div>
    <w:div w:id="1307780052">
      <w:bodyDiv w:val="1"/>
      <w:marLeft w:val="0"/>
      <w:marRight w:val="0"/>
      <w:marTop w:val="0"/>
      <w:marBottom w:val="0"/>
      <w:divBdr>
        <w:top w:val="none" w:sz="0" w:space="0" w:color="auto"/>
        <w:left w:val="none" w:sz="0" w:space="0" w:color="auto"/>
        <w:bottom w:val="none" w:sz="0" w:space="0" w:color="auto"/>
        <w:right w:val="none" w:sz="0" w:space="0" w:color="auto"/>
      </w:divBdr>
    </w:div>
    <w:div w:id="1341006378">
      <w:bodyDiv w:val="1"/>
      <w:marLeft w:val="0"/>
      <w:marRight w:val="0"/>
      <w:marTop w:val="0"/>
      <w:marBottom w:val="0"/>
      <w:divBdr>
        <w:top w:val="none" w:sz="0" w:space="0" w:color="auto"/>
        <w:left w:val="none" w:sz="0" w:space="0" w:color="auto"/>
        <w:bottom w:val="none" w:sz="0" w:space="0" w:color="auto"/>
        <w:right w:val="none" w:sz="0" w:space="0" w:color="auto"/>
      </w:divBdr>
    </w:div>
    <w:div w:id="1356273235">
      <w:bodyDiv w:val="1"/>
      <w:marLeft w:val="0"/>
      <w:marRight w:val="0"/>
      <w:marTop w:val="0"/>
      <w:marBottom w:val="0"/>
      <w:divBdr>
        <w:top w:val="none" w:sz="0" w:space="0" w:color="auto"/>
        <w:left w:val="none" w:sz="0" w:space="0" w:color="auto"/>
        <w:bottom w:val="none" w:sz="0" w:space="0" w:color="auto"/>
        <w:right w:val="none" w:sz="0" w:space="0" w:color="auto"/>
      </w:divBdr>
    </w:div>
    <w:div w:id="1418866267">
      <w:bodyDiv w:val="1"/>
      <w:marLeft w:val="0"/>
      <w:marRight w:val="0"/>
      <w:marTop w:val="0"/>
      <w:marBottom w:val="0"/>
      <w:divBdr>
        <w:top w:val="none" w:sz="0" w:space="0" w:color="auto"/>
        <w:left w:val="none" w:sz="0" w:space="0" w:color="auto"/>
        <w:bottom w:val="none" w:sz="0" w:space="0" w:color="auto"/>
        <w:right w:val="none" w:sz="0" w:space="0" w:color="auto"/>
      </w:divBdr>
    </w:div>
    <w:div w:id="1428110652">
      <w:bodyDiv w:val="1"/>
      <w:marLeft w:val="0"/>
      <w:marRight w:val="0"/>
      <w:marTop w:val="0"/>
      <w:marBottom w:val="0"/>
      <w:divBdr>
        <w:top w:val="none" w:sz="0" w:space="0" w:color="auto"/>
        <w:left w:val="none" w:sz="0" w:space="0" w:color="auto"/>
        <w:bottom w:val="none" w:sz="0" w:space="0" w:color="auto"/>
        <w:right w:val="none" w:sz="0" w:space="0" w:color="auto"/>
      </w:divBdr>
    </w:div>
    <w:div w:id="1505432981">
      <w:bodyDiv w:val="1"/>
      <w:marLeft w:val="0"/>
      <w:marRight w:val="0"/>
      <w:marTop w:val="0"/>
      <w:marBottom w:val="0"/>
      <w:divBdr>
        <w:top w:val="none" w:sz="0" w:space="0" w:color="auto"/>
        <w:left w:val="none" w:sz="0" w:space="0" w:color="auto"/>
        <w:bottom w:val="none" w:sz="0" w:space="0" w:color="auto"/>
        <w:right w:val="none" w:sz="0" w:space="0" w:color="auto"/>
      </w:divBdr>
    </w:div>
    <w:div w:id="1509976607">
      <w:bodyDiv w:val="1"/>
      <w:marLeft w:val="0"/>
      <w:marRight w:val="0"/>
      <w:marTop w:val="0"/>
      <w:marBottom w:val="0"/>
      <w:divBdr>
        <w:top w:val="none" w:sz="0" w:space="0" w:color="auto"/>
        <w:left w:val="none" w:sz="0" w:space="0" w:color="auto"/>
        <w:bottom w:val="none" w:sz="0" w:space="0" w:color="auto"/>
        <w:right w:val="none" w:sz="0" w:space="0" w:color="auto"/>
      </w:divBdr>
    </w:div>
    <w:div w:id="1548645842">
      <w:bodyDiv w:val="1"/>
      <w:marLeft w:val="0"/>
      <w:marRight w:val="0"/>
      <w:marTop w:val="0"/>
      <w:marBottom w:val="0"/>
      <w:divBdr>
        <w:top w:val="none" w:sz="0" w:space="0" w:color="auto"/>
        <w:left w:val="none" w:sz="0" w:space="0" w:color="auto"/>
        <w:bottom w:val="none" w:sz="0" w:space="0" w:color="auto"/>
        <w:right w:val="none" w:sz="0" w:space="0" w:color="auto"/>
      </w:divBdr>
    </w:div>
    <w:div w:id="1565069774">
      <w:bodyDiv w:val="1"/>
      <w:marLeft w:val="0"/>
      <w:marRight w:val="0"/>
      <w:marTop w:val="0"/>
      <w:marBottom w:val="0"/>
      <w:divBdr>
        <w:top w:val="none" w:sz="0" w:space="0" w:color="auto"/>
        <w:left w:val="none" w:sz="0" w:space="0" w:color="auto"/>
        <w:bottom w:val="none" w:sz="0" w:space="0" w:color="auto"/>
        <w:right w:val="none" w:sz="0" w:space="0" w:color="auto"/>
      </w:divBdr>
    </w:div>
    <w:div w:id="1569653515">
      <w:bodyDiv w:val="1"/>
      <w:marLeft w:val="0"/>
      <w:marRight w:val="0"/>
      <w:marTop w:val="0"/>
      <w:marBottom w:val="0"/>
      <w:divBdr>
        <w:top w:val="none" w:sz="0" w:space="0" w:color="auto"/>
        <w:left w:val="none" w:sz="0" w:space="0" w:color="auto"/>
        <w:bottom w:val="none" w:sz="0" w:space="0" w:color="auto"/>
        <w:right w:val="none" w:sz="0" w:space="0" w:color="auto"/>
      </w:divBdr>
    </w:div>
    <w:div w:id="1657105432">
      <w:bodyDiv w:val="1"/>
      <w:marLeft w:val="0"/>
      <w:marRight w:val="0"/>
      <w:marTop w:val="0"/>
      <w:marBottom w:val="0"/>
      <w:divBdr>
        <w:top w:val="none" w:sz="0" w:space="0" w:color="auto"/>
        <w:left w:val="none" w:sz="0" w:space="0" w:color="auto"/>
        <w:bottom w:val="none" w:sz="0" w:space="0" w:color="auto"/>
        <w:right w:val="none" w:sz="0" w:space="0" w:color="auto"/>
      </w:divBdr>
    </w:div>
    <w:div w:id="1716731960">
      <w:bodyDiv w:val="1"/>
      <w:marLeft w:val="0"/>
      <w:marRight w:val="0"/>
      <w:marTop w:val="0"/>
      <w:marBottom w:val="0"/>
      <w:divBdr>
        <w:top w:val="none" w:sz="0" w:space="0" w:color="auto"/>
        <w:left w:val="none" w:sz="0" w:space="0" w:color="auto"/>
        <w:bottom w:val="none" w:sz="0" w:space="0" w:color="auto"/>
        <w:right w:val="none" w:sz="0" w:space="0" w:color="auto"/>
      </w:divBdr>
    </w:div>
    <w:div w:id="1753819923">
      <w:bodyDiv w:val="1"/>
      <w:marLeft w:val="0"/>
      <w:marRight w:val="0"/>
      <w:marTop w:val="0"/>
      <w:marBottom w:val="0"/>
      <w:divBdr>
        <w:top w:val="none" w:sz="0" w:space="0" w:color="auto"/>
        <w:left w:val="none" w:sz="0" w:space="0" w:color="auto"/>
        <w:bottom w:val="none" w:sz="0" w:space="0" w:color="auto"/>
        <w:right w:val="none" w:sz="0" w:space="0" w:color="auto"/>
      </w:divBdr>
    </w:div>
    <w:div w:id="1807233709">
      <w:bodyDiv w:val="1"/>
      <w:marLeft w:val="0"/>
      <w:marRight w:val="0"/>
      <w:marTop w:val="0"/>
      <w:marBottom w:val="0"/>
      <w:divBdr>
        <w:top w:val="none" w:sz="0" w:space="0" w:color="auto"/>
        <w:left w:val="none" w:sz="0" w:space="0" w:color="auto"/>
        <w:bottom w:val="none" w:sz="0" w:space="0" w:color="auto"/>
        <w:right w:val="none" w:sz="0" w:space="0" w:color="auto"/>
      </w:divBdr>
    </w:div>
    <w:div w:id="1820226876">
      <w:bodyDiv w:val="1"/>
      <w:marLeft w:val="0"/>
      <w:marRight w:val="0"/>
      <w:marTop w:val="0"/>
      <w:marBottom w:val="0"/>
      <w:divBdr>
        <w:top w:val="none" w:sz="0" w:space="0" w:color="auto"/>
        <w:left w:val="none" w:sz="0" w:space="0" w:color="auto"/>
        <w:bottom w:val="none" w:sz="0" w:space="0" w:color="auto"/>
        <w:right w:val="none" w:sz="0" w:space="0" w:color="auto"/>
      </w:divBdr>
    </w:div>
    <w:div w:id="1864052890">
      <w:bodyDiv w:val="1"/>
      <w:marLeft w:val="0"/>
      <w:marRight w:val="0"/>
      <w:marTop w:val="0"/>
      <w:marBottom w:val="0"/>
      <w:divBdr>
        <w:top w:val="none" w:sz="0" w:space="0" w:color="auto"/>
        <w:left w:val="none" w:sz="0" w:space="0" w:color="auto"/>
        <w:bottom w:val="none" w:sz="0" w:space="0" w:color="auto"/>
        <w:right w:val="none" w:sz="0" w:space="0" w:color="auto"/>
      </w:divBdr>
    </w:div>
    <w:div w:id="1891574975">
      <w:bodyDiv w:val="1"/>
      <w:marLeft w:val="0"/>
      <w:marRight w:val="0"/>
      <w:marTop w:val="0"/>
      <w:marBottom w:val="0"/>
      <w:divBdr>
        <w:top w:val="none" w:sz="0" w:space="0" w:color="auto"/>
        <w:left w:val="none" w:sz="0" w:space="0" w:color="auto"/>
        <w:bottom w:val="none" w:sz="0" w:space="0" w:color="auto"/>
        <w:right w:val="none" w:sz="0" w:space="0" w:color="auto"/>
      </w:divBdr>
    </w:div>
    <w:div w:id="1895121768">
      <w:bodyDiv w:val="1"/>
      <w:marLeft w:val="0"/>
      <w:marRight w:val="0"/>
      <w:marTop w:val="0"/>
      <w:marBottom w:val="0"/>
      <w:divBdr>
        <w:top w:val="none" w:sz="0" w:space="0" w:color="auto"/>
        <w:left w:val="none" w:sz="0" w:space="0" w:color="auto"/>
        <w:bottom w:val="none" w:sz="0" w:space="0" w:color="auto"/>
        <w:right w:val="none" w:sz="0" w:space="0" w:color="auto"/>
      </w:divBdr>
    </w:div>
    <w:div w:id="1996031052">
      <w:bodyDiv w:val="1"/>
      <w:marLeft w:val="0"/>
      <w:marRight w:val="0"/>
      <w:marTop w:val="0"/>
      <w:marBottom w:val="0"/>
      <w:divBdr>
        <w:top w:val="none" w:sz="0" w:space="0" w:color="auto"/>
        <w:left w:val="none" w:sz="0" w:space="0" w:color="auto"/>
        <w:bottom w:val="none" w:sz="0" w:space="0" w:color="auto"/>
        <w:right w:val="none" w:sz="0" w:space="0" w:color="auto"/>
      </w:divBdr>
    </w:div>
    <w:div w:id="2012248725">
      <w:bodyDiv w:val="1"/>
      <w:marLeft w:val="0"/>
      <w:marRight w:val="0"/>
      <w:marTop w:val="0"/>
      <w:marBottom w:val="0"/>
      <w:divBdr>
        <w:top w:val="none" w:sz="0" w:space="0" w:color="auto"/>
        <w:left w:val="none" w:sz="0" w:space="0" w:color="auto"/>
        <w:bottom w:val="none" w:sz="0" w:space="0" w:color="auto"/>
        <w:right w:val="none" w:sz="0" w:space="0" w:color="auto"/>
      </w:divBdr>
    </w:div>
    <w:div w:id="2060081786">
      <w:bodyDiv w:val="1"/>
      <w:marLeft w:val="0"/>
      <w:marRight w:val="0"/>
      <w:marTop w:val="0"/>
      <w:marBottom w:val="0"/>
      <w:divBdr>
        <w:top w:val="none" w:sz="0" w:space="0" w:color="auto"/>
        <w:left w:val="none" w:sz="0" w:space="0" w:color="auto"/>
        <w:bottom w:val="none" w:sz="0" w:space="0" w:color="auto"/>
        <w:right w:val="none" w:sz="0" w:space="0" w:color="auto"/>
      </w:divBdr>
    </w:div>
    <w:div w:id="210174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21F4FFC-33C4-437C-9290-54EC6E6E572B}">
  <we:reference id="d51ccb01-85e7-42ab-885b-de05c07799f3" version="1.0.0.1" store="EXCatalog" storeType="EXCatalog"/>
  <we:alternateReferences>
    <we:reference id="WA200010453" version="1.0.0.1" store="en-US" storeType="OMEX"/>
  </we:alternateReferences>
  <we:properties>
    <we:property name="claude.fileId" value="&quot;d0bc9d07-319c-4d7e-b31a-41ff5a33910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7330F-CCA0-4999-BB83-136B09091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3989</Words>
  <Characters>21220</Characters>
  <Application>Microsoft Office Word</Application>
  <DocSecurity>0</DocSecurity>
  <Lines>176</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Stephens, Darci (G&amp;B)</dc:creator>
  <cp:keywords/>
  <dc:description/>
  <cp:lastModifiedBy>Daly, Adam (G&amp;B)</cp:lastModifiedBy>
  <cp:revision>3</cp:revision>
  <cp:lastPrinted>2026-06-05T22:34:00Z</cp:lastPrinted>
  <dcterms:created xsi:type="dcterms:W3CDTF">2026-09-11T22:05:00Z</dcterms:created>
  <dcterms:modified xsi:type="dcterms:W3CDTF">2026-09-11T22:07:00Z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ndDocumentId">
    <vt:lpwstr>4899-2976-6853</vt:lpwstr>
  </op:property>
</op:Properties>
</file>