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p>
      <w:pPr>
        <w:spacing w:after="0" w:line="200" w:lineRule="exact"/>
        <w:rPr>
          <w:sz w:val="24"/>
          <w:szCs w:val="24"/>
          <w:color w:val="auto"/>
        </w:rPr>
      </w:pPr>
      <w:r>
        <w:rPr>
          <w:sz w:val="24"/>
          <w:szCs w:val="24"/>
          <w:color w:val="auto"/>
        </w:rPr>
        <w:drawing>
          <wp:anchor simplePos="0" relativeHeight="251657728" behindDoc="1" locked="0" layoutInCell="0" allowOverlap="1">
            <wp:simplePos x="0" y="0"/>
            <wp:positionH relativeFrom="page">
              <wp:posOffset>3040380</wp:posOffset>
            </wp:positionH>
            <wp:positionV relativeFrom="page">
              <wp:posOffset>542925</wp:posOffset>
            </wp:positionV>
            <wp:extent cx="1661160" cy="8153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clrChange>
                        <a:clrFrom>
                          <a:srgbClr val="FFFFFF"/>
                        </a:clrFrom>
                        <a:clrTo>
                          <a:srgbClr val="FFFFFF">
                            <a:alpha val="0"/>
                          </a:srgbClr>
                        </a:clrTo>
                      </a:clrChange>
                      <a:extLst>
                        <a:ext uri="{28A0092B-C50C-407E-A947-70E740481C1C}"/>
                      </a:extLst>
                    </a:blip>
                    <a:srcRect/>
                    <a:stretch>
                      <a:fillRect/>
                    </a:stretch>
                  </pic:blipFill>
                  <pic:spPr bwMode="auto">
                    <a:xfrm>
                      <a:off x="0" y="0"/>
                      <a:ext cx="1661160" cy="815340"/>
                    </a:xfrm>
                    <a:prstGeom prst="rect">
                      <a:avLst/>
                    </a:prstGeom>
                    <a:noFill/>
                  </pic:spPr>
                </pic:pic>
              </a:graphicData>
            </a:graphic>
          </wp:anchor>
        </w:drawing>
      </w:r>
    </w:p>
    <w:p>
      <w:pPr>
        <w:spacing w:after="0" w:line="200" w:lineRule="exact"/>
        <w:rPr>
          <w:sz w:val="24"/>
          <w:szCs w:val="24"/>
          <w:color w:val="auto"/>
        </w:rPr>
      </w:pPr>
    </w:p>
    <w:p>
      <w:pPr>
        <w:spacing w:after="0" w:line="200" w:lineRule="exact"/>
        <w:rPr>
          <w:sz w:val="24"/>
          <w:szCs w:val="24"/>
          <w:color w:val="auto"/>
        </w:rPr>
      </w:pPr>
    </w:p>
    <w:p>
      <w:pPr>
        <w:spacing w:after="0" w:line="211" w:lineRule="exact"/>
        <w:rPr>
          <w:sz w:val="24"/>
          <w:szCs w:val="24"/>
          <w:color w:val="auto"/>
        </w:rPr>
      </w:pPr>
    </w:p>
    <w:p>
      <w:pPr>
        <w:ind w:left="4040"/>
        <w:spacing w:after="0"/>
        <w:rPr>
          <w:sz w:val="20"/>
          <w:szCs w:val="20"/>
          <w:color w:val="auto"/>
        </w:rPr>
      </w:pPr>
      <w:r>
        <w:rPr>
          <w:rFonts w:ascii="Calibri" w:cs="Calibri" w:eastAsia="Calibri" w:hAnsi="Calibri"/>
          <w:sz w:val="24"/>
          <w:szCs w:val="24"/>
          <w:b w:val="1"/>
          <w:bCs w:val="1"/>
          <w:color w:val="auto"/>
        </w:rPr>
        <w:t>Amended AGENDA</w:t>
      </w:r>
    </w:p>
    <w:p>
      <w:pPr>
        <w:spacing w:after="0" w:line="32" w:lineRule="exact"/>
        <w:rPr>
          <w:sz w:val="24"/>
          <w:szCs w:val="24"/>
          <w:color w:val="auto"/>
        </w:rPr>
      </w:pPr>
    </w:p>
    <w:p>
      <w:pPr>
        <w:ind w:left="4080"/>
        <w:spacing w:after="0"/>
        <w:rPr>
          <w:sz w:val="20"/>
          <w:szCs w:val="20"/>
          <w:color w:val="auto"/>
        </w:rPr>
      </w:pPr>
      <w:r>
        <w:rPr>
          <w:rFonts w:ascii="Calibri" w:cs="Calibri" w:eastAsia="Calibri" w:hAnsi="Calibri"/>
          <w:sz w:val="24"/>
          <w:szCs w:val="24"/>
          <w:b w:val="1"/>
          <w:bCs w:val="1"/>
          <w:color w:val="auto"/>
        </w:rPr>
        <w:t>COUNTY COUNCIL</w:t>
      </w:r>
    </w:p>
    <w:p>
      <w:pPr>
        <w:ind w:left="3440"/>
        <w:spacing w:after="0" w:line="235" w:lineRule="auto"/>
        <w:rPr>
          <w:sz w:val="20"/>
          <w:szCs w:val="20"/>
          <w:color w:val="auto"/>
        </w:rPr>
      </w:pPr>
      <w:r>
        <w:rPr>
          <w:rFonts w:ascii="Calibri" w:cs="Calibri" w:eastAsia="Calibri" w:hAnsi="Calibri"/>
          <w:sz w:val="24"/>
          <w:szCs w:val="24"/>
          <w:b w:val="1"/>
          <w:bCs w:val="1"/>
          <w:color w:val="auto"/>
        </w:rPr>
        <w:t>Wednesday, September 2, 2026</w:t>
      </w:r>
    </w:p>
    <w:p>
      <w:pPr>
        <w:spacing w:after="0" w:line="357" w:lineRule="exact"/>
        <w:rPr>
          <w:sz w:val="24"/>
          <w:szCs w:val="24"/>
          <w:color w:val="auto"/>
        </w:rPr>
      </w:pPr>
    </w:p>
    <w:p>
      <w:pPr>
        <w:jc w:val="center"/>
        <w:ind w:right="-179"/>
        <w:spacing w:after="0"/>
        <w:rPr>
          <w:sz w:val="20"/>
          <w:szCs w:val="20"/>
          <w:color w:val="auto"/>
        </w:rPr>
      </w:pPr>
      <w:r>
        <w:rPr>
          <w:rFonts w:ascii="Calibri" w:cs="Calibri" w:eastAsia="Calibri" w:hAnsi="Calibri"/>
          <w:sz w:val="24"/>
          <w:szCs w:val="24"/>
          <w:color w:val="auto"/>
        </w:rPr>
        <w:t>NOTICE is hereby given that the Summit County Council will meet, on</w:t>
      </w:r>
    </w:p>
    <w:p>
      <w:pPr>
        <w:spacing w:after="0" w:line="22" w:lineRule="exact"/>
        <w:rPr>
          <w:sz w:val="24"/>
          <w:szCs w:val="24"/>
          <w:color w:val="auto"/>
        </w:rPr>
      </w:pPr>
    </w:p>
    <w:p>
      <w:pPr>
        <w:jc w:val="center"/>
        <w:ind w:right="-159"/>
        <w:spacing w:after="0"/>
        <w:rPr>
          <w:sz w:val="20"/>
          <w:szCs w:val="20"/>
          <w:color w:val="auto"/>
        </w:rPr>
      </w:pPr>
      <w:r>
        <w:rPr>
          <w:rFonts w:ascii="Calibri" w:cs="Calibri" w:eastAsia="Calibri" w:hAnsi="Calibri"/>
          <w:sz w:val="24"/>
          <w:szCs w:val="24"/>
          <w:color w:val="auto"/>
        </w:rPr>
        <w:t>Wednesday, September 2, 2026</w:t>
      </w:r>
    </w:p>
    <w:p>
      <w:pPr>
        <w:jc w:val="center"/>
        <w:ind w:right="-139"/>
        <w:spacing w:after="0" w:line="235" w:lineRule="auto"/>
        <w:rPr>
          <w:sz w:val="20"/>
          <w:szCs w:val="20"/>
          <w:color w:val="auto"/>
        </w:rPr>
      </w:pPr>
      <w:r>
        <w:rPr>
          <w:rFonts w:ascii="Calibri" w:cs="Calibri" w:eastAsia="Calibri" w:hAnsi="Calibri"/>
          <w:sz w:val="24"/>
          <w:szCs w:val="24"/>
          <w:color w:val="auto"/>
        </w:rPr>
        <w:t>electronically, via Zoom, and at the anchor location of Richins Auditorium</w:t>
      </w:r>
    </w:p>
    <w:p>
      <w:pPr>
        <w:jc w:val="center"/>
        <w:ind w:right="-139"/>
        <w:spacing w:after="0" w:line="236" w:lineRule="auto"/>
        <w:rPr>
          <w:sz w:val="20"/>
          <w:szCs w:val="20"/>
          <w:color w:val="auto"/>
        </w:rPr>
      </w:pPr>
      <w:r>
        <w:rPr>
          <w:rFonts w:ascii="Calibri" w:cs="Calibri" w:eastAsia="Calibri" w:hAnsi="Calibri"/>
          <w:sz w:val="24"/>
          <w:szCs w:val="24"/>
          <w:color w:val="auto"/>
        </w:rPr>
        <w:t>1885 W. Ute Blvd., Park City, UT 84098</w:t>
      </w:r>
    </w:p>
    <w:p>
      <w:pPr>
        <w:ind w:left="1980"/>
        <w:spacing w:after="0" w:line="230" w:lineRule="auto"/>
        <w:rPr>
          <w:sz w:val="20"/>
          <w:szCs w:val="20"/>
          <w:color w:val="auto"/>
        </w:rPr>
      </w:pPr>
      <w:r>
        <w:rPr>
          <w:rFonts w:ascii="Calibri" w:cs="Calibri" w:eastAsia="Calibri" w:hAnsi="Calibri"/>
          <w:sz w:val="18"/>
          <w:szCs w:val="18"/>
          <w:color w:val="auto"/>
        </w:rPr>
        <w:t>(All times listed are general in nature, and are subject to change by the Board Chair)</w:t>
      </w:r>
    </w:p>
    <w:p>
      <w:pPr>
        <w:spacing w:after="0" w:line="272" w:lineRule="exact"/>
        <w:rPr>
          <w:sz w:val="24"/>
          <w:szCs w:val="24"/>
          <w:color w:val="auto"/>
        </w:rPr>
      </w:pPr>
    </w:p>
    <w:p>
      <w:pPr>
        <w:jc w:val="center"/>
        <w:ind w:right="1240"/>
        <w:spacing w:after="0"/>
        <w:rPr>
          <w:sz w:val="20"/>
          <w:szCs w:val="20"/>
          <w:color w:val="auto"/>
        </w:rPr>
      </w:pPr>
      <w:r>
        <w:rPr>
          <w:rFonts w:ascii="Calibri" w:cs="Calibri" w:eastAsia="Calibri" w:hAnsi="Calibri"/>
          <w:sz w:val="24"/>
          <w:szCs w:val="24"/>
          <w:b w:val="1"/>
          <w:bCs w:val="1"/>
          <w:color w:val="auto"/>
        </w:rPr>
        <w:t>To view Council meeting, live, visit the "Summit County, Utah" Facebook page.</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0</wp:posOffset>
            </wp:positionH>
            <wp:positionV relativeFrom="paragraph">
              <wp:posOffset>-172720</wp:posOffset>
            </wp:positionV>
            <wp:extent cx="6362700" cy="9448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extLst>
                    </a:blip>
                    <a:srcRect/>
                    <a:stretch>
                      <a:fillRect/>
                    </a:stretch>
                  </pic:blipFill>
                  <pic:spPr bwMode="auto">
                    <a:xfrm>
                      <a:off x="0" y="0"/>
                      <a:ext cx="6362700" cy="944880"/>
                    </a:xfrm>
                    <a:prstGeom prst="rect">
                      <a:avLst/>
                    </a:prstGeom>
                    <a:noFill/>
                  </pic:spPr>
                </pic:pic>
              </a:graphicData>
            </a:graphic>
          </wp:anchor>
        </w:drawing>
      </w:r>
    </w:p>
    <w:p>
      <w:pPr>
        <w:spacing w:after="0" w:line="12" w:lineRule="exact"/>
        <w:rPr>
          <w:sz w:val="24"/>
          <w:szCs w:val="24"/>
          <w:color w:val="auto"/>
        </w:rPr>
      </w:pPr>
    </w:p>
    <w:p>
      <w:pPr>
        <w:jc w:val="center"/>
        <w:ind w:right="-239"/>
        <w:spacing w:after="0"/>
        <w:rPr>
          <w:sz w:val="20"/>
          <w:szCs w:val="20"/>
          <w:color w:val="auto"/>
        </w:rPr>
      </w:pPr>
      <w:r>
        <w:rPr>
          <w:rFonts w:ascii="Calibri" w:cs="Calibri" w:eastAsia="Calibri" w:hAnsi="Calibri"/>
          <w:sz w:val="24"/>
          <w:szCs w:val="24"/>
          <w:b w:val="1"/>
          <w:bCs w:val="1"/>
          <w:color w:val="auto"/>
        </w:rPr>
        <w:t>OR</w:t>
      </w:r>
    </w:p>
    <w:p>
      <w:pPr>
        <w:jc w:val="center"/>
        <w:ind w:right="-239"/>
        <w:spacing w:after="0" w:line="235" w:lineRule="auto"/>
        <w:rPr>
          <w:rFonts w:ascii="Calibri" w:cs="Calibri" w:eastAsia="Calibri" w:hAnsi="Calibri"/>
          <w:sz w:val="24"/>
          <w:szCs w:val="24"/>
          <w:b w:val="1"/>
          <w:bCs w:val="1"/>
          <w:color w:val="auto"/>
        </w:rPr>
      </w:pPr>
      <w:r>
        <w:rPr>
          <w:rFonts w:ascii="Calibri" w:cs="Calibri" w:eastAsia="Calibri" w:hAnsi="Calibri"/>
          <w:sz w:val="24"/>
          <w:szCs w:val="24"/>
          <w:b w:val="1"/>
          <w:bCs w:val="1"/>
          <w:color w:val="auto"/>
        </w:rPr>
        <w:t>To participate in Council meeting: Join Zoom webinar:</w:t>
      </w:r>
      <w:r>
        <w:rPr>
          <w:rFonts w:ascii="Calibri" w:cs="Calibri" w:eastAsia="Calibri" w:hAnsi="Calibri"/>
          <w:sz w:val="24"/>
          <w:szCs w:val="24"/>
          <w:b w:val="1"/>
          <w:bCs w:val="1"/>
          <w:color w:val="0000EE"/>
        </w:rPr>
        <w:t xml:space="preserve"> </w:t>
      </w:r>
      <w:hyperlink r:id="rId14">
        <w:r>
          <w:rPr>
            <w:rFonts w:ascii="Calibri" w:cs="Calibri" w:eastAsia="Calibri" w:hAnsi="Calibri"/>
            <w:sz w:val="24"/>
            <w:szCs w:val="24"/>
            <w:b w:val="1"/>
            <w:bCs w:val="1"/>
            <w:color w:val="0000EE"/>
          </w:rPr>
          <w:t>https://zoom.us/j/772302472</w:t>
        </w:r>
      </w:hyperlink>
    </w:p>
    <w:p>
      <w:pPr>
        <w:jc w:val="center"/>
        <w:ind w:right="-239"/>
        <w:spacing w:after="0" w:line="236" w:lineRule="auto"/>
        <w:rPr>
          <w:sz w:val="20"/>
          <w:szCs w:val="20"/>
          <w:color w:val="auto"/>
        </w:rPr>
      </w:pPr>
      <w:r>
        <w:rPr>
          <w:rFonts w:ascii="Calibri" w:cs="Calibri" w:eastAsia="Calibri" w:hAnsi="Calibri"/>
          <w:sz w:val="24"/>
          <w:szCs w:val="24"/>
          <w:b w:val="1"/>
          <w:bCs w:val="1"/>
          <w:color w:val="auto"/>
        </w:rPr>
        <w:t>OR</w:t>
      </w:r>
    </w:p>
    <w:p>
      <w:pPr>
        <w:jc w:val="center"/>
        <w:ind w:right="-199"/>
        <w:spacing w:after="0" w:line="236" w:lineRule="auto"/>
        <w:rPr>
          <w:sz w:val="20"/>
          <w:szCs w:val="20"/>
          <w:color w:val="auto"/>
        </w:rPr>
      </w:pPr>
      <w:r>
        <w:rPr>
          <w:rFonts w:ascii="Calibri" w:cs="Calibri" w:eastAsia="Calibri" w:hAnsi="Calibri"/>
          <w:sz w:val="24"/>
          <w:szCs w:val="24"/>
          <w:b w:val="1"/>
          <w:bCs w:val="1"/>
          <w:color w:val="auto"/>
        </w:rPr>
        <w:t>To listen by phone only: Dial 1-301-715-8592, Webinar ID: 772 302 472</w:t>
      </w:r>
    </w:p>
    <w:p>
      <w:pPr>
        <w:spacing w:after="0" w:line="225" w:lineRule="exact"/>
        <w:rPr>
          <w:sz w:val="24"/>
          <w:szCs w:val="24"/>
          <w:color w:val="auto"/>
        </w:rPr>
      </w:pPr>
    </w:p>
    <w:p>
      <w:pPr>
        <w:spacing w:after="0"/>
        <w:rPr>
          <w:sz w:val="20"/>
          <w:szCs w:val="20"/>
          <w:color w:val="auto"/>
        </w:rPr>
      </w:pPr>
      <w:r>
        <w:rPr>
          <w:rFonts w:ascii="Calibri" w:cs="Calibri" w:eastAsia="Calibri" w:hAnsi="Calibri"/>
          <w:sz w:val="23"/>
          <w:szCs w:val="23"/>
          <w:u w:val="single" w:color="auto"/>
          <w:color w:val="auto"/>
        </w:rPr>
        <w:t>12:15 PM</w:t>
      </w:r>
      <w:r>
        <w:rPr>
          <w:rFonts w:ascii="Calibri" w:cs="Calibri" w:eastAsia="Calibri" w:hAnsi="Calibri"/>
          <w:sz w:val="23"/>
          <w:szCs w:val="23"/>
          <w:color w:val="auto"/>
        </w:rPr>
        <w:t xml:space="preserve"> Site visit to PEAK Center, located at 6301 North Landmark Drive, Park Utah 84098 (45 min)</w:t>
      </w:r>
    </w:p>
    <w:p>
      <w:pPr>
        <w:spacing w:after="0" w:line="247" w:lineRule="exact"/>
        <w:rPr>
          <w:sz w:val="24"/>
          <w:szCs w:val="24"/>
          <w:color w:val="auto"/>
        </w:rPr>
      </w:pPr>
    </w:p>
    <w:p>
      <w:pPr>
        <w:spacing w:after="0"/>
        <w:rPr>
          <w:sz w:val="20"/>
          <w:szCs w:val="20"/>
          <w:color w:val="auto"/>
        </w:rPr>
      </w:pPr>
      <w:r>
        <w:rPr>
          <w:rFonts w:ascii="Calibri" w:cs="Calibri" w:eastAsia="Calibri" w:hAnsi="Calibri"/>
          <w:sz w:val="24"/>
          <w:szCs w:val="24"/>
          <w:u w:val="single" w:color="auto"/>
          <w:color w:val="auto"/>
        </w:rPr>
        <w:t>1:00 PM</w:t>
      </w:r>
      <w:r>
        <w:rPr>
          <w:rFonts w:ascii="Calibri" w:cs="Calibri" w:eastAsia="Calibri" w:hAnsi="Calibri"/>
          <w:sz w:val="24"/>
          <w:szCs w:val="24"/>
          <w:color w:val="auto"/>
        </w:rPr>
        <w:t xml:space="preserve"> - Travel to Richins building (15 min)</w:t>
      </w:r>
    </w:p>
    <w:p>
      <w:pPr>
        <w:spacing w:after="0" w:line="200" w:lineRule="exact"/>
        <w:rPr>
          <w:sz w:val="24"/>
          <w:szCs w:val="24"/>
          <w:color w:val="auto"/>
        </w:rPr>
      </w:pPr>
    </w:p>
    <w:p>
      <w:pPr>
        <w:spacing w:after="0" w:line="275" w:lineRule="exact"/>
        <w:rPr>
          <w:sz w:val="24"/>
          <w:szCs w:val="24"/>
          <w:color w:val="auto"/>
        </w:rPr>
      </w:pPr>
    </w:p>
    <w:p>
      <w:pPr>
        <w:ind w:left="60"/>
        <w:spacing w:after="0"/>
        <w:rPr>
          <w:sz w:val="20"/>
          <w:szCs w:val="20"/>
          <w:color w:val="auto"/>
        </w:rPr>
      </w:pPr>
      <w:r>
        <w:rPr>
          <w:rFonts w:ascii="Calibri" w:cs="Calibri" w:eastAsia="Calibri" w:hAnsi="Calibri"/>
          <w:sz w:val="24"/>
          <w:szCs w:val="24"/>
          <w:u w:val="single" w:color="auto"/>
          <w:color w:val="auto"/>
        </w:rPr>
        <w:t>1:15 PM</w:t>
      </w:r>
      <w:r>
        <w:rPr>
          <w:rFonts w:ascii="Calibri" w:cs="Calibri" w:eastAsia="Calibri" w:hAnsi="Calibri"/>
          <w:sz w:val="24"/>
          <w:szCs w:val="24"/>
          <w:color w:val="auto"/>
        </w:rPr>
        <w:t xml:space="preserve"> -Closed Session -Property acquisition (90 min)</w:t>
      </w:r>
    </w:p>
    <w:p>
      <w:pPr>
        <w:spacing w:after="0" w:line="235" w:lineRule="exact"/>
        <w:rPr>
          <w:sz w:val="24"/>
          <w:szCs w:val="24"/>
          <w:color w:val="auto"/>
        </w:rPr>
      </w:pPr>
    </w:p>
    <w:p>
      <w:pPr>
        <w:spacing w:after="0"/>
        <w:rPr>
          <w:sz w:val="20"/>
          <w:szCs w:val="20"/>
          <w:color w:val="auto"/>
        </w:rPr>
      </w:pPr>
      <w:r>
        <w:rPr>
          <w:rFonts w:ascii="Calibri" w:cs="Calibri" w:eastAsia="Calibri" w:hAnsi="Calibri"/>
          <w:sz w:val="24"/>
          <w:szCs w:val="24"/>
          <w:u w:val="single" w:color="auto"/>
          <w:color w:val="auto"/>
        </w:rPr>
        <w:t>2:45 PM</w:t>
      </w:r>
      <w:r>
        <w:rPr>
          <w:rFonts w:ascii="Calibri" w:cs="Calibri" w:eastAsia="Calibri" w:hAnsi="Calibri"/>
          <w:sz w:val="24"/>
          <w:szCs w:val="24"/>
          <w:color w:val="auto"/>
        </w:rPr>
        <w:t xml:space="preserve"> Move to auditorium (5 min)</w:t>
      </w:r>
    </w:p>
    <w:p>
      <w:pPr>
        <w:spacing w:after="0" w:line="246" w:lineRule="exact"/>
        <w:rPr>
          <w:sz w:val="24"/>
          <w:szCs w:val="24"/>
          <w:color w:val="auto"/>
        </w:rPr>
      </w:pPr>
    </w:p>
    <w:p>
      <w:pPr>
        <w:spacing w:after="0"/>
        <w:rPr>
          <w:sz w:val="20"/>
          <w:szCs w:val="20"/>
          <w:color w:val="auto"/>
        </w:rPr>
      </w:pPr>
      <w:r>
        <w:rPr>
          <w:rFonts w:ascii="Arial" w:cs="Arial" w:eastAsia="Arial" w:hAnsi="Arial"/>
          <w:sz w:val="24"/>
          <w:szCs w:val="24"/>
          <w:u w:val="single" w:color="auto"/>
          <w:color w:val="auto"/>
        </w:rPr>
        <w:t>2:50 PM</w:t>
      </w:r>
      <w:r>
        <w:rPr>
          <w:rFonts w:ascii="Arial" w:cs="Arial" w:eastAsia="Arial" w:hAnsi="Arial"/>
          <w:sz w:val="24"/>
          <w:szCs w:val="24"/>
          <w:color w:val="auto"/>
        </w:rPr>
        <w:t xml:space="preserve"> - Work Session</w:t>
      </w:r>
    </w:p>
    <w:p>
      <w:pPr>
        <w:spacing w:after="0" w:line="16" w:lineRule="exact"/>
        <w:rPr>
          <w:sz w:val="24"/>
          <w:szCs w:val="24"/>
          <w:color w:val="auto"/>
        </w:rPr>
      </w:pPr>
    </w:p>
    <w:p>
      <w:pPr>
        <w:ind w:left="500"/>
        <w:spacing w:after="0"/>
        <w:tabs>
          <w:tab w:leader="none" w:pos="960" w:val="left"/>
        </w:tabs>
        <w:rPr>
          <w:sz w:val="20"/>
          <w:szCs w:val="20"/>
          <w:color w:val="auto"/>
        </w:rPr>
      </w:pPr>
      <w:r>
        <w:rPr>
          <w:rFonts w:ascii="Calibri" w:cs="Calibri" w:eastAsia="Calibri" w:hAnsi="Calibri"/>
          <w:sz w:val="24"/>
          <w:szCs w:val="24"/>
          <w:color w:val="auto"/>
        </w:rPr>
        <w:t>1).</w:t>
      </w:r>
      <w:r>
        <w:rPr>
          <w:sz w:val="20"/>
          <w:szCs w:val="20"/>
          <w:color w:val="auto"/>
        </w:rPr>
        <w:tab/>
      </w:r>
      <w:r>
        <w:rPr>
          <w:rFonts w:ascii="Arial" w:cs="Arial" w:eastAsia="Arial" w:hAnsi="Arial"/>
          <w:sz w:val="23"/>
          <w:szCs w:val="23"/>
          <w:color w:val="auto"/>
        </w:rPr>
        <w:t>2:50 PM - Pledge of Allegiance (5 min)</w:t>
      </w:r>
    </w:p>
    <w:p>
      <w:pPr>
        <w:spacing w:after="0" w:line="10" w:lineRule="exact"/>
        <w:rPr>
          <w:sz w:val="24"/>
          <w:szCs w:val="24"/>
          <w:color w:val="auto"/>
        </w:rPr>
      </w:pPr>
    </w:p>
    <w:p>
      <w:pPr>
        <w:ind w:left="980" w:right="420" w:hanging="491"/>
        <w:spacing w:after="0" w:line="246" w:lineRule="auto"/>
        <w:tabs>
          <w:tab w:leader="none" w:pos="960" w:val="left"/>
        </w:tabs>
        <w:rPr>
          <w:sz w:val="20"/>
          <w:szCs w:val="20"/>
          <w:color w:val="auto"/>
        </w:rPr>
      </w:pPr>
      <w:r>
        <w:rPr>
          <w:rFonts w:ascii="Calibri" w:cs="Calibri" w:eastAsia="Calibri" w:hAnsi="Calibri"/>
          <w:sz w:val="24"/>
          <w:szCs w:val="24"/>
          <w:color w:val="auto"/>
        </w:rPr>
        <w:t>2).</w:t>
      </w:r>
      <w:r>
        <w:rPr>
          <w:sz w:val="20"/>
          <w:szCs w:val="20"/>
          <w:color w:val="auto"/>
        </w:rPr>
        <w:tab/>
      </w:r>
      <w:r>
        <w:rPr>
          <w:rFonts w:ascii="Arial" w:cs="Arial" w:eastAsia="Arial" w:hAnsi="Arial"/>
          <w:sz w:val="24"/>
          <w:szCs w:val="24"/>
          <w:color w:val="auto"/>
        </w:rPr>
        <w:t>2:55 PM - Presentation from Jacky’s Recovery Support Services (former Latino Behavioral Health), Javier H. Alegre, Executive Director (30 min)</w:t>
      </w:r>
    </w:p>
    <w:p>
      <w:pPr>
        <w:ind w:left="1000"/>
        <w:spacing w:after="0" w:line="216" w:lineRule="auto"/>
        <w:rPr>
          <w:rFonts w:ascii="Calibri" w:cs="Calibri" w:eastAsia="Calibri" w:hAnsi="Calibri"/>
          <w:sz w:val="24"/>
          <w:szCs w:val="24"/>
          <w:color w:val="0000EE"/>
        </w:rPr>
      </w:pPr>
      <w:hyperlink r:id="rId15">
        <w:r>
          <w:rPr>
            <w:rFonts w:ascii="Calibri" w:cs="Calibri" w:eastAsia="Calibri" w:hAnsi="Calibri"/>
            <w:sz w:val="24"/>
            <w:szCs w:val="24"/>
            <w:color w:val="0000EE"/>
          </w:rPr>
          <w:t>JRSS Summit County Presentation - Aug 2.pdf</w:t>
        </w:r>
      </w:hyperlink>
    </w:p>
    <w:p>
      <w:pPr>
        <w:spacing w:after="0" w:line="209" w:lineRule="exact"/>
        <w:rPr>
          <w:sz w:val="24"/>
          <w:szCs w:val="24"/>
          <w:color w:val="auto"/>
        </w:rPr>
      </w:pPr>
    </w:p>
    <w:p>
      <w:pPr>
        <w:spacing w:after="0"/>
        <w:rPr>
          <w:sz w:val="20"/>
          <w:szCs w:val="20"/>
          <w:color w:val="auto"/>
        </w:rPr>
      </w:pPr>
      <w:r>
        <w:rPr>
          <w:rFonts w:ascii="Calibri" w:cs="Calibri" w:eastAsia="Calibri" w:hAnsi="Calibri"/>
          <w:sz w:val="24"/>
          <w:szCs w:val="24"/>
          <w:color w:val="auto"/>
        </w:rPr>
        <w:t>3:25 PM Convene as the Board of Equalization</w:t>
      </w:r>
    </w:p>
    <w:p>
      <w:pPr>
        <w:spacing w:after="0" w:line="27" w:lineRule="exact"/>
        <w:rPr>
          <w:sz w:val="24"/>
          <w:szCs w:val="24"/>
          <w:color w:val="auto"/>
        </w:rPr>
      </w:pPr>
    </w:p>
    <w:p>
      <w:pPr>
        <w:ind w:left="980" w:right="600" w:hanging="491"/>
        <w:spacing w:after="0" w:line="251" w:lineRule="auto"/>
        <w:tabs>
          <w:tab w:leader="none" w:pos="960" w:val="left"/>
        </w:tabs>
        <w:rPr>
          <w:sz w:val="20"/>
          <w:szCs w:val="20"/>
          <w:color w:val="auto"/>
        </w:rPr>
      </w:pPr>
      <w:r>
        <w:rPr>
          <w:rFonts w:ascii="Calibri" w:cs="Calibri" w:eastAsia="Calibri" w:hAnsi="Calibri"/>
          <w:sz w:val="24"/>
          <w:szCs w:val="24"/>
          <w:color w:val="auto"/>
        </w:rPr>
        <w:t>1).</w:t>
      </w:r>
      <w:r>
        <w:rPr>
          <w:sz w:val="20"/>
          <w:szCs w:val="20"/>
          <w:color w:val="auto"/>
        </w:rPr>
        <w:tab/>
      </w:r>
      <w:r>
        <w:rPr>
          <w:rFonts w:ascii="Arial" w:cs="Arial" w:eastAsia="Arial" w:hAnsi="Arial"/>
          <w:sz w:val="24"/>
          <w:szCs w:val="24"/>
          <w:color w:val="auto"/>
        </w:rPr>
        <w:t>3:25 PM - Consideration and possible approval of Board of Equalization 2026 Stipulations and Exemption Recommendations; Chase Black (10 min)</w:t>
      </w:r>
    </w:p>
    <w:p>
      <w:pPr>
        <w:ind w:left="1000"/>
        <w:spacing w:after="0" w:line="215" w:lineRule="auto"/>
        <w:rPr>
          <w:rFonts w:ascii="Calibri" w:cs="Calibri" w:eastAsia="Calibri" w:hAnsi="Calibri"/>
          <w:sz w:val="24"/>
          <w:szCs w:val="24"/>
          <w:color w:val="0000EE"/>
        </w:rPr>
      </w:pPr>
      <w:hyperlink r:id="rId16">
        <w:r>
          <w:rPr>
            <w:rFonts w:ascii="Calibri" w:cs="Calibri" w:eastAsia="Calibri" w:hAnsi="Calibri"/>
            <w:sz w:val="24"/>
            <w:szCs w:val="24"/>
            <w:color w:val="0000EE"/>
          </w:rPr>
          <w:t>BOE Adjustments Staff Report 2026.09.02.pdf</w:t>
        </w:r>
      </w:hyperlink>
    </w:p>
    <w:p>
      <w:pPr>
        <w:spacing w:after="0" w:line="208" w:lineRule="exact"/>
        <w:rPr>
          <w:sz w:val="24"/>
          <w:szCs w:val="24"/>
          <w:color w:val="auto"/>
        </w:rPr>
      </w:pPr>
    </w:p>
    <w:p>
      <w:pPr>
        <w:spacing w:after="0"/>
        <w:rPr>
          <w:sz w:val="20"/>
          <w:szCs w:val="20"/>
          <w:color w:val="auto"/>
        </w:rPr>
      </w:pPr>
      <w:r>
        <w:rPr>
          <w:rFonts w:ascii="Calibri" w:cs="Calibri" w:eastAsia="Calibri" w:hAnsi="Calibri"/>
          <w:sz w:val="24"/>
          <w:szCs w:val="24"/>
          <w:color w:val="auto"/>
        </w:rPr>
        <w:t>Dismiss as the Board of Equalization</w:t>
      </w:r>
    </w:p>
    <w:p>
      <w:pPr>
        <w:spacing w:after="0" w:line="200" w:lineRule="exact"/>
        <w:rPr>
          <w:sz w:val="24"/>
          <w:szCs w:val="24"/>
          <w:color w:val="auto"/>
        </w:rPr>
      </w:pPr>
    </w:p>
    <w:p>
      <w:pPr>
        <w:spacing w:after="0" w:line="286" w:lineRule="exact"/>
        <w:rPr>
          <w:sz w:val="24"/>
          <w:szCs w:val="24"/>
          <w:color w:val="auto"/>
        </w:rPr>
      </w:pPr>
    </w:p>
    <w:p>
      <w:pPr>
        <w:spacing w:after="0"/>
        <w:rPr>
          <w:sz w:val="20"/>
          <w:szCs w:val="20"/>
          <w:color w:val="auto"/>
        </w:rPr>
      </w:pPr>
      <w:r>
        <w:rPr>
          <w:rFonts w:ascii="Arial" w:cs="Arial" w:eastAsia="Arial" w:hAnsi="Arial"/>
          <w:sz w:val="24"/>
          <w:szCs w:val="24"/>
          <w:u w:val="single" w:color="auto"/>
          <w:color w:val="auto"/>
        </w:rPr>
        <w:t>3:35 PM</w:t>
      </w:r>
      <w:r>
        <w:rPr>
          <w:rFonts w:ascii="Arial" w:cs="Arial" w:eastAsia="Arial" w:hAnsi="Arial"/>
          <w:sz w:val="24"/>
          <w:szCs w:val="24"/>
          <w:color w:val="auto"/>
        </w:rPr>
        <w:t xml:space="preserve"> - Consideration of Approval</w:t>
      </w:r>
    </w:p>
    <w:p>
      <w:pPr>
        <w:spacing w:after="0" w:line="31" w:lineRule="exact"/>
        <w:rPr>
          <w:sz w:val="24"/>
          <w:szCs w:val="24"/>
          <w:color w:val="auto"/>
        </w:rPr>
      </w:pPr>
    </w:p>
    <w:p>
      <w:pPr>
        <w:jc w:val="both"/>
        <w:ind w:left="980" w:right="200" w:hanging="491"/>
        <w:spacing w:after="0" w:line="244" w:lineRule="auto"/>
        <w:tabs>
          <w:tab w:leader="none" w:pos="960" w:val="left"/>
        </w:tabs>
        <w:rPr>
          <w:sz w:val="20"/>
          <w:szCs w:val="20"/>
          <w:color w:val="auto"/>
        </w:rPr>
      </w:pPr>
      <w:r>
        <w:rPr>
          <w:rFonts w:ascii="Calibri" w:cs="Calibri" w:eastAsia="Calibri" w:hAnsi="Calibri"/>
          <w:sz w:val="24"/>
          <w:szCs w:val="24"/>
          <w:color w:val="auto"/>
        </w:rPr>
        <w:t>2).</w:t>
      </w:r>
      <w:r>
        <w:rPr>
          <w:sz w:val="20"/>
          <w:szCs w:val="20"/>
          <w:color w:val="auto"/>
        </w:rPr>
        <w:tab/>
      </w:r>
      <w:r>
        <w:rPr>
          <w:rFonts w:ascii="Arial" w:cs="Arial" w:eastAsia="Arial" w:hAnsi="Arial"/>
          <w:sz w:val="24"/>
          <w:szCs w:val="24"/>
          <w:color w:val="auto"/>
        </w:rPr>
        <w:t>3:35 PM - Discussion and possible approval of a change to the chart of positions, adding a new full-time position to the Department of Motor Vehicle (DMV); Corrie Forsling (20 min)</w:t>
      </w:r>
    </w:p>
    <w:p>
      <w:pPr>
        <w:ind w:left="1000"/>
        <w:spacing w:after="0" w:line="216" w:lineRule="auto"/>
        <w:rPr>
          <w:rFonts w:ascii="Calibri" w:cs="Calibri" w:eastAsia="Calibri" w:hAnsi="Calibri"/>
          <w:sz w:val="24"/>
          <w:szCs w:val="24"/>
          <w:color w:val="0000EE"/>
        </w:rPr>
      </w:pPr>
      <w:hyperlink r:id="rId17">
        <w:r>
          <w:rPr>
            <w:rFonts w:ascii="Calibri" w:cs="Calibri" w:eastAsia="Calibri" w:hAnsi="Calibri"/>
            <w:sz w:val="24"/>
            <w:szCs w:val="24"/>
            <w:color w:val="0000EE"/>
          </w:rPr>
          <w:t>Staff Report - Treasurer-DMV FTE 09.02.26 v2.pdf</w:t>
        </w:r>
      </w:hyperlink>
    </w:p>
    <w:p>
      <w:pPr>
        <w:sectPr>
          <w:pgSz w:w="12240" w:h="15840" w:orient="portrait"/>
          <w:cols w:equalWidth="0" w:num="1">
            <w:col w:w="9780"/>
          </w:cols>
          <w:pgMar w:left="1080" w:top="1440" w:right="1380" w:bottom="835" w:gutter="0" w:footer="0" w:header="0"/>
        </w:sectPr>
      </w:pPr>
    </w:p>
    <w:p>
      <w:pPr>
        <w:ind w:left="980" w:right="260" w:hanging="491"/>
        <w:spacing w:after="0" w:line="250" w:lineRule="auto"/>
        <w:tabs>
          <w:tab w:leader="none" w:pos="960" w:val="left"/>
        </w:tabs>
        <w:rPr>
          <w:sz w:val="20"/>
          <w:szCs w:val="20"/>
          <w:color w:val="auto"/>
        </w:rPr>
      </w:pPr>
      <w:r>
        <w:rPr>
          <w:rFonts w:ascii="Calibri" w:cs="Calibri" w:eastAsia="Calibri" w:hAnsi="Calibri"/>
          <w:sz w:val="24"/>
          <w:szCs w:val="24"/>
          <w:color w:val="auto"/>
        </w:rPr>
        <w:t>3).</w:t>
      </w:r>
      <w:r>
        <w:rPr>
          <w:sz w:val="20"/>
          <w:szCs w:val="20"/>
          <w:color w:val="auto"/>
        </w:rPr>
        <w:tab/>
      </w:r>
      <w:r>
        <w:rPr>
          <w:rFonts w:ascii="Arial" w:cs="Arial" w:eastAsia="Arial" w:hAnsi="Arial"/>
          <w:sz w:val="24"/>
          <w:szCs w:val="24"/>
          <w:color w:val="auto"/>
        </w:rPr>
        <w:t>3:55 PM - Discussion and possible approval of Ordinance No. 1016, an Ordinance Amending the Snyderville Basin Development Code Sections 10-2 -18 Master Planned Developments, 10-3 Development Application Procedure and Approval Process, 10-7-4 Amendment to the Zoning Map, and 10-11 Definitions. Legislative Process. Project # 26-078. Amanda Curtis, County Planner (30 min)</w:t>
      </w:r>
    </w:p>
    <w:p>
      <w:pPr>
        <w:ind w:left="1000"/>
        <w:spacing w:after="0" w:line="215" w:lineRule="auto"/>
        <w:rPr>
          <w:rFonts w:ascii="Calibri" w:cs="Calibri" w:eastAsia="Calibri" w:hAnsi="Calibri"/>
          <w:sz w:val="24"/>
          <w:szCs w:val="24"/>
          <w:color w:val="0000EE"/>
        </w:rPr>
      </w:pPr>
      <w:hyperlink r:id="rId18">
        <w:r>
          <w:rPr>
            <w:rFonts w:ascii="Calibri" w:cs="Calibri" w:eastAsia="Calibri" w:hAnsi="Calibri"/>
            <w:sz w:val="24"/>
            <w:szCs w:val="24"/>
            <w:color w:val="0000EE"/>
          </w:rPr>
          <w:t>26-078 Staff Report SCC 9.2.26.pdf</w:t>
        </w:r>
      </w:hyperlink>
    </w:p>
    <w:p>
      <w:pPr>
        <w:ind w:left="980" w:right="100" w:hanging="491"/>
        <w:spacing w:after="0" w:line="243" w:lineRule="auto"/>
        <w:tabs>
          <w:tab w:leader="none" w:pos="960" w:val="left"/>
        </w:tabs>
        <w:rPr>
          <w:sz w:val="20"/>
          <w:szCs w:val="20"/>
          <w:color w:val="auto"/>
        </w:rPr>
      </w:pPr>
      <w:r>
        <w:rPr>
          <w:rFonts w:ascii="Calibri" w:cs="Calibri" w:eastAsia="Calibri" w:hAnsi="Calibri"/>
          <w:sz w:val="24"/>
          <w:szCs w:val="24"/>
          <w:color w:val="auto"/>
        </w:rPr>
        <w:t>4).</w:t>
      </w:r>
      <w:r>
        <w:rPr>
          <w:sz w:val="20"/>
          <w:szCs w:val="20"/>
          <w:color w:val="auto"/>
        </w:rPr>
        <w:tab/>
      </w:r>
      <w:r>
        <w:rPr>
          <w:rFonts w:ascii="Arial" w:cs="Arial" w:eastAsia="Arial" w:hAnsi="Arial"/>
          <w:sz w:val="24"/>
          <w:szCs w:val="24"/>
          <w:color w:val="auto"/>
        </w:rPr>
        <w:t>4:25 PM - Possible Conditional Use Permit revocation of the Mimbach (a.k.a. Soil to Spoil) Conditional Use Permit ('CUP') for a Recycling Facility, Class II and Nursery/Greenhouse located at 7550 W. Lower Bowl Road, Parcel SS-70-11. Applicant/Business Owner: Kylee Mimbach. Property Owner: Troy Long Enterprises Inc., represented by Kyle Reeder, Cannon Law Group; Amir Caus, Senior Planner, Scott Buchanan, Code Enforcement Officer; Helen Strachan, Deputy County Attorney (90 min)</w:t>
      </w:r>
    </w:p>
    <w:p>
      <w:pPr>
        <w:ind w:left="1000"/>
        <w:spacing w:after="0" w:line="216" w:lineRule="auto"/>
        <w:rPr>
          <w:rFonts w:ascii="Calibri" w:cs="Calibri" w:eastAsia="Calibri" w:hAnsi="Calibri"/>
          <w:sz w:val="24"/>
          <w:szCs w:val="24"/>
          <w:color w:val="0000EE"/>
        </w:rPr>
      </w:pPr>
      <w:hyperlink r:id="rId19">
        <w:r>
          <w:rPr>
            <w:rFonts w:ascii="Calibri" w:cs="Calibri" w:eastAsia="Calibri" w:hAnsi="Calibri"/>
            <w:sz w:val="24"/>
            <w:szCs w:val="24"/>
            <w:color w:val="0000EE"/>
          </w:rPr>
          <w:t>Exhibit 1.pdf</w:t>
        </w:r>
      </w:hyperlink>
    </w:p>
    <w:p>
      <w:pPr>
        <w:ind w:left="1000"/>
        <w:spacing w:after="0" w:line="236" w:lineRule="auto"/>
        <w:rPr>
          <w:rFonts w:ascii="Calibri" w:cs="Calibri" w:eastAsia="Calibri" w:hAnsi="Calibri"/>
          <w:sz w:val="24"/>
          <w:szCs w:val="24"/>
          <w:color w:val="0000EE"/>
        </w:rPr>
      </w:pPr>
      <w:hyperlink r:id="rId20">
        <w:r>
          <w:rPr>
            <w:rFonts w:ascii="Calibri" w:cs="Calibri" w:eastAsia="Calibri" w:hAnsi="Calibri"/>
            <w:sz w:val="24"/>
            <w:szCs w:val="24"/>
            <w:color w:val="0000EE"/>
          </w:rPr>
          <w:t>Exhibit 2_001.pdf</w:t>
        </w:r>
      </w:hyperlink>
    </w:p>
    <w:p>
      <w:pPr>
        <w:ind w:left="1000"/>
        <w:spacing w:after="0" w:line="236" w:lineRule="auto"/>
        <w:rPr>
          <w:rFonts w:ascii="Calibri" w:cs="Calibri" w:eastAsia="Calibri" w:hAnsi="Calibri"/>
          <w:sz w:val="24"/>
          <w:szCs w:val="24"/>
          <w:color w:val="0000EE"/>
        </w:rPr>
      </w:pPr>
      <w:hyperlink r:id="rId21">
        <w:r>
          <w:rPr>
            <w:rFonts w:ascii="Calibri" w:cs="Calibri" w:eastAsia="Calibri" w:hAnsi="Calibri"/>
            <w:sz w:val="24"/>
            <w:szCs w:val="24"/>
            <w:color w:val="0000EE"/>
          </w:rPr>
          <w:t>Exhibit 3.pdf</w:t>
        </w:r>
      </w:hyperlink>
    </w:p>
    <w:p>
      <w:pPr>
        <w:ind w:left="1000"/>
        <w:spacing w:after="0" w:line="236" w:lineRule="auto"/>
        <w:rPr>
          <w:rFonts w:ascii="Calibri" w:cs="Calibri" w:eastAsia="Calibri" w:hAnsi="Calibri"/>
          <w:sz w:val="24"/>
          <w:szCs w:val="24"/>
          <w:color w:val="0000EE"/>
        </w:rPr>
      </w:pPr>
      <w:hyperlink r:id="rId22">
        <w:r>
          <w:rPr>
            <w:rFonts w:ascii="Calibri" w:cs="Calibri" w:eastAsia="Calibri" w:hAnsi="Calibri"/>
            <w:sz w:val="24"/>
            <w:szCs w:val="24"/>
            <w:color w:val="0000EE"/>
          </w:rPr>
          <w:t>Exhibit 4_001.pdf</w:t>
        </w:r>
      </w:hyperlink>
    </w:p>
    <w:p>
      <w:pPr>
        <w:ind w:left="1000"/>
        <w:spacing w:after="0" w:line="236" w:lineRule="auto"/>
        <w:rPr>
          <w:rFonts w:ascii="Calibri" w:cs="Calibri" w:eastAsia="Calibri" w:hAnsi="Calibri"/>
          <w:sz w:val="24"/>
          <w:szCs w:val="24"/>
          <w:color w:val="0000EE"/>
        </w:rPr>
      </w:pPr>
      <w:hyperlink r:id="rId23">
        <w:r>
          <w:rPr>
            <w:rFonts w:ascii="Calibri" w:cs="Calibri" w:eastAsia="Calibri" w:hAnsi="Calibri"/>
            <w:sz w:val="24"/>
            <w:szCs w:val="24"/>
            <w:color w:val="0000EE"/>
          </w:rPr>
          <w:t>July 2026 Notice to Show Cause (signed) (2)_001.pdf</w:t>
        </w:r>
      </w:hyperlink>
    </w:p>
    <w:p>
      <w:pPr>
        <w:ind w:left="500"/>
        <w:spacing w:after="0"/>
        <w:tabs>
          <w:tab w:leader="none" w:pos="960" w:val="left"/>
        </w:tabs>
        <w:rPr>
          <w:sz w:val="20"/>
          <w:szCs w:val="20"/>
          <w:color w:val="auto"/>
        </w:rPr>
      </w:pPr>
      <w:r>
        <w:rPr>
          <w:rFonts w:ascii="Calibri" w:cs="Calibri" w:eastAsia="Calibri" w:hAnsi="Calibri"/>
          <w:sz w:val="24"/>
          <w:szCs w:val="24"/>
          <w:color w:val="auto"/>
        </w:rPr>
        <w:t>5).</w:t>
      </w:r>
      <w:r>
        <w:rPr>
          <w:sz w:val="20"/>
          <w:szCs w:val="20"/>
          <w:color w:val="auto"/>
        </w:rPr>
        <w:tab/>
      </w:r>
      <w:r>
        <w:rPr>
          <w:rFonts w:ascii="Arial" w:cs="Arial" w:eastAsia="Arial" w:hAnsi="Arial"/>
          <w:sz w:val="23"/>
          <w:szCs w:val="23"/>
          <w:color w:val="auto"/>
        </w:rPr>
        <w:t>5:55 PM - Council and Manager Comments (5 min)</w:t>
      </w:r>
    </w:p>
    <w:p>
      <w:pPr>
        <w:spacing w:after="0" w:line="220" w:lineRule="exact"/>
        <w:rPr>
          <w:sz w:val="20"/>
          <w:szCs w:val="20"/>
          <w:color w:val="auto"/>
        </w:rPr>
      </w:pPr>
    </w:p>
    <w:p>
      <w:pPr>
        <w:spacing w:after="0"/>
        <w:rPr>
          <w:sz w:val="20"/>
          <w:szCs w:val="20"/>
          <w:color w:val="auto"/>
        </w:rPr>
      </w:pPr>
      <w:r>
        <w:rPr>
          <w:rFonts w:ascii="Arial" w:cs="Arial" w:eastAsia="Arial" w:hAnsi="Arial"/>
          <w:sz w:val="24"/>
          <w:szCs w:val="24"/>
          <w:u w:val="single" w:color="auto"/>
          <w:color w:val="auto"/>
        </w:rPr>
        <w:t>6:00 PM</w:t>
      </w:r>
      <w:r>
        <w:rPr>
          <w:rFonts w:ascii="Arial" w:cs="Arial" w:eastAsia="Arial" w:hAnsi="Arial"/>
          <w:sz w:val="24"/>
          <w:szCs w:val="24"/>
          <w:color w:val="auto"/>
        </w:rPr>
        <w:t>-Public Input</w:t>
      </w:r>
    </w:p>
    <w:p>
      <w:pPr>
        <w:spacing w:after="0" w:line="31" w:lineRule="exact"/>
        <w:rPr>
          <w:sz w:val="20"/>
          <w:szCs w:val="20"/>
          <w:color w:val="auto"/>
        </w:rPr>
      </w:pPr>
    </w:p>
    <w:p>
      <w:pPr>
        <w:ind w:right="960"/>
        <w:spacing w:after="0" w:line="256" w:lineRule="auto"/>
        <w:rPr>
          <w:rFonts w:ascii="Arial" w:cs="Arial" w:eastAsia="Arial" w:hAnsi="Arial"/>
          <w:sz w:val="23"/>
          <w:szCs w:val="23"/>
          <w:color w:val="0000EE"/>
        </w:rPr>
      </w:pPr>
      <w:r>
        <w:rPr>
          <w:rFonts w:ascii="Arial" w:cs="Arial" w:eastAsia="Arial" w:hAnsi="Arial"/>
          <w:sz w:val="23"/>
          <w:szCs w:val="23"/>
          <w:color w:val="auto"/>
        </w:rPr>
        <w:t>Public comment is for any matter not on the Agenda and not the subject of a pending land use application. If you would like to submit comments to Council, please email</w:t>
      </w:r>
      <w:r>
        <w:rPr>
          <w:rFonts w:ascii="Arial" w:cs="Arial" w:eastAsia="Arial" w:hAnsi="Arial"/>
          <w:sz w:val="23"/>
          <w:szCs w:val="23"/>
          <w:color w:val="0000EE"/>
        </w:rPr>
        <w:t xml:space="preserve"> </w:t>
      </w:r>
      <w:hyperlink r:id="rId24">
        <w:r>
          <w:rPr>
            <w:rFonts w:ascii="Arial" w:cs="Arial" w:eastAsia="Arial" w:hAnsi="Arial"/>
            <w:sz w:val="23"/>
            <w:szCs w:val="23"/>
            <w:color w:val="0000EE"/>
          </w:rPr>
          <w:t>publiccomments@summitcountyutah.gov</w:t>
        </w:r>
        <w:r>
          <w:rPr>
            <w:rFonts w:ascii="Arial" w:cs="Arial" w:eastAsia="Arial" w:hAnsi="Arial"/>
            <w:sz w:val="23"/>
            <w:szCs w:val="23"/>
            <w:color w:val="000000"/>
          </w:rPr>
          <w:t xml:space="preserve"> </w:t>
        </w:r>
      </w:hyperlink>
      <w:r>
        <w:rPr>
          <w:rFonts w:ascii="Arial" w:cs="Arial" w:eastAsia="Arial" w:hAnsi="Arial"/>
          <w:sz w:val="23"/>
          <w:szCs w:val="23"/>
          <w:color w:val="000000"/>
        </w:rPr>
        <w:t>by 12:00 p.m. on Wednesday, August 26, 2026. If you wish to interact with Council, for public input, please appear in person, or use the “Raise Hand” button at the bottom of the chat window in Zoom.</w:t>
      </w:r>
    </w:p>
    <w:p>
      <w:pPr>
        <w:spacing w:after="0" w:line="178" w:lineRule="exact"/>
        <w:rPr>
          <w:sz w:val="20"/>
          <w:szCs w:val="20"/>
          <w:color w:val="auto"/>
        </w:rPr>
      </w:pPr>
    </w:p>
    <w:p>
      <w:pPr>
        <w:spacing w:after="0"/>
        <w:rPr>
          <w:sz w:val="20"/>
          <w:szCs w:val="20"/>
          <w:color w:val="auto"/>
        </w:rPr>
      </w:pPr>
      <w:r>
        <w:rPr>
          <w:rFonts w:ascii="Arial" w:cs="Arial" w:eastAsia="Arial" w:hAnsi="Arial"/>
          <w:sz w:val="24"/>
          <w:szCs w:val="24"/>
          <w:u w:val="single" w:color="auto"/>
          <w:color w:val="auto"/>
        </w:rPr>
        <w:t>6:00 PM</w:t>
      </w:r>
      <w:r>
        <w:rPr>
          <w:rFonts w:ascii="Arial" w:cs="Arial" w:eastAsia="Arial" w:hAnsi="Arial"/>
          <w:sz w:val="24"/>
          <w:szCs w:val="24"/>
          <w:color w:val="auto"/>
        </w:rPr>
        <w:t>-Public Hearing</w:t>
      </w:r>
    </w:p>
    <w:p>
      <w:pPr>
        <w:spacing w:after="0" w:line="13" w:lineRule="exact"/>
        <w:rPr>
          <w:sz w:val="20"/>
          <w:szCs w:val="20"/>
          <w:color w:val="auto"/>
        </w:rPr>
      </w:pPr>
    </w:p>
    <w:p>
      <w:pPr>
        <w:ind w:left="500"/>
        <w:spacing w:after="0"/>
        <w:tabs>
          <w:tab w:leader="none" w:pos="960" w:val="left"/>
        </w:tabs>
        <w:rPr>
          <w:sz w:val="20"/>
          <w:szCs w:val="20"/>
          <w:color w:val="auto"/>
        </w:rPr>
      </w:pPr>
      <w:r>
        <w:rPr>
          <w:rFonts w:ascii="Calibri" w:cs="Calibri" w:eastAsia="Calibri" w:hAnsi="Calibri"/>
          <w:sz w:val="24"/>
          <w:szCs w:val="24"/>
          <w:color w:val="auto"/>
        </w:rPr>
        <w:t>1).</w:t>
      </w:r>
      <w:r>
        <w:rPr>
          <w:sz w:val="20"/>
          <w:szCs w:val="20"/>
          <w:color w:val="auto"/>
        </w:rPr>
        <w:tab/>
      </w:r>
      <w:r>
        <w:rPr>
          <w:rFonts w:ascii="Arial" w:cs="Arial" w:eastAsia="Arial" w:hAnsi="Arial"/>
          <w:sz w:val="24"/>
          <w:szCs w:val="24"/>
          <w:color w:val="auto"/>
        </w:rPr>
        <w:t>Public Hearing, Possible Action for the Crossroads at Silver Creek Rezone from</w:t>
      </w:r>
    </w:p>
    <w:p>
      <w:pPr>
        <w:ind w:left="980" w:right="80"/>
        <w:spacing w:after="0" w:line="242" w:lineRule="auto"/>
        <w:rPr>
          <w:sz w:val="20"/>
          <w:szCs w:val="20"/>
          <w:color w:val="auto"/>
        </w:rPr>
      </w:pPr>
      <w:r>
        <w:rPr>
          <w:rFonts w:ascii="Arial" w:cs="Arial" w:eastAsia="Arial" w:hAnsi="Arial"/>
          <w:sz w:val="24"/>
          <w:szCs w:val="24"/>
          <w:color w:val="auto"/>
        </w:rPr>
        <w:t>Rural Residential to the Community Commercial Zone and Master Planned Development for 66 townhomes, 4 apartments, 20 affordable housing units, and 32,000 square feet of retail/commercial space on Parcel SL-I -9-A-AM located at approximately 7131 N. Silver Creek Road. Applicant: Tony Tyler, authorized representative. Owner: CPD Silver Creek, LLC. Legislative Review. Project #23-021 and #25-023. Tiffanie N. Robinson, Senior Planner</w:t>
      </w:r>
    </w:p>
    <w:p>
      <w:pPr>
        <w:spacing w:after="0" w:line="4" w:lineRule="exact"/>
        <w:rPr>
          <w:sz w:val="20"/>
          <w:szCs w:val="20"/>
          <w:color w:val="auto"/>
        </w:rPr>
      </w:pPr>
    </w:p>
    <w:p>
      <w:pPr>
        <w:ind w:left="1000" w:right="1860"/>
        <w:spacing w:after="0" w:line="225" w:lineRule="auto"/>
        <w:rPr>
          <w:rFonts w:ascii="Calibri" w:cs="Calibri" w:eastAsia="Calibri" w:hAnsi="Calibri"/>
          <w:sz w:val="24"/>
          <w:szCs w:val="24"/>
          <w:color w:val="0000EE"/>
        </w:rPr>
      </w:pPr>
      <w:hyperlink r:id="rId25">
        <w:r>
          <w:rPr>
            <w:rFonts w:ascii="Calibri" w:cs="Calibri" w:eastAsia="Calibri" w:hAnsi="Calibri"/>
            <w:sz w:val="24"/>
            <w:szCs w:val="24"/>
            <w:color w:val="0000EE"/>
          </w:rPr>
          <w:t>Crossroads Rezone MPD Staff Report - SCC PH 9.2.2026 #25-021 final.pdf</w:t>
        </w:r>
      </w:hyperlink>
      <w:r>
        <w:rPr>
          <w:rFonts w:ascii="Calibri" w:cs="Calibri" w:eastAsia="Calibri" w:hAnsi="Calibri"/>
          <w:sz w:val="24"/>
          <w:szCs w:val="24"/>
          <w:color w:val="0000EE"/>
        </w:rPr>
        <w:t xml:space="preserve"> </w:t>
      </w:r>
      <w:hyperlink r:id="rId26">
        <w:r>
          <w:rPr>
            <w:rFonts w:ascii="Calibri" w:cs="Calibri" w:eastAsia="Calibri" w:hAnsi="Calibri"/>
            <w:sz w:val="24"/>
            <w:szCs w:val="24"/>
            <w:color w:val="0000EE"/>
          </w:rPr>
          <w:t>EXHIBITS 9.2.2026.pdf</w:t>
        </w:r>
      </w:hyperlink>
    </w:p>
    <w:p>
      <w:pPr>
        <w:spacing w:after="0" w:line="1" w:lineRule="exact"/>
        <w:rPr>
          <w:sz w:val="20"/>
          <w:szCs w:val="20"/>
          <w:color w:val="auto"/>
        </w:rPr>
      </w:pPr>
    </w:p>
    <w:p>
      <w:pPr>
        <w:ind w:left="980" w:hanging="491"/>
        <w:spacing w:after="0" w:line="255" w:lineRule="auto"/>
        <w:tabs>
          <w:tab w:leader="none" w:pos="960" w:val="left"/>
        </w:tabs>
        <w:rPr>
          <w:sz w:val="20"/>
          <w:szCs w:val="20"/>
          <w:color w:val="auto"/>
        </w:rPr>
      </w:pPr>
      <w:r>
        <w:rPr>
          <w:rFonts w:ascii="Calibri" w:cs="Calibri" w:eastAsia="Calibri" w:hAnsi="Calibri"/>
          <w:sz w:val="24"/>
          <w:szCs w:val="24"/>
          <w:color w:val="auto"/>
        </w:rPr>
        <w:t>2).</w:t>
      </w:r>
      <w:r>
        <w:rPr>
          <w:sz w:val="20"/>
          <w:szCs w:val="20"/>
          <w:color w:val="auto"/>
        </w:rPr>
        <w:tab/>
      </w:r>
      <w:r>
        <w:rPr>
          <w:rFonts w:ascii="Arial" w:cs="Arial" w:eastAsia="Arial" w:hAnsi="Arial"/>
          <w:sz w:val="23"/>
          <w:szCs w:val="23"/>
          <w:color w:val="auto"/>
        </w:rPr>
        <w:t>Public hearing and possible action regarding a Master Planned Development for the Junction Commons, a mixed use redevelopment project at Junction Commons (formerly Outlets Park City), located at 6699 N Landmark Dr, Kimball Junction, Summit County, UT; Parcel FSE-1; Applicant: Elliott Workgroup representing SRE Ontario LLC; Legislative Process. Project #24-087. Amir Caus, AICP, Senior Planner</w:t>
      </w:r>
    </w:p>
    <w:p>
      <w:pPr>
        <w:spacing w:after="0" w:line="1" w:lineRule="exact"/>
        <w:rPr>
          <w:sz w:val="20"/>
          <w:szCs w:val="20"/>
          <w:color w:val="auto"/>
        </w:rPr>
      </w:pPr>
    </w:p>
    <w:p>
      <w:pPr>
        <w:ind w:left="1000" w:right="20"/>
        <w:spacing w:after="0" w:line="225" w:lineRule="auto"/>
        <w:rPr>
          <w:rFonts w:ascii="Calibri" w:cs="Calibri" w:eastAsia="Calibri" w:hAnsi="Calibri"/>
          <w:sz w:val="24"/>
          <w:szCs w:val="24"/>
          <w:color w:val="0000EE"/>
        </w:rPr>
      </w:pPr>
      <w:hyperlink r:id="rId27">
        <w:r>
          <w:rPr>
            <w:rFonts w:ascii="Calibri" w:cs="Calibri" w:eastAsia="Calibri" w:hAnsi="Calibri"/>
            <w:sz w:val="24"/>
            <w:szCs w:val="24"/>
            <w:color w:val="0000EE"/>
          </w:rPr>
          <w:t>Junction Commons NMU-MPD - Staff Report - September 2, 2026 - Summit County Council -</w:t>
        </w:r>
      </w:hyperlink>
      <w:r>
        <w:rPr>
          <w:rFonts w:ascii="Calibri" w:cs="Calibri" w:eastAsia="Calibri" w:hAnsi="Calibri"/>
          <w:sz w:val="24"/>
          <w:szCs w:val="24"/>
          <w:color w:val="0000EE"/>
        </w:rPr>
        <w:t xml:space="preserve"> </w:t>
      </w:r>
      <w:hyperlink r:id="rId27">
        <w:r>
          <w:rPr>
            <w:rFonts w:ascii="Calibri" w:cs="Calibri" w:eastAsia="Calibri" w:hAnsi="Calibri"/>
            <w:sz w:val="24"/>
            <w:szCs w:val="24"/>
            <w:color w:val="0000EE"/>
          </w:rPr>
          <w:t>Public Hearing and Possible Action.pdf</w:t>
        </w:r>
      </w:hyperlink>
    </w:p>
    <w:p>
      <w:pPr>
        <w:spacing w:after="0" w:line="219" w:lineRule="exact"/>
        <w:rPr>
          <w:sz w:val="20"/>
          <w:szCs w:val="20"/>
          <w:color w:val="auto"/>
        </w:rPr>
      </w:pPr>
    </w:p>
    <w:p>
      <w:pPr>
        <w:spacing w:after="0"/>
        <w:rPr>
          <w:sz w:val="20"/>
          <w:szCs w:val="20"/>
          <w:color w:val="auto"/>
        </w:rPr>
      </w:pPr>
      <w:r>
        <w:rPr>
          <w:rFonts w:ascii="Arial" w:cs="Arial" w:eastAsia="Arial" w:hAnsi="Arial"/>
          <w:sz w:val="24"/>
          <w:szCs w:val="24"/>
          <w:u w:val="single" w:color="auto"/>
          <w:color w:val="auto"/>
        </w:rPr>
        <w:t>Adjournment</w:t>
      </w:r>
    </w:p>
    <w:sectPr>
      <w:pgSz w:w="12240" w:h="15840" w:orient="portrait"/>
      <w:cols w:equalWidth="0" w:num="1">
        <w:col w:w="9960"/>
      </w:cols>
      <w:pgMar w:left="1080" w:top="813" w:right="1200"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webSettings" Target="webSettings.xml"/><Relationship Id="rId12" Type="http://schemas.openxmlformats.org/officeDocument/2006/relationships/image" Target="media/image1.jpeg"/><Relationship Id="rId13" Type="http://schemas.openxmlformats.org/officeDocument/2006/relationships/image" Target="media/image2.png"/><Relationship Id="rId14" Type="http://schemas.openxmlformats.org/officeDocument/2006/relationships/hyperlink" Target="https://zoom.us/j/772302472" TargetMode="External"/><Relationship Id="rId15" Type="http://schemas.openxmlformats.org/officeDocument/2006/relationships/hyperlink" Target="https://summitcounty.granicus.com/services/legistar/download/pdf/4335079/JRSS_Summit_County_Presentation_-_Aug_2.pdf" TargetMode="External"/><Relationship Id="rId16" Type="http://schemas.openxmlformats.org/officeDocument/2006/relationships/hyperlink" Target="https://summitcounty.granicus.com/services/legistar/download/pdf/4339894/BOE_Adjustments_Staff_Report_2026.09.02.pdf" TargetMode="External"/><Relationship Id="rId17" Type="http://schemas.openxmlformats.org/officeDocument/2006/relationships/hyperlink" Target="https://summitcounty.granicus.com/services/legistar/download/pdf/4334553/Staff_Report_-_Treasurer-DMV_FTE_09.02.26_v2.pdf" TargetMode="External"/><Relationship Id="rId18" Type="http://schemas.openxmlformats.org/officeDocument/2006/relationships/hyperlink" Target="https://summitcounty.granicus.com/services/legistar/download/pdf/4335111/26-078_Staff_Report_SCC_9.2.26.pdf" TargetMode="External"/><Relationship Id="rId19" Type="http://schemas.openxmlformats.org/officeDocument/2006/relationships/hyperlink" Target="https://summitcounty.granicus.com/services/legistar/download/pdf/4335942/Exhibit_1.pdf" TargetMode="External"/><Relationship Id="rId20" Type="http://schemas.openxmlformats.org/officeDocument/2006/relationships/hyperlink" Target="https://summitcounty.granicus.com/services/legistar/download/pdf/4335943/Exhibit_2_001.pdf" TargetMode="External"/><Relationship Id="rId21" Type="http://schemas.openxmlformats.org/officeDocument/2006/relationships/hyperlink" Target="https://summitcounty.granicus.com/services/legistar/download/pdf/4335956/Exhibit_3.pdf" TargetMode="External"/><Relationship Id="rId22" Type="http://schemas.openxmlformats.org/officeDocument/2006/relationships/hyperlink" Target="https://summitcounty.granicus.com/services/legistar/download/pdf/4335958/Exhibit_4_001.pdf" TargetMode="External"/><Relationship Id="rId23" Type="http://schemas.openxmlformats.org/officeDocument/2006/relationships/hyperlink" Target="https://summitcounty.granicus.com/services/legistar/download/pdf/4335961/July_2026_Notice_to_Show_Cause__signed___2__001.pdf" TargetMode="External"/><Relationship Id="rId24" Type="http://schemas.openxmlformats.org/officeDocument/2006/relationships/hyperlink" Target="mailto:publiccomments@summitcountyutah.gov" TargetMode="External"/><Relationship Id="rId25" Type="http://schemas.openxmlformats.org/officeDocument/2006/relationships/hyperlink" Target="https://summitcounty.granicus.com/services/legistar/download/pdf/4334550/Crossroads_Rezone_MPD_Staff_Report_-_SCC_PH_9.2.2026__25-021_final.pdf" TargetMode="External"/><Relationship Id="rId26" Type="http://schemas.openxmlformats.org/officeDocument/2006/relationships/hyperlink" Target="https://summitcounty.granicus.com/services/legistar/download/pdf/4334551/EXHIBITS_9.2.2026.pdf" TargetMode="External"/><Relationship Id="rId27" Type="http://schemas.openxmlformats.org/officeDocument/2006/relationships/hyperlink" Target="https://summitcounty.granicus.com/services/legistar/download/pdf/4334556/Junction_Commons_NMU-MPD_-_Staff_Report_-_September_2__2026__-_Summit_County_Council_-_Public_Hearing_and_Possible_Action.pdf" TargetMode="External"/></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2026-09-01T22:00:57Z</dcterms:created>
  <dcterms:modified xsi:type="dcterms:W3CDTF">2026-09-01T22:00:57Z</dcterms:modified>
</cp:coreProperties>
</file>