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365E58" w:rsidRDefault="00EF3EBA" w14:paraId="123E89AE" w14:textId="6C63C8E9">
      <w:pPr>
        <w:pStyle w:val="NormalCenterBold"/>
      </w:pPr>
      <w:r>
        <w:t>Notice of Bonds to be Issued</w:t>
      </w:r>
    </w:p>
    <w:p w:rsidR="00304E00" w:rsidP="00304E00" w:rsidRDefault="00304E00" w14:paraId="266025D2" w14:textId="28B3679D">
      <w:pPr>
        <w:pStyle w:val="ParaNORMAL"/>
        <w:tabs>
          <w:tab w:val="right" w:pos="4950"/>
        </w:tabs>
      </w:pPr>
      <w:r>
        <w:rPr>
          <w:smallCaps/>
        </w:rPr>
        <w:t>Notice is Hereby Given</w:t>
      </w:r>
      <w:r>
        <w:t xml:space="preserve"> pursuant to the provisions of Sections 11</w:t>
      </w:r>
      <w:r>
        <w:noBreakHyphen/>
        <w:t>14</w:t>
      </w:r>
      <w:r>
        <w:noBreakHyphen/>
        <w:t>316 and 17D</w:t>
      </w:r>
      <w:r>
        <w:noBreakHyphen/>
        <w:t>2</w:t>
      </w:r>
      <w:r>
        <w:noBreakHyphen/>
        <w:t xml:space="preserve">502 Utah Code Annotated 1953, as amended, that on </w:t>
      </w:r>
      <w:r w:rsidR="00871328">
        <w:t>August 27, 2026</w:t>
      </w:r>
      <w:r>
        <w:t xml:space="preserve">, the </w:t>
      </w:r>
      <w:r w:rsidR="00871328">
        <w:t xml:space="preserve">Governing </w:t>
      </w:r>
      <w:r>
        <w:t xml:space="preserve">Board (the </w:t>
      </w:r>
      <w:r>
        <w:rPr>
          <w:i/>
        </w:rPr>
        <w:t>“Board”</w:t>
      </w:r>
      <w:r>
        <w:t xml:space="preserve">) of the </w:t>
      </w:r>
      <w:r w:rsidR="00871328">
        <w:t>Local</w:t>
      </w:r>
      <w:r>
        <w:t xml:space="preserve"> Building Authority of </w:t>
      </w:r>
      <w:r w:rsidR="00413866">
        <w:t xml:space="preserve">the </w:t>
      </w:r>
      <w:r w:rsidR="00871328">
        <w:t>North View Fire</w:t>
      </w:r>
      <w:r>
        <w:t xml:space="preserve"> District, Utah (the </w:t>
      </w:r>
      <w:r>
        <w:rPr>
          <w:i/>
        </w:rPr>
        <w:t>“Authority”</w:t>
      </w:r>
      <w:r>
        <w:t xml:space="preserve">), adopted a resolution (the </w:t>
      </w:r>
      <w:r>
        <w:rPr>
          <w:i/>
        </w:rPr>
        <w:t>“Resolution”</w:t>
      </w:r>
      <w:r>
        <w:t xml:space="preserve">) authorizing the issuance of the Authority’s lease revenue bonds (the </w:t>
      </w:r>
      <w:r>
        <w:rPr>
          <w:i/>
        </w:rPr>
        <w:t>“Bonds”</w:t>
      </w:r>
      <w:r>
        <w:t>) in the aggregate principal amount of not to exceed $</w:t>
      </w:r>
      <w:r w:rsidR="00D35AB8">
        <w:t>10,000,000</w:t>
      </w:r>
      <w:r>
        <w:t xml:space="preserve">, to bear interest at a rate or rates of not to exceed </w:t>
      </w:r>
      <w:r w:rsidR="00871328">
        <w:t>5</w:t>
      </w:r>
      <w:r w:rsidR="00033186">
        <w:t>.</w:t>
      </w:r>
      <w:r w:rsidR="00871328">
        <w:t>5</w:t>
      </w:r>
      <w:r w:rsidR="00033186">
        <w:t>0</w:t>
      </w:r>
      <w:r w:rsidRPr="004230E9">
        <w:t>% per annum</w:t>
      </w:r>
      <w:r>
        <w:t xml:space="preserve"> </w:t>
      </w:r>
      <w:r w:rsidR="007E640A">
        <w:t>(exclusive of any default rate or rate increase due to interest on the Bonds becoming taxable)</w:t>
      </w:r>
      <w:r>
        <w:t xml:space="preserve">, to mature in not more than </w:t>
      </w:r>
      <w:r w:rsidR="00871328">
        <w:t>30</w:t>
      </w:r>
      <w:r>
        <w:t xml:space="preserve"> years from their date or dates and to be sold at a discount from par, expressed as a percentage of principal amount, of not to exceed 2.00%.  The purchaser will not be required to make a good faith deposit in connection with its agreement to purchase the Bonds.</w:t>
      </w:r>
    </w:p>
    <w:p w:rsidR="00304E00" w:rsidP="00304E00" w:rsidRDefault="00304E00" w14:paraId="5197BA10" w14:textId="071F8FE7">
      <w:pPr>
        <w:pStyle w:val="ParaNORMAL"/>
      </w:pPr>
      <w:r>
        <w:t xml:space="preserve">Pursuant to the Resolution, the Bonds are to be issued for the purpose of raising money for (a) </w:t>
      </w:r>
      <w:r w:rsidR="00871328">
        <w:t xml:space="preserve">financing certain costs of the acquisition, construction and improvement of a new fire station in the City of Harrisville, Utah, and related facilities (the </w:t>
      </w:r>
      <w:r w:rsidR="00871328">
        <w:rPr>
          <w:i/>
        </w:rPr>
        <w:t>“Project”</w:t>
      </w:r>
      <w:r w:rsidR="00871328">
        <w:t>)</w:t>
      </w:r>
      <w:r>
        <w:t xml:space="preserve">, (b) providing reserves, if necessary, (c) paying capitalized interest, </w:t>
      </w:r>
      <w:r w:rsidR="007E640A">
        <w:t xml:space="preserve">if desired, </w:t>
      </w:r>
      <w:r>
        <w:t xml:space="preserve">and (d) paying expenses incurred in connection with the issuance and sale of the Bonds. </w:t>
      </w:r>
    </w:p>
    <w:p w:rsidR="00304E00" w:rsidP="00304E00" w:rsidRDefault="00304E00" w14:paraId="44C9CA4F" w14:textId="04799185">
      <w:pPr>
        <w:pStyle w:val="ParaNORMAL"/>
      </w:pPr>
      <w:r>
        <w:t xml:space="preserve">The Bonds are to be issued and sold by the Authority pursuant to </w:t>
      </w:r>
      <w:r w:rsidR="00871328">
        <w:t>that certain General Indenture of Trust, dated as of August 1, 2016</w:t>
      </w:r>
      <w:r w:rsidR="00D65A81">
        <w:t xml:space="preserve"> (the </w:t>
      </w:r>
      <w:r w:rsidR="00D65A81">
        <w:rPr>
          <w:i/>
          <w:iCs/>
        </w:rPr>
        <w:t>“General Indenture”</w:t>
      </w:r>
      <w:r w:rsidR="00D65A81">
        <w:t>)</w:t>
      </w:r>
      <w:r w:rsidR="00871328">
        <w:t>, as heretofore amended and supplemented, between the Authority and the Zions Bancorporation, National Association, as t</w:t>
      </w:r>
      <w:r w:rsidR="00D65A81">
        <w:t xml:space="preserve">rustee; that certain Master Lease Agreement, dated as of August 1, 2016 (the </w:t>
      </w:r>
      <w:r w:rsidR="00D65A81">
        <w:rPr>
          <w:i/>
          <w:iCs/>
        </w:rPr>
        <w:t>“Master Lease”</w:t>
      </w:r>
      <w:r w:rsidR="00D65A81">
        <w:t xml:space="preserve">), between the Authority, as lessor, and the North View Fire District, Utah (the </w:t>
      </w:r>
      <w:r w:rsidR="00D65A81">
        <w:rPr>
          <w:i/>
          <w:iCs/>
        </w:rPr>
        <w:t>“District”</w:t>
      </w:r>
      <w:r w:rsidR="00D65A81">
        <w:t>), as lessee; and</w:t>
      </w:r>
      <w:r w:rsidR="00871328">
        <w:t xml:space="preserve"> </w:t>
      </w:r>
      <w:r>
        <w:t xml:space="preserve">the Resolution, including as attachments to such Resolution forms of </w:t>
      </w:r>
      <w:r w:rsidR="007E640A">
        <w:t xml:space="preserve">a final bond resolution, </w:t>
      </w:r>
      <w:r>
        <w:t>a</w:t>
      </w:r>
      <w:r w:rsidR="00D65A81">
        <w:t xml:space="preserve"> Second Supplemental</w:t>
      </w:r>
      <w:r>
        <w:t xml:space="preserve"> Indenture of Trust</w:t>
      </w:r>
      <w:r w:rsidR="007814CF">
        <w:t xml:space="preserve"> (the </w:t>
      </w:r>
      <w:r w:rsidR="007814CF">
        <w:rPr>
          <w:i/>
          <w:iCs/>
        </w:rPr>
        <w:t>“Second Supplement”</w:t>
      </w:r>
      <w:r w:rsidR="007814CF">
        <w:t>)</w:t>
      </w:r>
      <w:r w:rsidR="007E640A">
        <w:t xml:space="preserve"> and</w:t>
      </w:r>
      <w:r>
        <w:t xml:space="preserve"> a </w:t>
      </w:r>
      <w:r w:rsidR="00D65A81">
        <w:t xml:space="preserve">First Amendment to </w:t>
      </w:r>
      <w:r>
        <w:t>Master Lease Agreement</w:t>
      </w:r>
      <w:r w:rsidR="007814CF">
        <w:t xml:space="preserve"> (the </w:t>
      </w:r>
      <w:r w:rsidR="007814CF">
        <w:rPr>
          <w:i/>
          <w:iCs/>
        </w:rPr>
        <w:t>“First Amendment”</w:t>
      </w:r>
      <w:r w:rsidR="007814CF">
        <w:t>)</w:t>
      </w:r>
      <w:r>
        <w:t xml:space="preserve">.  Said </w:t>
      </w:r>
      <w:r w:rsidR="007814CF">
        <w:t>final bond resolution, Second Supplement and First Amendment</w:t>
      </w:r>
      <w:r>
        <w:t xml:space="preserve"> are to be executed and delivered by the Authority in such form and with such changes as shall be approved by appropriate representatives of the Authority; provided that the principal amount, interest rate or rates, maturity and discount of the Bonds will not exceed the maximums set forth above.</w:t>
      </w:r>
    </w:p>
    <w:p w:rsidR="00304E00" w:rsidP="00304E00" w:rsidRDefault="00304E00" w14:paraId="0C631204" w14:textId="246CBCEC">
      <w:pPr>
        <w:pStyle w:val="ParaNORMAL"/>
        <w:rPr>
          <w:rFonts w:cs="TimesNewRomanPSMT"/>
          <w:szCs w:val="24"/>
        </w:rPr>
      </w:pPr>
      <w:r>
        <w:t xml:space="preserve">The Authority proposes to pledge to the payment of the Bonds various rental payments made to the Authority by the District pursuant to the </w:t>
      </w:r>
      <w:r w:rsidR="007814CF">
        <w:t xml:space="preserve">Master </w:t>
      </w:r>
      <w:r w:rsidR="005D59F7">
        <w:t>Lease and the First Amendment</w:t>
      </w:r>
      <w:r>
        <w:rPr>
          <w:rFonts w:cs="TimesNewRomanPSMT"/>
          <w:szCs w:val="24"/>
        </w:rPr>
        <w:t xml:space="preserve">.  The </w:t>
      </w:r>
      <w:r w:rsidR="007E640A">
        <w:rPr>
          <w:rFonts w:cs="TimesNewRomanPSMT"/>
          <w:szCs w:val="24"/>
        </w:rPr>
        <w:t>Authority currently has $</w:t>
      </w:r>
      <w:r w:rsidR="00B9279E">
        <w:rPr>
          <w:rFonts w:cs="TimesNewRomanPSMT"/>
          <w:szCs w:val="24"/>
        </w:rPr>
        <w:t>1,180,000</w:t>
      </w:r>
      <w:r w:rsidR="0041331A">
        <w:rPr>
          <w:rFonts w:cs="TimesNewRomanPSMT"/>
          <w:szCs w:val="24"/>
        </w:rPr>
        <w:t xml:space="preserve"> </w:t>
      </w:r>
      <w:r w:rsidR="007E640A">
        <w:rPr>
          <w:rFonts w:cs="TimesNewRomanPSMT"/>
          <w:szCs w:val="24"/>
        </w:rPr>
        <w:t xml:space="preserve">of lease revenue bonds outstanding that are payable from </w:t>
      </w:r>
      <w:r w:rsidR="007E640A">
        <w:t xml:space="preserve">various rental payments made to the Authority by the </w:t>
      </w:r>
      <w:r w:rsidR="005D59F7">
        <w:t>District</w:t>
      </w:r>
      <w:r>
        <w:rPr>
          <w:rFonts w:cs="TimesNewRomanPSMT"/>
          <w:szCs w:val="24"/>
        </w:rPr>
        <w:t>.</w:t>
      </w:r>
      <w:r w:rsidRPr="001F7352">
        <w:t xml:space="preserve"> </w:t>
      </w:r>
      <w:r>
        <w:t xml:space="preserve">More detailed information relating to the Authority’s outstanding bonds can be obtained by contacting the </w:t>
      </w:r>
      <w:r w:rsidR="007E640A">
        <w:t>Secretary</w:t>
      </w:r>
      <w:r>
        <w:t xml:space="preserve"> of the Authority</w:t>
      </w:r>
      <w:r w:rsidRPr="001F7352">
        <w:t xml:space="preserve"> </w:t>
      </w:r>
      <w:r>
        <w:t xml:space="preserve">at </w:t>
      </w:r>
      <w:r w:rsidR="005D59F7">
        <w:t>315 E 2550 N, in North Ogden, Utah</w:t>
      </w:r>
      <w:r>
        <w:t>.</w:t>
      </w:r>
    </w:p>
    <w:p w:rsidRPr="00912DB1" w:rsidR="00304E00" w:rsidP="00304E00" w:rsidRDefault="00304E00" w14:paraId="4FB6EAB6" w14:textId="03707597">
      <w:pPr>
        <w:pStyle w:val="ParaNORMAL"/>
      </w:pPr>
      <w:r>
        <w:t xml:space="preserve">Assuming a final maturity for the Bonds of </w:t>
      </w:r>
      <w:r w:rsidR="00033186">
        <w:t xml:space="preserve">approximately </w:t>
      </w:r>
      <w:r w:rsidR="005D59F7">
        <w:t>30</w:t>
      </w:r>
      <w:r>
        <w:t xml:space="preserve"> years from the proposed date of issuance of such Bonds and that the Bonds are issued in an aggregate principal amount of $</w:t>
      </w:r>
      <w:r w:rsidR="00D35AB8">
        <w:t>10,000,000</w:t>
      </w:r>
      <w:r>
        <w:t xml:space="preserve"> and are held until maturity, based on the Authority’s currently expected financing structure and interest rates in effect around the time of publication of this notice, the estimated total cost to the Authority of the proposed Bonds is $</w:t>
      </w:r>
      <w:r w:rsidR="005D59F7">
        <w:t>20,692,825</w:t>
      </w:r>
      <w:r>
        <w:t>.</w:t>
      </w:r>
    </w:p>
    <w:p w:rsidR="00304E00" w:rsidP="00304E00" w:rsidRDefault="00304E00" w14:paraId="375717FE" w14:textId="7786BA89">
      <w:pPr>
        <w:pStyle w:val="ParaNORMAL"/>
      </w:pPr>
      <w:r>
        <w:lastRenderedPageBreak/>
        <w:t xml:space="preserve">Copies of the </w:t>
      </w:r>
      <w:r w:rsidR="000C0B34">
        <w:t xml:space="preserve">General Indenture, the Master Lease and the </w:t>
      </w:r>
      <w:r>
        <w:t xml:space="preserve">Resolution and the forms of the </w:t>
      </w:r>
      <w:r w:rsidR="005D59F7">
        <w:t>final bond resolution, the Second Supplement, the First Amendment</w:t>
      </w:r>
      <w:r>
        <w:t xml:space="preserve">, and certain other documents pertaining to the issuance and sale of the Bonds are on file in the office of the Authority, which is the office of the </w:t>
      </w:r>
      <w:r w:rsidR="007E640A">
        <w:t>Secretary</w:t>
      </w:r>
      <w:r>
        <w:t xml:space="preserve"> of the Authority at </w:t>
      </w:r>
      <w:r w:rsidR="000C0B34">
        <w:t xml:space="preserve">315 E 2550 N, in North Ogden, Utah </w:t>
      </w:r>
      <w:r>
        <w:t xml:space="preserve">where they may be examined during regular business hours of the Authority from 8:00 a.m. to </w:t>
      </w:r>
      <w:r w:rsidR="006F42A1">
        <w:t>4</w:t>
      </w:r>
      <w:r>
        <w:t>:00 p.m., Monday through Friday of each week (except holidays).  Such documents shall be available for inspection from and after the date of the publication of this notice until at least thirty days thereafter.</w:t>
      </w:r>
    </w:p>
    <w:p w:rsidR="00304E00" w:rsidP="00304E00" w:rsidRDefault="00304E00" w14:paraId="234036E1" w14:textId="67630DE1">
      <w:pPr>
        <w:pStyle w:val="ParaNORMAL"/>
      </w:pPr>
      <w:r>
        <w:rPr>
          <w:smallCaps/>
        </w:rPr>
        <w:t>Notice is Further Given</w:t>
      </w:r>
      <w:r>
        <w:t xml:space="preserve"> that for a period of thirty days from and after the date of the publication of this notice, any person in interest shall have the right to contest the legality of the Resolution</w:t>
      </w:r>
      <w:r w:rsidR="000C0B34">
        <w:t>, the Second Supplement, the First Amendment</w:t>
      </w:r>
      <w:r>
        <w:t xml:space="preserve"> or the Bonds, or any provision made for the security and payments of such Bonds and after such time, no one shall have any cause of action to contest the regularity, formality, or legality thereof for any cause whatsoever.</w:t>
      </w:r>
    </w:p>
    <w:p w:rsidR="00304E00" w:rsidP="00304E00" w:rsidRDefault="00304E00" w14:paraId="718613C7" w14:textId="3AA3DB45">
      <w:pPr>
        <w:pStyle w:val="ParaNORMAL"/>
        <w:keepNext/>
        <w:keepLines/>
      </w:pPr>
      <w:r>
        <w:rPr>
          <w:smallCaps/>
        </w:rPr>
        <w:t>Notice is Further Given</w:t>
      </w:r>
      <w:r>
        <w:t xml:space="preserve"> that pursuant to Section 17D</w:t>
      </w:r>
      <w:r>
        <w:noBreakHyphen/>
        <w:t>2</w:t>
      </w:r>
      <w:r>
        <w:noBreakHyphen/>
        <w:t xml:space="preserve">502, Utah Code Annotated 1953, as amended, if within thirty calendar days of the publication of this notice, a written petition requesting an election and signed by at least twenty percent of the registered voters of </w:t>
      </w:r>
      <w:r w:rsidR="000C0B34">
        <w:t>North View Fire</w:t>
      </w:r>
      <w:r>
        <w:t xml:space="preserve"> District is filed with the Board, then the Board shall submit the question of whether or not to issue the Bonds to the voters of </w:t>
      </w:r>
      <w:r w:rsidR="000C0B34">
        <w:t xml:space="preserve">North View Fire </w:t>
      </w:r>
      <w:r>
        <w:t>District for their approval or rejection.</w:t>
      </w:r>
    </w:p>
    <w:p w:rsidR="00304E00" w:rsidP="00304E00" w:rsidRDefault="00304E00" w14:paraId="3FB1A26B" w14:textId="7A8E1A05">
      <w:pPr>
        <w:pStyle w:val="ParaNORMAL"/>
        <w:keepNext/>
        <w:keepLines/>
      </w:pPr>
      <w:r>
        <w:rPr>
          <w:smallCaps/>
        </w:rPr>
        <w:t>Dated</w:t>
      </w:r>
      <w:r>
        <w:t xml:space="preserve"> this </w:t>
      </w:r>
      <w:r w:rsidR="000C0B34">
        <w:t>27</w:t>
      </w:r>
      <w:r>
        <w:t xml:space="preserve">th day of </w:t>
      </w:r>
      <w:r w:rsidR="000C0B34">
        <w:t>August</w:t>
      </w:r>
      <w:r>
        <w:t>, 2026.</w:t>
      </w:r>
    </w:p>
    <w:p w:rsidR="00304E00" w:rsidP="00304E00" w:rsidRDefault="000C0B34" w14:paraId="1CB0B6B8" w14:textId="5DE8F62A">
      <w:pPr>
        <w:pStyle w:val="Signature1"/>
        <w:spacing w:before="320"/>
        <w:ind w:left="5130"/>
        <w:rPr>
          <w:smallCaps/>
        </w:rPr>
      </w:pPr>
      <w:r>
        <w:rPr>
          <w:smallCaps/>
        </w:rPr>
        <w:t>Local</w:t>
      </w:r>
      <w:r w:rsidR="00304E00">
        <w:rPr>
          <w:smallCaps/>
        </w:rPr>
        <w:t xml:space="preserve"> Building Authority of </w:t>
      </w:r>
      <w:r w:rsidR="00413866">
        <w:rPr>
          <w:smallCaps/>
        </w:rPr>
        <w:t xml:space="preserve">the </w:t>
      </w:r>
      <w:r>
        <w:rPr>
          <w:smallCaps/>
        </w:rPr>
        <w:t>North View Fire</w:t>
      </w:r>
      <w:r w:rsidR="00304E00">
        <w:rPr>
          <w:smallCaps/>
        </w:rPr>
        <w:t xml:space="preserve"> District, Utah</w:t>
      </w:r>
    </w:p>
    <w:tbl>
      <w:tblPr>
        <w:tblW w:w="0" w:type="auto"/>
        <w:tblInd w:w="4850" w:type="dxa"/>
        <w:tblLayout w:type="fixed"/>
        <w:tblCellMar>
          <w:left w:w="80" w:type="dxa"/>
          <w:right w:w="80" w:type="dxa"/>
        </w:tblCellMar>
        <w:tblLook w:val="0000" w:firstRow="0" w:lastRow="0" w:firstColumn="0" w:lastColumn="0" w:noHBand="0" w:noVBand="0"/>
      </w:tblPr>
      <w:tblGrid>
        <w:gridCol w:w="450"/>
        <w:gridCol w:w="4050"/>
      </w:tblGrid>
      <w:tr w:rsidR="00304E00" w:rsidTr="00F16009" w14:paraId="03380AF0" w14:textId="77777777">
        <w:tc>
          <w:tcPr>
            <w:tcW w:w="450" w:type="dxa"/>
          </w:tcPr>
          <w:p w:rsidR="00304E00" w:rsidP="00F16009" w:rsidRDefault="00304E00" w14:paraId="425E6E23" w14:textId="77777777">
            <w:pPr>
              <w:spacing w:before="320"/>
            </w:pPr>
            <w:r>
              <w:t>By</w:t>
            </w:r>
          </w:p>
        </w:tc>
        <w:tc>
          <w:tcPr>
            <w:tcW w:w="4050" w:type="dxa"/>
          </w:tcPr>
          <w:p w:rsidR="00304E00" w:rsidP="00F16009" w:rsidRDefault="00E6513B" w14:paraId="3BB3FE85" w14:textId="1EFE58BD">
            <w:pPr>
              <w:pBdr>
                <w:bottom w:val="single" w:color="auto" w:sz="6" w:space="0"/>
              </w:pBdr>
              <w:spacing w:before="320"/>
              <w:ind w:left="-66" w:right="-264"/>
            </w:pPr>
            <w:r>
              <w:t xml:space="preserve"> /s/ Nicci Roylance</w:t>
            </w:r>
          </w:p>
        </w:tc>
      </w:tr>
      <w:tr w:rsidR="00304E00" w:rsidTr="00F16009" w14:paraId="2E7B60AB" w14:textId="77777777">
        <w:tc>
          <w:tcPr>
            <w:tcW w:w="450" w:type="dxa"/>
          </w:tcPr>
          <w:p w:rsidR="00304E00" w:rsidP="00F16009" w:rsidRDefault="00304E00" w14:paraId="18084BC4" w14:textId="77777777"/>
        </w:tc>
        <w:tc>
          <w:tcPr>
            <w:tcW w:w="4050" w:type="dxa"/>
          </w:tcPr>
          <w:p w:rsidR="00304E00" w:rsidP="00F16009" w:rsidRDefault="00304E00" w14:paraId="114F68FD" w14:textId="72867D72">
            <w:r>
              <w:t>Secretary</w:t>
            </w:r>
          </w:p>
        </w:tc>
      </w:tr>
    </w:tbl>
    <w:p w:rsidR="00365E58" w:rsidP="00E6513B" w:rsidRDefault="00365E58" w14:paraId="545BA78A" w14:textId="77777777"/>
    <w:sectPr w:rsidR="00365E58" w:rsidSect="008620A2">
      <w:footerReference w:type="default" r:id="rId7"/>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C1179" w:rsidRDefault="00CC1179" w14:paraId="0CE07765" w14:textId="77777777">
      <w:pPr>
        <w:spacing w:line="240" w:lineRule="auto"/>
      </w:pPr>
      <w:r>
        <w:separator/>
      </w:r>
    </w:p>
  </w:endnote>
  <w:endnote w:type="continuationSeparator" w:id="0">
    <w:p w:rsidR="00CC1179" w:rsidRDefault="00CC1179" w14:paraId="314C047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TimesNewRomanPSMT">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E944A2" w:rsidRDefault="00E944A2" w14:paraId="77ECBE90" w14:textId="7C4132EB">
    <w:pPr>
      <w:pStyle w:val="Footer"/>
    </w:pPr>
    <w:r>
      <w:tab/>
      <w:t>-</w:t>
    </w:r>
    <w:r>
      <w:fldChar w:fldCharType="begin"/>
    </w:r>
    <w:r>
      <w:instrText xml:space="preserve"> PAGE  </w:instrText>
    </w:r>
    <w:r>
      <w:fldChar w:fldCharType="separate"/>
    </w:r>
    <w:r>
      <w:rPr>
        <w:noProof/>
      </w:rPr>
      <w:t>3</w:t>
    </w:r>
    <w:r>
      <w:fldChar w:fldCharType="end"/>
    </w:r>
    <w:r w:rsidR="00E6513B">
      <w: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C1179" w:rsidRDefault="00CC1179" w14:paraId="15557AFB" w14:textId="77777777">
      <w:pPr>
        <w:spacing w:line="240" w:lineRule="auto"/>
      </w:pPr>
      <w:r>
        <w:separator/>
      </w:r>
    </w:p>
  </w:footnote>
  <w:footnote w:type="continuationSeparator" w:id="0">
    <w:p w:rsidR="00CC1179" w:rsidRDefault="00CC1179" w14:paraId="55D7FAED"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00000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00000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00000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0000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00000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0000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0000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0000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63659143">
    <w:abstractNumId w:val="10"/>
  </w:num>
  <w:num w:numId="2" w16cid:durableId="1473450739">
    <w:abstractNumId w:val="9"/>
  </w:num>
  <w:num w:numId="3" w16cid:durableId="785002942">
    <w:abstractNumId w:val="7"/>
  </w:num>
  <w:num w:numId="4" w16cid:durableId="184516337">
    <w:abstractNumId w:val="6"/>
  </w:num>
  <w:num w:numId="5" w16cid:durableId="845166807">
    <w:abstractNumId w:val="5"/>
  </w:num>
  <w:num w:numId="6" w16cid:durableId="1293515388">
    <w:abstractNumId w:val="4"/>
  </w:num>
  <w:num w:numId="7" w16cid:durableId="1189682562">
    <w:abstractNumId w:val="8"/>
  </w:num>
  <w:num w:numId="8" w16cid:durableId="829250080">
    <w:abstractNumId w:val="3"/>
  </w:num>
  <w:num w:numId="9" w16cid:durableId="1046180011">
    <w:abstractNumId w:val="2"/>
  </w:num>
  <w:num w:numId="10" w16cid:durableId="314844899">
    <w:abstractNumId w:val="1"/>
  </w:num>
  <w:num w:numId="11" w16cid:durableId="59830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intFractionalCharacterWidth/>
  <w:embedSystemFonts/>
  <w:bordersDoNotSurroundHeader/>
  <w:bordersDoNotSurroundFooter/>
  <w:activeWritingStyle w:lang="en-US" w:vendorID="8" w:dllVersion="513" w:checkStyle="1" w:appName="MSWord"/>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78"/>
    <w:rsid w:val="00002BF6"/>
    <w:rsid w:val="00033186"/>
    <w:rsid w:val="0003644B"/>
    <w:rsid w:val="00054D29"/>
    <w:rsid w:val="00075FB7"/>
    <w:rsid w:val="00091D94"/>
    <w:rsid w:val="000A7280"/>
    <w:rsid w:val="000B1A27"/>
    <w:rsid w:val="000C0B34"/>
    <w:rsid w:val="000F5FBC"/>
    <w:rsid w:val="00106684"/>
    <w:rsid w:val="001540AB"/>
    <w:rsid w:val="00160952"/>
    <w:rsid w:val="001650E9"/>
    <w:rsid w:val="00171718"/>
    <w:rsid w:val="001B1448"/>
    <w:rsid w:val="001C54CC"/>
    <w:rsid w:val="001C780C"/>
    <w:rsid w:val="00220B67"/>
    <w:rsid w:val="00282B6F"/>
    <w:rsid w:val="00291DB9"/>
    <w:rsid w:val="00294BA0"/>
    <w:rsid w:val="002C7B43"/>
    <w:rsid w:val="002E2F26"/>
    <w:rsid w:val="002E2FB0"/>
    <w:rsid w:val="00304E00"/>
    <w:rsid w:val="00336DC9"/>
    <w:rsid w:val="00347C46"/>
    <w:rsid w:val="00365E58"/>
    <w:rsid w:val="00376884"/>
    <w:rsid w:val="003A1CD2"/>
    <w:rsid w:val="003F2B37"/>
    <w:rsid w:val="0041331A"/>
    <w:rsid w:val="00413866"/>
    <w:rsid w:val="00440878"/>
    <w:rsid w:val="004415F8"/>
    <w:rsid w:val="004569C0"/>
    <w:rsid w:val="00461DBF"/>
    <w:rsid w:val="00487ED6"/>
    <w:rsid w:val="0051653D"/>
    <w:rsid w:val="00527D56"/>
    <w:rsid w:val="0054202F"/>
    <w:rsid w:val="00574CF8"/>
    <w:rsid w:val="00592130"/>
    <w:rsid w:val="005D59F7"/>
    <w:rsid w:val="00611563"/>
    <w:rsid w:val="00617706"/>
    <w:rsid w:val="006708E5"/>
    <w:rsid w:val="006F42A1"/>
    <w:rsid w:val="007433BE"/>
    <w:rsid w:val="007542A2"/>
    <w:rsid w:val="00780C70"/>
    <w:rsid w:val="007814CF"/>
    <w:rsid w:val="007E39A9"/>
    <w:rsid w:val="007E640A"/>
    <w:rsid w:val="00824024"/>
    <w:rsid w:val="00833719"/>
    <w:rsid w:val="00844003"/>
    <w:rsid w:val="008620A2"/>
    <w:rsid w:val="008623A4"/>
    <w:rsid w:val="00871328"/>
    <w:rsid w:val="008A0B10"/>
    <w:rsid w:val="008A2186"/>
    <w:rsid w:val="008A5610"/>
    <w:rsid w:val="008E46EA"/>
    <w:rsid w:val="008E5003"/>
    <w:rsid w:val="009006B1"/>
    <w:rsid w:val="00923C33"/>
    <w:rsid w:val="00955A4D"/>
    <w:rsid w:val="00966ED6"/>
    <w:rsid w:val="00993445"/>
    <w:rsid w:val="009A4FC0"/>
    <w:rsid w:val="009F2072"/>
    <w:rsid w:val="00A2323D"/>
    <w:rsid w:val="00A46267"/>
    <w:rsid w:val="00A96BBB"/>
    <w:rsid w:val="00AA3E36"/>
    <w:rsid w:val="00AD0961"/>
    <w:rsid w:val="00AF3242"/>
    <w:rsid w:val="00AF6B4C"/>
    <w:rsid w:val="00B4632A"/>
    <w:rsid w:val="00B82B82"/>
    <w:rsid w:val="00B9279E"/>
    <w:rsid w:val="00BA6708"/>
    <w:rsid w:val="00BB013C"/>
    <w:rsid w:val="00BF31F4"/>
    <w:rsid w:val="00BF7866"/>
    <w:rsid w:val="00C20672"/>
    <w:rsid w:val="00C254B6"/>
    <w:rsid w:val="00CB2919"/>
    <w:rsid w:val="00CC1179"/>
    <w:rsid w:val="00CD195E"/>
    <w:rsid w:val="00D12BF5"/>
    <w:rsid w:val="00D35AB8"/>
    <w:rsid w:val="00D60B61"/>
    <w:rsid w:val="00D65A81"/>
    <w:rsid w:val="00DB2B84"/>
    <w:rsid w:val="00E304AC"/>
    <w:rsid w:val="00E41870"/>
    <w:rsid w:val="00E47F05"/>
    <w:rsid w:val="00E6513B"/>
    <w:rsid w:val="00E944A2"/>
    <w:rsid w:val="00EA6CAF"/>
    <w:rsid w:val="00EF3EBA"/>
    <w:rsid w:val="00F15007"/>
    <w:rsid w:val="00F42E7B"/>
    <w:rsid w:val="00FC7D9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47E94A8"/>
  <w15:chartTrackingRefBased/>
  <w15:docId w15:val="{A9FDDAFA-462F-6748-9CDF-ED6718AD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ew York" w:hAnsi="New York"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n"/>
    <w:qFormat/>
    <w:rsid w:val="006708E5"/>
    <w:pPr>
      <w:spacing w:line="280" w:lineRule="exact"/>
    </w:pPr>
    <w:rPr>
      <w:rFonts w:ascii="Times New Roman" w:hAnsi="Times New Roman"/>
      <w:sz w:val="24"/>
    </w:rPr>
  </w:style>
  <w:style w:type="paragraph" w:styleId="Heading1">
    <w:name w:val="heading 1"/>
    <w:aliases w:val="h1"/>
    <w:basedOn w:val="Normal"/>
    <w:next w:val="Normal"/>
    <w:qFormat/>
    <w:pPr>
      <w:keepNext/>
      <w:keepLines/>
      <w:spacing w:before="360"/>
      <w:ind w:left="1800" w:right="1267" w:hanging="1080"/>
      <w:jc w:val="both"/>
      <w:outlineLvl w:val="0"/>
    </w:pPr>
    <w:rPr>
      <w:b/>
      <w:smallCaps/>
    </w:rPr>
  </w:style>
  <w:style w:type="paragraph" w:styleId="Heading2">
    <w:name w:val="heading 2"/>
    <w:aliases w:val="h2"/>
    <w:basedOn w:val="Heading1"/>
    <w:next w:val="Normal"/>
    <w:qFormat/>
    <w:pPr>
      <w:ind w:left="0" w:firstLine="0"/>
      <w:outlineLvl w:val="1"/>
    </w:pPr>
    <w:rPr>
      <w:smallCaps w:val="0"/>
    </w:rPr>
  </w:style>
  <w:style w:type="paragraph" w:styleId="Heading3">
    <w:name w:val="heading 3"/>
    <w:aliases w:val="h3"/>
    <w:basedOn w:val="Heading1"/>
    <w:next w:val="Normal"/>
    <w:qFormat/>
    <w:pPr>
      <w:ind w:left="0" w:firstLine="0"/>
      <w:outlineLvl w:val="2"/>
    </w:pPr>
    <w:rPr>
      <w:smallCaps w:val="0"/>
    </w:rPr>
  </w:style>
  <w:style w:type="paragraph" w:styleId="Heading4">
    <w:name w:val="heading 4"/>
    <w:aliases w:val="h4"/>
    <w:basedOn w:val="Heading1"/>
    <w:next w:val="Normal"/>
    <w:qFormat/>
    <w:pPr>
      <w:ind w:left="0" w:firstLine="0"/>
      <w:outlineLvl w:val="3"/>
    </w:pPr>
    <w:rPr>
      <w:smallCaps w:val="0"/>
    </w:rPr>
  </w:style>
  <w:style w:type="paragraph" w:styleId="Heading5">
    <w:name w:val="heading 5"/>
    <w:basedOn w:val="Normal"/>
    <w:next w:val="Normal"/>
    <w:qFormat/>
    <w:pPr>
      <w:outlineLvl w:val="4"/>
    </w:pPr>
    <w:rPr>
      <w:b/>
    </w:r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rPr>
      <w:i/>
    </w:rPr>
  </w:style>
  <w:style w:type="paragraph" w:styleId="Heading8">
    <w:name w:val="heading 8"/>
    <w:basedOn w:val="Normal"/>
    <w:next w:val="Normal"/>
    <w:qFormat/>
    <w:pPr>
      <w:outlineLvl w:val="7"/>
    </w:pPr>
    <w:rPr>
      <w:i/>
    </w:rPr>
  </w:style>
  <w:style w:type="paragraph" w:styleId="Heading9">
    <w:name w:val="heading 9"/>
    <w:basedOn w:val="Normal"/>
    <w:next w:val="Normal"/>
    <w:qFormat/>
    <w:pPr>
      <w:outlineLvl w:val="8"/>
    </w:pPr>
    <w:rPr>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ndnoteReference">
    <w:name w:val="endnote reference"/>
    <w:basedOn w:val="DefaultParagraphFont"/>
    <w:rPr>
      <w:rFonts w:ascii="Times" w:hAnsi="Times"/>
      <w:vertAlign w:val="superscript"/>
    </w:rPr>
  </w:style>
  <w:style w:type="character" w:styleId="Emphasis">
    <w:name w:val="Emphasis"/>
    <w:basedOn w:val="DefaultParagraphFont"/>
    <w:qFormat/>
    <w:rPr>
      <w:rFonts w:ascii="Times" w:hAnsi="Times"/>
    </w:rPr>
  </w:style>
  <w:style w:type="paragraph" w:styleId="TOC8">
    <w:name w:val="toc 8"/>
    <w:aliases w:val="t8"/>
    <w:basedOn w:val="TOC1"/>
    <w:next w:val="Normal"/>
    <w:pPr>
      <w:tabs>
        <w:tab w:val="clear" w:pos="2160"/>
      </w:tabs>
      <w:spacing w:before="0" w:after="0"/>
      <w:ind w:left="0" w:firstLine="0"/>
    </w:pPr>
    <w:rPr>
      <w:smallCaps w:val="0"/>
    </w:rPr>
  </w:style>
  <w:style w:type="paragraph" w:styleId="TOC7">
    <w:name w:val="toc 7"/>
    <w:aliases w:val="t7"/>
    <w:basedOn w:val="TOC1"/>
    <w:next w:val="Normal"/>
    <w:pPr>
      <w:tabs>
        <w:tab w:val="clear" w:pos="2160"/>
      </w:tabs>
      <w:spacing w:before="0" w:after="0"/>
      <w:ind w:left="0" w:firstLine="0"/>
    </w:pPr>
    <w:rPr>
      <w:smallCaps w:val="0"/>
    </w:rPr>
  </w:style>
  <w:style w:type="paragraph" w:styleId="TOC6">
    <w:name w:val="toc 6"/>
    <w:aliases w:val="t6"/>
    <w:basedOn w:val="TOC1"/>
    <w:next w:val="Normal"/>
    <w:pPr>
      <w:tabs>
        <w:tab w:val="clear" w:pos="2160"/>
      </w:tabs>
      <w:spacing w:before="0" w:after="0"/>
      <w:ind w:left="0" w:firstLine="0"/>
    </w:pPr>
    <w:rPr>
      <w:smallCaps w:val="0"/>
    </w:rPr>
  </w:style>
  <w:style w:type="paragraph" w:styleId="TOC5">
    <w:name w:val="toc 5"/>
    <w:aliases w:val="t5"/>
    <w:basedOn w:val="TOC1"/>
    <w:next w:val="Normal"/>
    <w:pPr>
      <w:tabs>
        <w:tab w:val="left" w:pos="1440"/>
      </w:tabs>
      <w:spacing w:before="0" w:after="0"/>
    </w:pPr>
    <w:rPr>
      <w:smallCaps w:val="0"/>
    </w:rPr>
  </w:style>
  <w:style w:type="paragraph" w:styleId="TOC4">
    <w:name w:val="toc 4"/>
    <w:aliases w:val="t4"/>
    <w:basedOn w:val="TOC1"/>
    <w:next w:val="Normal"/>
    <w:pPr>
      <w:tabs>
        <w:tab w:val="clear" w:pos="2160"/>
      </w:tabs>
      <w:spacing w:after="0"/>
      <w:ind w:left="0" w:firstLine="0"/>
    </w:pPr>
    <w:rPr>
      <w:smallCaps w:val="0"/>
    </w:rPr>
  </w:style>
  <w:style w:type="paragraph" w:styleId="TOC3">
    <w:name w:val="toc 3"/>
    <w:aliases w:val="t3"/>
    <w:basedOn w:val="TOC1"/>
    <w:next w:val="Normal"/>
    <w:pPr>
      <w:tabs>
        <w:tab w:val="clear" w:pos="2160"/>
        <w:tab w:val="left" w:pos="2520"/>
      </w:tabs>
      <w:spacing w:before="0" w:after="0"/>
      <w:ind w:left="2520" w:hanging="1080"/>
    </w:pPr>
    <w:rPr>
      <w:smallCaps w:val="0"/>
    </w:rPr>
  </w:style>
  <w:style w:type="paragraph" w:styleId="TOC2">
    <w:name w:val="toc 2"/>
    <w:aliases w:val="t2"/>
    <w:basedOn w:val="TOC1"/>
    <w:next w:val="Normal"/>
    <w:pPr>
      <w:tabs>
        <w:tab w:val="clear" w:pos="2160"/>
        <w:tab w:val="left" w:pos="2520"/>
      </w:tabs>
      <w:spacing w:before="0" w:after="0"/>
      <w:ind w:left="2520" w:hanging="1980"/>
    </w:pPr>
    <w:rPr>
      <w:smallCaps w:val="0"/>
    </w:rPr>
  </w:style>
  <w:style w:type="paragraph" w:styleId="TOC1">
    <w:name w:val="toc 1"/>
    <w:aliases w:val="t1"/>
    <w:basedOn w:val="Normal"/>
    <w:next w:val="Normal"/>
    <w:pPr>
      <w:tabs>
        <w:tab w:val="left" w:pos="2160"/>
        <w:tab w:val="right" w:leader="dot" w:pos="9360"/>
      </w:tabs>
      <w:spacing w:before="280" w:after="120"/>
      <w:ind w:left="2160" w:right="1267" w:hanging="2160"/>
    </w:pPr>
    <w:rPr>
      <w:smallCaps/>
    </w:rPr>
  </w:style>
  <w:style w:type="paragraph" w:styleId="relineborder" w:customStyle="1">
    <w:name w:val="reline border"/>
    <w:aliases w:val="rlb"/>
    <w:basedOn w:val="Normal"/>
    <w:pPr>
      <w:pBdr>
        <w:top w:val="single" w:color="000000" w:sz="2" w:space="1"/>
      </w:pBdr>
      <w:ind w:left="1800" w:right="1440"/>
    </w:pPr>
  </w:style>
  <w:style w:type="character" w:styleId="Style1" w:customStyle="1">
    <w:name w:val="Style1"/>
    <w:basedOn w:val="DefaultParagraphFont"/>
  </w:style>
  <w:style w:type="paragraph" w:styleId="Title">
    <w:name w:val="Title"/>
    <w:basedOn w:val="Normal"/>
    <w:qFormat/>
    <w:pPr>
      <w:spacing w:after="280"/>
      <w:jc w:val="center"/>
      <w:outlineLvl w:val="0"/>
    </w:pPr>
  </w:style>
  <w:style w:type="paragraph" w:styleId="TOAHeading">
    <w:name w:val="toa heading"/>
    <w:basedOn w:val="Normal"/>
    <w:next w:val="Normal"/>
    <w:pPr>
      <w:spacing w:before="120"/>
    </w:pPr>
    <w:rPr>
      <w:b/>
    </w:rPr>
  </w:style>
  <w:style w:type="paragraph" w:styleId="BodyText3">
    <w:name w:val="Body Text 3"/>
    <w:basedOn w:val="Normal"/>
    <w:pPr>
      <w:spacing w:after="120"/>
    </w:pPr>
  </w:style>
  <w:style w:type="paragraph" w:styleId="BodyTextIndent3">
    <w:name w:val="Body Text Indent 3"/>
    <w:basedOn w:val="Normal"/>
    <w:pPr>
      <w:spacing w:after="120"/>
      <w:ind w:left="360"/>
    </w:pPr>
  </w:style>
  <w:style w:type="character" w:styleId="CommentReference">
    <w:name w:val="annotation reference"/>
    <w:basedOn w:val="DefaultParagraphFont"/>
    <w:rPr>
      <w:rFonts w:ascii="Times" w:hAnsi="Times"/>
      <w:sz w:val="24"/>
    </w:rPr>
  </w:style>
  <w:style w:type="character" w:styleId="LineNumber">
    <w:name w:val="line number"/>
    <w:basedOn w:val="DefaultParagraphFont"/>
    <w:rPr>
      <w:rFonts w:ascii="Times" w:hAnsi="Times"/>
      <w:sz w:val="24"/>
    </w:rPr>
  </w:style>
  <w:style w:type="paragraph" w:styleId="CommentText">
    <w:name w:val="annotation text"/>
    <w:basedOn w:val="Normal"/>
  </w:style>
  <w:style w:type="paragraph" w:styleId="Footer">
    <w:name w:val="footer"/>
    <w:aliases w:val="f"/>
    <w:basedOn w:val="Normal"/>
    <w:pPr>
      <w:tabs>
        <w:tab w:val="center" w:pos="4680"/>
        <w:tab w:val="right" w:pos="9360"/>
      </w:tabs>
    </w:pPr>
  </w:style>
  <w:style w:type="paragraph" w:styleId="Header">
    <w:name w:val="header"/>
    <w:aliases w:val="h"/>
    <w:basedOn w:val="Normal"/>
    <w:link w:val="HeaderChar"/>
    <w:pPr>
      <w:tabs>
        <w:tab w:val="center" w:pos="4680"/>
        <w:tab w:val="right" w:pos="9360"/>
      </w:tabs>
    </w:pPr>
  </w:style>
  <w:style w:type="character" w:styleId="FootnoteReference">
    <w:name w:val="footnote reference"/>
    <w:aliases w:val="fr"/>
    <w:basedOn w:val="DefaultParagraphFont"/>
    <w:rPr>
      <w:rFonts w:ascii="Times" w:hAnsi="Times"/>
      <w:position w:val="6"/>
      <w:sz w:val="20"/>
      <w:vertAlign w:val="baseline"/>
    </w:rPr>
  </w:style>
  <w:style w:type="paragraph" w:styleId="FootnoteText">
    <w:name w:val="footnote text"/>
    <w:aliases w:val="ft"/>
    <w:basedOn w:val="Normal"/>
    <w:pPr>
      <w:spacing w:after="240" w:line="240" w:lineRule="exact"/>
      <w:ind w:left="720" w:hanging="720"/>
      <w:jc w:val="both"/>
    </w:pPr>
    <w:rPr>
      <w:sz w:val="20"/>
    </w:rPr>
  </w:style>
  <w:style w:type="paragraph" w:styleId="EnvelopeAddress">
    <w:name w:val="envelope address"/>
    <w:basedOn w:val="Normal"/>
    <w:pPr>
      <w:framePr w:w="7920" w:h="1980" w:hSpace="180" w:wrap="auto" w:hAnchor="page" w:xAlign="center" w:yAlign="bottom" w:hRule="exact"/>
      <w:ind w:left="2880"/>
    </w:pPr>
  </w:style>
  <w:style w:type="paragraph" w:styleId="TOC9">
    <w:name w:val="toc 9"/>
    <w:aliases w:val="t9"/>
    <w:basedOn w:val="TOC1"/>
    <w:next w:val="Normal"/>
    <w:pPr>
      <w:tabs>
        <w:tab w:val="clear" w:pos="2160"/>
      </w:tabs>
      <w:spacing w:before="0" w:after="0"/>
      <w:ind w:left="0" w:firstLine="0"/>
    </w:pPr>
    <w:rPr>
      <w:smallCaps w:val="0"/>
    </w:rPr>
  </w:style>
  <w:style w:type="character" w:styleId="PageNumber">
    <w:name w:val="page number"/>
    <w:basedOn w:val="DefaultParagraphFont"/>
    <w:rPr>
      <w:rFonts w:ascii="Times" w:hAnsi="Times"/>
      <w:sz w:val="24"/>
    </w:rPr>
  </w:style>
  <w:style w:type="paragraph" w:styleId="EnvelopeReturn">
    <w:name w:val="envelope return"/>
    <w:basedOn w:val="Normal"/>
  </w:style>
  <w:style w:type="paragraph" w:styleId="Index1">
    <w:name w:val="index 1"/>
    <w:basedOn w:val="Normal"/>
    <w:next w:val="Normal"/>
    <w:autoRedefine/>
    <w:pPr>
      <w:ind w:left="240" w:hanging="240"/>
    </w:pPr>
  </w:style>
  <w:style w:type="paragraph" w:styleId="legend" w:customStyle="1">
    <w:name w:val="legend"/>
    <w:aliases w:val="ld"/>
    <w:basedOn w:val="Normal"/>
    <w:rPr>
      <w:sz w:val="18"/>
    </w:rPr>
  </w:style>
  <w:style w:type="paragraph" w:styleId="SubParaLevel0" w:customStyle="1">
    <w:name w:val="SubParaLevel0"/>
    <w:aliases w:val="s0,S0"/>
    <w:basedOn w:val="SubParaLevel1"/>
    <w:pPr>
      <w:tabs>
        <w:tab w:val="clear" w:pos="1800"/>
        <w:tab w:val="clear" w:pos="2160"/>
      </w:tabs>
      <w:ind w:firstLine="720"/>
    </w:pPr>
  </w:style>
  <w:style w:type="paragraph" w:styleId="re" w:customStyle="1">
    <w:name w:val="re"/>
    <w:basedOn w:val="Normal"/>
    <w:next w:val="Normal"/>
    <w:pPr>
      <w:tabs>
        <w:tab w:val="center" w:pos="4680"/>
      </w:tabs>
      <w:spacing w:before="400"/>
      <w:ind w:left="720" w:right="720"/>
    </w:pPr>
  </w:style>
  <w:style w:type="paragraph" w:styleId="hangingindent" w:customStyle="1">
    <w:name w:val="hanging indent"/>
    <w:aliases w:val="hang"/>
    <w:basedOn w:val="ParaNORMAL"/>
    <w:pPr>
      <w:ind w:left="720" w:hanging="720"/>
    </w:pPr>
  </w:style>
  <w:style w:type="paragraph" w:styleId="Date">
    <w:name w:val="Date"/>
    <w:basedOn w:val="Normal"/>
    <w:next w:val="Normal"/>
    <w:pPr>
      <w:spacing w:after="640"/>
      <w:jc w:val="center"/>
    </w:pPr>
  </w:style>
  <w:style w:type="paragraph" w:styleId="Signature1" w:customStyle="1">
    <w:name w:val="Signature1"/>
    <w:aliases w:val="sig,s"/>
    <w:basedOn w:val="Normal"/>
    <w:qFormat/>
    <w:pPr>
      <w:keepNext/>
      <w:tabs>
        <w:tab w:val="decimal" w:leader="underscore" w:pos="9360"/>
      </w:tabs>
      <w:ind w:left="4968" w:hanging="288"/>
    </w:pPr>
  </w:style>
  <w:style w:type="paragraph" w:styleId="NormalCenterBold" w:customStyle="1">
    <w:name w:val="NormalCenterBold"/>
    <w:aliases w:val="ncb"/>
    <w:basedOn w:val="TitleCenterBold"/>
    <w:next w:val="ParaNORMAL"/>
    <w:pPr>
      <w:spacing w:before="0"/>
    </w:pPr>
  </w:style>
  <w:style w:type="paragraph" w:styleId="TitleCenterBold" w:customStyle="1">
    <w:name w:val="TitleCenterBold"/>
    <w:aliases w:val="tcb"/>
    <w:basedOn w:val="Normal"/>
    <w:next w:val="ParaNORMAL"/>
    <w:pPr>
      <w:keepNext/>
      <w:spacing w:before="360"/>
      <w:jc w:val="center"/>
    </w:pPr>
    <w:rPr>
      <w:b/>
      <w:smallCaps/>
    </w:rPr>
  </w:style>
  <w:style w:type="paragraph" w:styleId="TitleLeft" w:customStyle="1">
    <w:name w:val="TitleLeft"/>
    <w:aliases w:val="tl"/>
    <w:basedOn w:val="TitleCenterBold"/>
    <w:next w:val="Normal"/>
    <w:pPr>
      <w:tabs>
        <w:tab w:val="left" w:pos="1699"/>
      </w:tabs>
      <w:spacing w:before="320"/>
      <w:ind w:left="1699" w:hanging="1699"/>
      <w:jc w:val="left"/>
    </w:pPr>
    <w:rPr>
      <w:b w:val="0"/>
    </w:rPr>
  </w:style>
  <w:style w:type="paragraph" w:styleId="Signature2" w:customStyle="1">
    <w:name w:val="Signature2"/>
    <w:aliases w:val="sig2"/>
    <w:basedOn w:val="Signature1"/>
    <w:pPr>
      <w:tabs>
        <w:tab w:val="left" w:pos="4680"/>
      </w:tabs>
      <w:ind w:left="4950" w:hanging="4950"/>
    </w:pPr>
  </w:style>
  <w:style w:type="paragraph" w:styleId="ParaNORMAL" w:customStyle="1">
    <w:name w:val="ParaNORMAL"/>
    <w:aliases w:val="p,i,party,ohhar,RG Quick Para,ParaFLUSH2,B Indent,ParaNtcbORMAL,paragraph,OHHpara,P,ORPara,ParaNtcbORM"/>
    <w:basedOn w:val="Normal"/>
    <w:qFormat/>
    <w:pPr>
      <w:spacing w:before="280"/>
      <w:ind w:firstLine="720"/>
      <w:jc w:val="both"/>
    </w:pPr>
  </w:style>
  <w:style w:type="paragraph" w:styleId="ParaNUMBERED" w:customStyle="1">
    <w:name w:val="ParaNUMBERED"/>
    <w:aliases w:val="pn"/>
    <w:basedOn w:val="ParaNORMAL"/>
    <w:pPr>
      <w:tabs>
        <w:tab w:val="right" w:pos="936"/>
        <w:tab w:val="left" w:pos="1238"/>
      </w:tabs>
      <w:ind w:firstLine="0"/>
    </w:pPr>
  </w:style>
  <w:style w:type="paragraph" w:styleId="SubParaLevel1" w:customStyle="1">
    <w:name w:val="SubParaLevel1"/>
    <w:aliases w:val="s1,S1"/>
    <w:basedOn w:val="ParaNORMAL"/>
    <w:qFormat/>
    <w:pPr>
      <w:tabs>
        <w:tab w:val="right" w:pos="1800"/>
        <w:tab w:val="left" w:pos="2160"/>
      </w:tabs>
      <w:ind w:left="720" w:firstLine="0"/>
    </w:pPr>
  </w:style>
  <w:style w:type="paragraph" w:styleId="ParaSECTION" w:customStyle="1">
    <w:name w:val="ParaSECTION"/>
    <w:aliases w:val="ps,ps ,ParaSECTION2"/>
    <w:basedOn w:val="ParaNORMAL"/>
    <w:qFormat/>
    <w:pPr>
      <w:tabs>
        <w:tab w:val="right" w:pos="1699"/>
        <w:tab w:val="left" w:pos="2016"/>
      </w:tabs>
      <w:ind w:firstLine="0"/>
    </w:pPr>
  </w:style>
  <w:style w:type="paragraph" w:styleId="SubParaLevel2" w:customStyle="1">
    <w:name w:val="SubParaLevel2"/>
    <w:aliases w:val="s2,S2"/>
    <w:basedOn w:val="SubParaLevel1"/>
    <w:pPr>
      <w:tabs>
        <w:tab w:val="clear" w:pos="1800"/>
        <w:tab w:val="clear" w:pos="2160"/>
        <w:tab w:val="right" w:pos="2520"/>
        <w:tab w:val="left" w:pos="2880"/>
      </w:tabs>
      <w:ind w:left="1440"/>
    </w:pPr>
  </w:style>
  <w:style w:type="paragraph" w:styleId="QuotedText" w:customStyle="1">
    <w:name w:val="QuotedText"/>
    <w:aliases w:val="qt"/>
    <w:basedOn w:val="ParaNORMAL"/>
    <w:pPr>
      <w:ind w:left="1440" w:right="1440" w:firstLine="0"/>
    </w:pPr>
  </w:style>
  <w:style w:type="paragraph" w:styleId="SubParaLevel3" w:customStyle="1">
    <w:name w:val="SubParaLevel3"/>
    <w:aliases w:val="s3,S3"/>
    <w:basedOn w:val="SubParaLevel1"/>
    <w:pPr>
      <w:tabs>
        <w:tab w:val="clear" w:pos="1800"/>
        <w:tab w:val="clear" w:pos="2160"/>
        <w:tab w:val="right" w:pos="3240"/>
        <w:tab w:val="left" w:pos="3600"/>
      </w:tabs>
      <w:ind w:left="2160"/>
    </w:pPr>
  </w:style>
  <w:style w:type="paragraph" w:styleId="SubParaLevel4" w:customStyle="1">
    <w:name w:val="SubParaLevel4"/>
    <w:aliases w:val="s4,S4"/>
    <w:basedOn w:val="SubParaLevel1"/>
    <w:pPr>
      <w:tabs>
        <w:tab w:val="clear" w:pos="1800"/>
        <w:tab w:val="clear" w:pos="2160"/>
        <w:tab w:val="right" w:pos="3960"/>
        <w:tab w:val="left" w:pos="4320"/>
      </w:tabs>
      <w:ind w:left="2880"/>
    </w:pPr>
  </w:style>
  <w:style w:type="paragraph" w:styleId="ParaFLUSH" w:customStyle="1">
    <w:name w:val="ParaFLUSH"/>
    <w:aliases w:val="pf"/>
    <w:basedOn w:val="ParaNORMAL"/>
    <w:pPr>
      <w:ind w:firstLine="0"/>
    </w:pPr>
  </w:style>
  <w:style w:type="paragraph" w:styleId="DoubleLine" w:customStyle="1">
    <w:name w:val="DoubleLine"/>
    <w:aliases w:val="d"/>
    <w:basedOn w:val="Normal"/>
    <w:next w:val="Normal"/>
    <w:pPr>
      <w:pBdr>
        <w:bottom w:val="double" w:color="auto" w:sz="6" w:space="0"/>
      </w:pBdr>
    </w:pPr>
  </w:style>
  <w:style w:type="paragraph" w:styleId="CoverCenter" w:customStyle="1">
    <w:name w:val="CoverCenter"/>
    <w:aliases w:val="c"/>
    <w:basedOn w:val="TitleCenterBold"/>
    <w:pPr>
      <w:spacing w:before="0"/>
    </w:pPr>
    <w:rPr>
      <w:b w:val="0"/>
    </w:rPr>
  </w:style>
  <w:style w:type="paragraph" w:styleId="re1" w:customStyle="1">
    <w:name w:val="re1"/>
    <w:basedOn w:val="Normal"/>
    <w:pPr>
      <w:tabs>
        <w:tab w:val="center" w:pos="4680"/>
      </w:tabs>
      <w:ind w:left="720" w:right="720"/>
      <w:jc w:val="center"/>
    </w:pPr>
  </w:style>
  <w:style w:type="paragraph" w:styleId="ParaSECTIONDS" w:customStyle="1">
    <w:name w:val="ParaSECTIONDS"/>
    <w:aliases w:val="psds"/>
    <w:basedOn w:val="Normal"/>
    <w:pPr>
      <w:tabs>
        <w:tab w:val="right" w:pos="1980"/>
        <w:tab w:val="left" w:pos="2340"/>
      </w:tabs>
      <w:spacing w:line="560" w:lineRule="exact"/>
      <w:jc w:val="both"/>
    </w:pPr>
  </w:style>
  <w:style w:type="paragraph" w:styleId="SubParaLevel0DS" w:customStyle="1">
    <w:name w:val="SubParaLevel0DS"/>
    <w:aliases w:val="s0ds"/>
    <w:basedOn w:val="ParaNORMALDS"/>
    <w:pPr>
      <w:ind w:left="720"/>
    </w:pPr>
  </w:style>
  <w:style w:type="paragraph" w:styleId="TitleCenterBoldDS" w:customStyle="1">
    <w:name w:val="TitleCenterBoldDS"/>
    <w:aliases w:val="tcbds"/>
    <w:basedOn w:val="Normal"/>
    <w:next w:val="ParaNORMALDS"/>
    <w:pPr>
      <w:keepNext/>
      <w:spacing w:before="600"/>
      <w:jc w:val="center"/>
    </w:pPr>
    <w:rPr>
      <w:b/>
      <w:smallCaps/>
    </w:rPr>
  </w:style>
  <w:style w:type="paragraph" w:styleId="ParaNORMALDS" w:customStyle="1">
    <w:name w:val="ParaNORMALDS"/>
    <w:aliases w:val="pds"/>
    <w:basedOn w:val="Normal"/>
    <w:pPr>
      <w:spacing w:line="600" w:lineRule="exact"/>
      <w:ind w:firstLine="720"/>
      <w:jc w:val="both"/>
    </w:pPr>
  </w:style>
  <w:style w:type="paragraph" w:styleId="ParaNUMBEREDDS" w:customStyle="1">
    <w:name w:val="ParaNUMBEREDDS"/>
    <w:aliases w:val="pnds"/>
    <w:basedOn w:val="ParaNORMALDS"/>
    <w:pPr>
      <w:tabs>
        <w:tab w:val="right" w:pos="1080"/>
        <w:tab w:val="left" w:pos="1440"/>
      </w:tabs>
      <w:ind w:firstLine="0"/>
    </w:pPr>
  </w:style>
  <w:style w:type="paragraph" w:styleId="SubParaLevel1DS" w:customStyle="1">
    <w:name w:val="SubParaLevel1DS"/>
    <w:aliases w:val="s1ds"/>
    <w:basedOn w:val="SubParaLevel0DS"/>
    <w:pPr>
      <w:tabs>
        <w:tab w:val="right" w:pos="1800"/>
        <w:tab w:val="left" w:pos="2160"/>
      </w:tabs>
      <w:ind w:firstLine="0"/>
    </w:pPr>
  </w:style>
  <w:style w:type="paragraph" w:styleId="SubParaLevel2DS" w:customStyle="1">
    <w:name w:val="SubParaLevel2DS"/>
    <w:aliases w:val="s2ds,SubParaLevel2 DS"/>
    <w:basedOn w:val="SubParaLevel0DS"/>
    <w:pPr>
      <w:tabs>
        <w:tab w:val="right" w:pos="2520"/>
        <w:tab w:val="left" w:pos="2880"/>
      </w:tabs>
      <w:ind w:left="1440" w:firstLine="0"/>
    </w:pPr>
  </w:style>
  <w:style w:type="paragraph" w:styleId="SubParaLevel3DS" w:customStyle="1">
    <w:name w:val="SubParaLevel3DS"/>
    <w:aliases w:val="s3ds,SubParaLevel3 DS"/>
    <w:basedOn w:val="SubParaLevel0DS"/>
    <w:pPr>
      <w:tabs>
        <w:tab w:val="right" w:pos="3240"/>
        <w:tab w:val="left" w:pos="3600"/>
      </w:tabs>
      <w:ind w:left="2160" w:firstLine="0"/>
    </w:pPr>
  </w:style>
  <w:style w:type="paragraph" w:styleId="SubParaLevel4DS" w:customStyle="1">
    <w:name w:val="SubParaLevel4DS"/>
    <w:aliases w:val="s4ds,SubParaLevel4 DS"/>
    <w:basedOn w:val="SubParaLevel0DS"/>
    <w:pPr>
      <w:tabs>
        <w:tab w:val="right" w:pos="3960"/>
        <w:tab w:val="left" w:pos="4320"/>
      </w:tabs>
      <w:ind w:left="2880" w:firstLine="0"/>
    </w:pPr>
  </w:style>
  <w:style w:type="paragraph" w:styleId="ParaFLUSHDS" w:customStyle="1">
    <w:name w:val="ParaFLUSHDS"/>
    <w:aliases w:val="pfds"/>
    <w:basedOn w:val="ParaNORMALDS"/>
    <w:pPr>
      <w:ind w:firstLine="0"/>
    </w:pPr>
  </w:style>
  <w:style w:type="paragraph" w:styleId="HangingIndentDS" w:customStyle="1">
    <w:name w:val="HangingIndentDS"/>
    <w:aliases w:val="hids"/>
    <w:basedOn w:val="ParaNORMALDS"/>
    <w:pPr>
      <w:tabs>
        <w:tab w:val="left" w:pos="720"/>
      </w:tabs>
      <w:ind w:left="720" w:hanging="720"/>
    </w:pPr>
  </w:style>
  <w:style w:type="paragraph" w:styleId="QuotedTextDS" w:customStyle="1">
    <w:name w:val="QuotedTextDS"/>
    <w:aliases w:val="qtds"/>
    <w:basedOn w:val="Normal"/>
    <w:pPr>
      <w:spacing w:before="220" w:after="60"/>
      <w:ind w:left="1440" w:right="1440"/>
      <w:jc w:val="both"/>
    </w:pPr>
  </w:style>
  <w:style w:type="paragraph" w:styleId="TitleLeftDS" w:customStyle="1">
    <w:name w:val="TitleLeftDS"/>
    <w:aliases w:val="tlds"/>
    <w:basedOn w:val="TitleCenterBoldDS"/>
    <w:next w:val="ParaSECTIONDS"/>
    <w:pPr>
      <w:tabs>
        <w:tab w:val="left" w:pos="1980"/>
      </w:tabs>
      <w:spacing w:before="400"/>
      <w:ind w:left="1980" w:hanging="1980"/>
      <w:jc w:val="left"/>
    </w:pPr>
    <w:rPr>
      <w:b w:val="0"/>
    </w:rPr>
  </w:style>
  <w:style w:type="paragraph" w:styleId="b" w:customStyle="1">
    <w:name w:val="b"/>
    <w:basedOn w:val="ParaNORMALDS"/>
  </w:style>
  <w:style w:type="paragraph" w:styleId="cbds" w:customStyle="1">
    <w:name w:val="cbds"/>
    <w:basedOn w:val="ParaSECTIONDS"/>
    <w:pPr>
      <w:spacing w:before="320" w:line="600" w:lineRule="exact"/>
    </w:pPr>
  </w:style>
  <w:style w:type="paragraph" w:styleId="cc" w:customStyle="1">
    <w:name w:val="cc"/>
    <w:basedOn w:val="Normal"/>
    <w:next w:val="Normal"/>
    <w:pPr>
      <w:keepNext/>
      <w:tabs>
        <w:tab w:val="left" w:pos="720"/>
      </w:tabs>
      <w:spacing w:before="360"/>
    </w:pPr>
  </w:style>
  <w:style w:type="paragraph" w:styleId="0ds" w:customStyle="1">
    <w:name w:val="0ds"/>
    <w:basedOn w:val="Normal"/>
    <w:pPr>
      <w:tabs>
        <w:tab w:val="left" w:pos="2016"/>
        <w:tab w:val="left" w:pos="5616"/>
        <w:tab w:val="right" w:pos="9504"/>
      </w:tabs>
      <w:spacing w:line="480" w:lineRule="atLeast"/>
      <w:jc w:val="both"/>
    </w:pPr>
  </w:style>
  <w:style w:type="paragraph" w:styleId="IndexHeading">
    <w:name w:val="index heading"/>
    <w:basedOn w:val="Normal"/>
    <w:next w:val="Index1"/>
    <w:rPr>
      <w:b/>
    </w:rPr>
  </w:style>
  <w:style w:type="paragraph" w:styleId="Subtitle">
    <w:name w:val="Subtitle"/>
    <w:basedOn w:val="Normal"/>
    <w:qFormat/>
    <w:pPr>
      <w:spacing w:after="60"/>
      <w:jc w:val="center"/>
      <w:outlineLvl w:val="1"/>
    </w:pPr>
  </w:style>
  <w:style w:type="paragraph" w:styleId="5" w:customStyle="1">
    <w:name w:val="5"/>
    <w:basedOn w:val="ParaSECTION"/>
    <w:rPr>
      <w:i/>
    </w:rPr>
  </w:style>
  <w:style w:type="paragraph" w:styleId="ps" w:customStyle="1">
    <w:name w:val="p[s"/>
    <w:basedOn w:val="ParaSECTION"/>
    <w:rsid w:val="00440878"/>
    <w:pPr>
      <w:spacing w:before="0" w:line="580" w:lineRule="exact"/>
    </w:pPr>
  </w:style>
  <w:style w:type="character" w:styleId="SignatureChar" w:customStyle="1">
    <w:name w:val="Signature Char"/>
    <w:basedOn w:val="DefaultParagraphFont"/>
    <w:link w:val="Signature"/>
    <w:rsid w:val="000D5FBD"/>
    <w:rPr>
      <w:rFonts w:ascii="Times" w:hAnsi="Times"/>
      <w:sz w:val="24"/>
    </w:rPr>
  </w:style>
  <w:style w:type="paragraph" w:styleId="Signature">
    <w:name w:val="Signature"/>
    <w:basedOn w:val="Normal"/>
    <w:link w:val="SignatureChar"/>
    <w:unhideWhenUsed/>
    <w:rsid w:val="000D5FBD"/>
    <w:pPr>
      <w:ind w:left="4320"/>
    </w:pPr>
  </w:style>
  <w:style w:type="character" w:styleId="SignatureChar1" w:customStyle="1">
    <w:name w:val="Signature Char1"/>
    <w:basedOn w:val="DefaultParagraphFont"/>
    <w:uiPriority w:val="99"/>
    <w:semiHidden/>
    <w:rsid w:val="000D5FBD"/>
    <w:rPr>
      <w:rFonts w:ascii="Times" w:hAnsi="Times"/>
      <w:sz w:val="24"/>
    </w:rPr>
  </w:style>
  <w:style w:type="character" w:styleId="HeaderChar" w:customStyle="1">
    <w:name w:val="Header Char"/>
    <w:aliases w:val="h Char"/>
    <w:basedOn w:val="DefaultParagraphFont"/>
    <w:link w:val="Header"/>
    <w:rsid w:val="00454233"/>
    <w:rPr>
      <w:rFonts w:ascii="Times" w:hAnsi="Times"/>
      <w:sz w:val="24"/>
    </w:rPr>
  </w:style>
  <w:style w:type="paragraph" w:styleId="Revision">
    <w:name w:val="Revision"/>
    <w:hidden/>
    <w:uiPriority w:val="71"/>
    <w:rsid w:val="005165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

<file path=docProps/custom.xml><?xml version="1.0" encoding="utf-8"?>
<op:Properties xmlns:vt="http://schemas.openxmlformats.org/officeDocument/2006/docPropsVTypes" xmlns:op="http://schemas.openxmlformats.org/officeDocument/2006/custom-properties"/>
</file>