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9ADD1" w14:textId="77777777" w:rsidR="00FF1C40" w:rsidRPr="00477E08" w:rsidRDefault="00FF1C40" w:rsidP="00A91128">
      <w:pPr>
        <w:shd w:val="clear" w:color="auto" w:fill="FFFFFF" w:themeFill="background1"/>
        <w:jc w:val="center"/>
        <w:rPr>
          <w:b/>
          <w:bCs/>
        </w:rPr>
      </w:pPr>
      <w:r>
        <w:rPr>
          <w:b/>
          <w:bCs/>
        </w:rPr>
        <w:t>MOUNT PLEASANT, UTAH</w:t>
      </w:r>
    </w:p>
    <w:p w14:paraId="05ADFED9" w14:textId="73B72D8B" w:rsidR="00FF1C40" w:rsidRPr="00477E08" w:rsidRDefault="00FF1C40" w:rsidP="00A91128">
      <w:pPr>
        <w:shd w:val="clear" w:color="auto" w:fill="FFFFFF" w:themeFill="background1"/>
        <w:jc w:val="center"/>
        <w:rPr>
          <w:b/>
          <w:bCs/>
        </w:rPr>
      </w:pPr>
      <w:r>
        <w:rPr>
          <w:b/>
          <w:bCs/>
        </w:rPr>
        <w:t>ORDINANCE 2026-</w:t>
      </w:r>
      <w:r w:rsidR="007A7BB2">
        <w:rPr>
          <w:b/>
          <w:bCs/>
        </w:rPr>
        <w:t>xx</w:t>
      </w:r>
    </w:p>
    <w:p w14:paraId="7F168F17" w14:textId="77777777" w:rsidR="00FF1C40" w:rsidRPr="00477E08" w:rsidRDefault="006E7CF8" w:rsidP="00A91128">
      <w:pPr>
        <w:shd w:val="clear" w:color="auto" w:fill="FFFFFF" w:themeFill="background1"/>
        <w:jc w:val="center"/>
        <w:rPr>
          <w:b/>
          <w:bCs/>
        </w:rPr>
      </w:pPr>
      <w:r>
        <w:rPr>
          <w:b/>
          <w:bCs/>
        </w:rPr>
        <w:t>MEDIUM-HIGH DENSITY RESIDENTIAL OVERLAY ZONE</w:t>
      </w:r>
    </w:p>
    <w:p w14:paraId="1F7C5168" w14:textId="77777777" w:rsidR="00FF1C40" w:rsidRPr="00477E08" w:rsidRDefault="00FF1C40" w:rsidP="00A91128">
      <w:pPr>
        <w:shd w:val="clear" w:color="auto" w:fill="FFFFFF" w:themeFill="background1"/>
        <w:jc w:val="center"/>
        <w:rPr>
          <w:b/>
          <w:bCs/>
        </w:rPr>
      </w:pPr>
    </w:p>
    <w:p w14:paraId="7F4BB38E" w14:textId="77777777" w:rsidR="00FF1C40" w:rsidRDefault="00FF1C40" w:rsidP="00A91128">
      <w:pPr>
        <w:shd w:val="clear" w:color="auto" w:fill="FFFFFF" w:themeFill="background1"/>
        <w:ind w:firstLine="720"/>
        <w:rPr>
          <w:b/>
          <w:bCs/>
        </w:rPr>
      </w:pPr>
      <w:r>
        <w:rPr>
          <w:b/>
          <w:bCs/>
        </w:rPr>
        <w:t>AN ORDINANCE AMENDING CHAPTER 16 OF TITLE 10 OF THE MOUNT PLEASANT MUNICIPAL CODE TO ESTABLISH A MEDIUM-HIGH DENSITY RESIDENTIAL OVERLAY ZONE.</w:t>
      </w:r>
    </w:p>
    <w:p w14:paraId="1634584F" w14:textId="77777777" w:rsidR="00D56801" w:rsidRDefault="00D56801" w:rsidP="00A91128">
      <w:pPr>
        <w:shd w:val="clear" w:color="auto" w:fill="FFFFFF" w:themeFill="background1"/>
        <w:ind w:firstLine="720"/>
        <w:rPr>
          <w:b/>
          <w:bCs/>
        </w:rPr>
      </w:pPr>
    </w:p>
    <w:p w14:paraId="712C7CC7" w14:textId="77777777" w:rsidR="00D56801" w:rsidRPr="00477E08" w:rsidRDefault="00D56801" w:rsidP="00A91128">
      <w:pPr>
        <w:shd w:val="clear" w:color="auto" w:fill="FFFFFF" w:themeFill="background1"/>
        <w:jc w:val="center"/>
        <w:rPr>
          <w:b/>
          <w:bCs/>
          <w:u w:val="single"/>
        </w:rPr>
      </w:pPr>
      <w:r>
        <w:rPr>
          <w:b/>
          <w:bCs/>
          <w:u w:val="single"/>
        </w:rPr>
        <w:t>RECITALS</w:t>
      </w:r>
    </w:p>
    <w:p w14:paraId="52BBD355" w14:textId="77777777" w:rsidR="00D56801" w:rsidRPr="002D011B" w:rsidRDefault="00D56801" w:rsidP="00A91128">
      <w:pPr>
        <w:shd w:val="clear" w:color="auto" w:fill="FFFFFF" w:themeFill="background1"/>
        <w:spacing w:before="120"/>
        <w:ind w:firstLine="720"/>
        <w:rPr>
          <w:rFonts w:eastAsia="Times New Roman" w:cs="Segoe UI Light"/>
        </w:rPr>
      </w:pPr>
      <w:r>
        <w:rPr>
          <w:rFonts w:eastAsia="Times New Roman" w:cs="Segoe UI Light"/>
          <w:b/>
          <w:bCs/>
        </w:rPr>
        <w:t>WHEREAS,</w:t>
      </w:r>
      <w:r>
        <w:rPr>
          <w:rFonts w:eastAsia="Times New Roman" w:cs="Segoe UI Light"/>
        </w:rPr>
        <w:t xml:space="preserve"> pursuant to Utah Code Ann. § 10-1-201 Mount Pleasant City (“the </w:t>
      </w:r>
      <w:proofErr w:type="gramStart"/>
      <w:r>
        <w:rPr>
          <w:rFonts w:eastAsia="Times New Roman" w:cs="Segoe UI Light"/>
        </w:rPr>
        <w:t>City</w:t>
      </w:r>
      <w:proofErr w:type="gramEnd"/>
      <w:r>
        <w:rPr>
          <w:rFonts w:eastAsia="Times New Roman" w:cs="Segoe UI Light"/>
        </w:rPr>
        <w:t>”) is a Utah municipal corporation and political subdivision of the State of Utah;</w:t>
      </w:r>
    </w:p>
    <w:p w14:paraId="0AA7333B" w14:textId="77777777" w:rsidR="00D56801" w:rsidRPr="002D011B" w:rsidRDefault="00D56801" w:rsidP="00A91128">
      <w:pPr>
        <w:shd w:val="clear" w:color="auto" w:fill="FFFFFF" w:themeFill="background1"/>
        <w:spacing w:before="120"/>
        <w:ind w:firstLine="720"/>
        <w:rPr>
          <w:rFonts w:eastAsia="Times New Roman" w:cs="Segoe UI Light"/>
        </w:rPr>
      </w:pPr>
      <w:r>
        <w:rPr>
          <w:rFonts w:eastAsia="Times New Roman" w:cs="Segoe UI Light"/>
          <w:b/>
          <w:bCs/>
        </w:rPr>
        <w:t>WHEREAS,</w:t>
      </w:r>
      <w:r>
        <w:rPr>
          <w:rFonts w:eastAsia="Times New Roman" w:cs="Segoe UI Light"/>
        </w:rPr>
        <w:t xml:space="preserve"> pursuant to Utah Code Ann. § 10-3b-401 the Mount Pleasant City Council (“the City Council”) is the legislative and governing body of the </w:t>
      </w:r>
      <w:proofErr w:type="gramStart"/>
      <w:r>
        <w:rPr>
          <w:rFonts w:eastAsia="Times New Roman" w:cs="Segoe UI Light"/>
        </w:rPr>
        <w:t>City</w:t>
      </w:r>
      <w:proofErr w:type="gramEnd"/>
      <w:r>
        <w:rPr>
          <w:rFonts w:eastAsia="Times New Roman" w:cs="Segoe UI Light"/>
        </w:rPr>
        <w:t>;</w:t>
      </w:r>
    </w:p>
    <w:p w14:paraId="4B651F9F" w14:textId="77777777" w:rsidR="00FF1C40" w:rsidRPr="00DA2619" w:rsidRDefault="00D56801" w:rsidP="00DA2619">
      <w:pPr>
        <w:shd w:val="clear" w:color="auto" w:fill="FFFFFF" w:themeFill="background1"/>
        <w:spacing w:before="120"/>
        <w:ind w:firstLine="720"/>
        <w:rPr>
          <w:rFonts w:eastAsia="Times New Roman" w:cs="Segoe UI Light"/>
        </w:rPr>
      </w:pPr>
      <w:r>
        <w:rPr>
          <w:rFonts w:eastAsia="Times New Roman" w:cs="Segoe UI Light"/>
          <w:b/>
          <w:bCs/>
        </w:rPr>
        <w:t>WHEREAS,</w:t>
      </w:r>
      <w:r>
        <w:rPr>
          <w:rFonts w:eastAsia="Times New Roman" w:cs="Segoe UI Light"/>
        </w:rPr>
        <w:t xml:space="preserve"> pursuant to Utah Code Ann. § 10-9a-103(31)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person;</w:t>
      </w:r>
    </w:p>
    <w:p w14:paraId="017AF1A7" w14:textId="77777777" w:rsidR="006B49F1" w:rsidRPr="00DA0FFC" w:rsidRDefault="00C10F66" w:rsidP="00A91128">
      <w:pPr>
        <w:pStyle w:val="SCD1"/>
        <w:shd w:val="clear" w:color="auto" w:fill="FFFFFF" w:themeFill="background1"/>
      </w:pPr>
      <w:bookmarkStart w:id="0" w:name="_Toc201741914"/>
      <w:r>
        <w:t>10.16.040</w:t>
      </w:r>
      <w:r>
        <w:tab/>
        <w:t>MEDIUM-HIGH DENSITY RESIDENTIAL OVERLAY ZONE</w:t>
      </w:r>
      <w:bookmarkEnd w:id="0"/>
      <w:r>
        <w:t xml:space="preserve"> (MHDR)</w:t>
      </w:r>
    </w:p>
    <w:p w14:paraId="649553CE" w14:textId="77777777" w:rsidR="00B6468B" w:rsidRDefault="00B6468B" w:rsidP="00A91128">
      <w:pPr>
        <w:pStyle w:val="TOC1"/>
        <w:shd w:val="clear" w:color="auto" w:fill="FFFFFF" w:themeFill="background1"/>
        <w:tabs>
          <w:tab w:val="left" w:pos="1200"/>
          <w:tab w:val="right" w:pos="9350"/>
        </w:tabs>
        <w:rPr>
          <w:rFonts w:asciiTheme="minorHAnsi" w:eastAsiaTheme="minorEastAsia" w:hAnsiTheme="minorHAnsi" w:cstheme="minorBidi"/>
          <w:noProof/>
        </w:rPr>
      </w:pPr>
      <w:r>
        <w:fldChar w:fldCharType="begin"/>
      </w:r>
      <w:r>
        <w:instrText xml:space="preserve"> TOC \o "1-3" \n \h \z \u </w:instrText>
      </w:r>
      <w:r>
        <w:fldChar w:fldCharType="separate"/>
      </w:r>
      <w:hyperlink w:anchor="_Toc201741914" w:history="1"/>
    </w:p>
    <w:p w14:paraId="4FBCF242"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15" w:history="1">
        <w:r>
          <w:rPr>
            <w:rStyle w:val="Hyperlink"/>
            <w:noProof/>
          </w:rPr>
          <w:t>10.16.040.1</w:t>
        </w:r>
        <w:r>
          <w:rPr>
            <w:rFonts w:asciiTheme="minorHAnsi" w:eastAsiaTheme="minorEastAsia" w:hAnsiTheme="minorHAnsi" w:cstheme="minorBidi"/>
            <w:noProof/>
          </w:rPr>
          <w:tab/>
        </w:r>
        <w:r>
          <w:rPr>
            <w:rStyle w:val="Hyperlink"/>
            <w:noProof/>
          </w:rPr>
          <w:t xml:space="preserve"> PURPOSE</w:t>
        </w:r>
      </w:hyperlink>
    </w:p>
    <w:p w14:paraId="1EA6ACEA"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16" w:history="1">
        <w:r>
          <w:rPr>
            <w:rStyle w:val="Hyperlink"/>
            <w:noProof/>
          </w:rPr>
          <w:t>10.16.040.2</w:t>
        </w:r>
        <w:r>
          <w:rPr>
            <w:rFonts w:asciiTheme="minorHAnsi" w:eastAsiaTheme="minorEastAsia" w:hAnsiTheme="minorHAnsi" w:cstheme="minorBidi"/>
            <w:noProof/>
          </w:rPr>
          <w:tab/>
        </w:r>
        <w:r>
          <w:rPr>
            <w:rStyle w:val="Hyperlink"/>
            <w:noProof/>
          </w:rPr>
          <w:t>SCOPE</w:t>
        </w:r>
      </w:hyperlink>
    </w:p>
    <w:p w14:paraId="7B4445CD"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17" w:history="1">
        <w:r>
          <w:rPr>
            <w:rStyle w:val="Hyperlink"/>
            <w:noProof/>
          </w:rPr>
          <w:t>10.16.040.3</w:t>
        </w:r>
        <w:r>
          <w:rPr>
            <w:rFonts w:asciiTheme="minorHAnsi" w:eastAsiaTheme="minorEastAsia" w:hAnsiTheme="minorHAnsi" w:cstheme="minorBidi"/>
            <w:noProof/>
          </w:rPr>
          <w:tab/>
        </w:r>
        <w:r>
          <w:rPr>
            <w:rStyle w:val="Hyperlink"/>
            <w:noProof/>
          </w:rPr>
          <w:t>USE IN COMBINATION WITH UNDERLYING ZONE</w:t>
        </w:r>
      </w:hyperlink>
    </w:p>
    <w:p w14:paraId="0536BD8A"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18" w:history="1">
        <w:r>
          <w:rPr>
            <w:rStyle w:val="Hyperlink"/>
            <w:noProof/>
          </w:rPr>
          <w:t>10.16.040.4</w:t>
        </w:r>
        <w:r>
          <w:rPr>
            <w:rFonts w:asciiTheme="minorHAnsi" w:eastAsiaTheme="minorEastAsia" w:hAnsiTheme="minorHAnsi" w:cstheme="minorBidi"/>
            <w:noProof/>
          </w:rPr>
          <w:tab/>
        </w:r>
        <w:r>
          <w:rPr>
            <w:rStyle w:val="Hyperlink"/>
            <w:noProof/>
          </w:rPr>
          <w:t>OVERLAY AREA AND DENSITY</w:t>
        </w:r>
      </w:hyperlink>
    </w:p>
    <w:p w14:paraId="2012188C"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19" w:history="1">
        <w:r>
          <w:rPr>
            <w:rStyle w:val="Hyperlink"/>
            <w:noProof/>
          </w:rPr>
          <w:t>10.16.040.5</w:t>
        </w:r>
        <w:r>
          <w:rPr>
            <w:rFonts w:asciiTheme="minorHAnsi" w:eastAsiaTheme="minorEastAsia" w:hAnsiTheme="minorHAnsi" w:cstheme="minorBidi"/>
            <w:noProof/>
          </w:rPr>
          <w:tab/>
        </w:r>
        <w:r>
          <w:rPr>
            <w:rStyle w:val="Hyperlink"/>
            <w:noProof/>
          </w:rPr>
          <w:t>MODIFICATION OF USES</w:t>
        </w:r>
      </w:hyperlink>
    </w:p>
    <w:p w14:paraId="71447C49"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20" w:history="1">
        <w:r>
          <w:rPr>
            <w:rStyle w:val="Hyperlink"/>
            <w:noProof/>
          </w:rPr>
          <w:t>10.16.040.6</w:t>
        </w:r>
        <w:r>
          <w:rPr>
            <w:rFonts w:asciiTheme="minorHAnsi" w:eastAsiaTheme="minorEastAsia" w:hAnsiTheme="minorHAnsi" w:cstheme="minorBidi"/>
            <w:noProof/>
          </w:rPr>
          <w:tab/>
        </w:r>
        <w:r>
          <w:rPr>
            <w:rStyle w:val="Hyperlink"/>
            <w:noProof/>
          </w:rPr>
          <w:t>ADDITIONAL USES:</w:t>
        </w:r>
      </w:hyperlink>
    </w:p>
    <w:p w14:paraId="6B60FD05"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21" w:history="1">
        <w:r>
          <w:rPr>
            <w:rStyle w:val="Hyperlink"/>
            <w:noProof/>
          </w:rPr>
          <w:t>10.16.040.7</w:t>
        </w:r>
        <w:r>
          <w:rPr>
            <w:rFonts w:asciiTheme="minorHAnsi" w:eastAsiaTheme="minorEastAsia" w:hAnsiTheme="minorHAnsi" w:cstheme="minorBidi"/>
            <w:noProof/>
          </w:rPr>
          <w:tab/>
        </w:r>
        <w:r>
          <w:rPr>
            <w:rStyle w:val="Hyperlink"/>
            <w:noProof/>
          </w:rPr>
          <w:t>PHYSICAL RESTRICTIONS:</w:t>
        </w:r>
      </w:hyperlink>
    </w:p>
    <w:p w14:paraId="02D79671"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22" w:history="1">
        <w:r>
          <w:rPr>
            <w:rStyle w:val="Hyperlink"/>
            <w:noProof/>
          </w:rPr>
          <w:t>10.16.040.8</w:t>
        </w:r>
        <w:r>
          <w:rPr>
            <w:rFonts w:asciiTheme="minorHAnsi" w:eastAsiaTheme="minorEastAsia" w:hAnsiTheme="minorHAnsi" w:cstheme="minorBidi"/>
            <w:noProof/>
          </w:rPr>
          <w:tab/>
        </w:r>
        <w:r>
          <w:rPr>
            <w:rStyle w:val="Hyperlink"/>
            <w:noProof/>
          </w:rPr>
          <w:t>APPLICATION REQUIREMENTS</w:t>
        </w:r>
      </w:hyperlink>
    </w:p>
    <w:p w14:paraId="23B316A3"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23" w:history="1">
        <w:r>
          <w:rPr>
            <w:rStyle w:val="Hyperlink"/>
            <w:noProof/>
          </w:rPr>
          <w:t>10.16.040.9</w:t>
        </w:r>
        <w:r>
          <w:rPr>
            <w:rFonts w:asciiTheme="minorHAnsi" w:eastAsiaTheme="minorEastAsia" w:hAnsiTheme="minorHAnsi" w:cstheme="minorBidi"/>
            <w:noProof/>
          </w:rPr>
          <w:tab/>
        </w:r>
        <w:r>
          <w:rPr>
            <w:rStyle w:val="Hyperlink"/>
            <w:noProof/>
          </w:rPr>
          <w:t>STAFF REVIEW</w:t>
        </w:r>
      </w:hyperlink>
    </w:p>
    <w:p w14:paraId="28783DCA"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24" w:history="1">
        <w:r>
          <w:rPr>
            <w:rStyle w:val="Hyperlink"/>
            <w:noProof/>
          </w:rPr>
          <w:t>10.16.040.10</w:t>
        </w:r>
        <w:r>
          <w:rPr>
            <w:rFonts w:asciiTheme="minorHAnsi" w:eastAsiaTheme="minorEastAsia" w:hAnsiTheme="minorHAnsi" w:cstheme="minorBidi"/>
            <w:noProof/>
          </w:rPr>
          <w:tab/>
        </w:r>
        <w:r>
          <w:rPr>
            <w:rStyle w:val="Hyperlink"/>
            <w:noProof/>
          </w:rPr>
          <w:t>PLANNING COMMISSION REVIEW</w:t>
        </w:r>
      </w:hyperlink>
    </w:p>
    <w:p w14:paraId="27E73F4F"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25" w:history="1">
        <w:r>
          <w:rPr>
            <w:rStyle w:val="Hyperlink"/>
            <w:noProof/>
          </w:rPr>
          <w:t>10.16040.11</w:t>
        </w:r>
        <w:r>
          <w:rPr>
            <w:rFonts w:asciiTheme="minorHAnsi" w:eastAsiaTheme="minorEastAsia" w:hAnsiTheme="minorHAnsi" w:cstheme="minorBidi"/>
            <w:noProof/>
          </w:rPr>
          <w:tab/>
        </w:r>
        <w:r>
          <w:rPr>
            <w:rStyle w:val="Hyperlink"/>
            <w:noProof/>
          </w:rPr>
          <w:t>CITY COUNCIL REVIEW</w:t>
        </w:r>
      </w:hyperlink>
    </w:p>
    <w:p w14:paraId="6D7473C4"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26" w:history="1">
        <w:r>
          <w:rPr>
            <w:rStyle w:val="Hyperlink"/>
            <w:noProof/>
          </w:rPr>
          <w:t>10.16.040.12</w:t>
        </w:r>
        <w:r>
          <w:rPr>
            <w:rFonts w:asciiTheme="minorHAnsi" w:eastAsiaTheme="minorEastAsia" w:hAnsiTheme="minorHAnsi" w:cstheme="minorBidi"/>
            <w:noProof/>
          </w:rPr>
          <w:tab/>
        </w:r>
        <w:r>
          <w:rPr>
            <w:rStyle w:val="Hyperlink"/>
            <w:noProof/>
          </w:rPr>
          <w:t>DEVELOPMENT AGREEMENT</w:t>
        </w:r>
      </w:hyperlink>
    </w:p>
    <w:p w14:paraId="278A1DA4" w14:textId="77777777" w:rsidR="00B6468B" w:rsidRDefault="00B6468B" w:rsidP="00A91128">
      <w:pPr>
        <w:pStyle w:val="TOC2"/>
        <w:shd w:val="clear" w:color="auto" w:fill="FFFFFF" w:themeFill="background1"/>
        <w:tabs>
          <w:tab w:val="left" w:pos="1680"/>
          <w:tab w:val="right" w:pos="9350"/>
        </w:tabs>
        <w:rPr>
          <w:rFonts w:asciiTheme="minorHAnsi" w:eastAsiaTheme="minorEastAsia" w:hAnsiTheme="minorHAnsi" w:cstheme="minorBidi"/>
          <w:noProof/>
        </w:rPr>
      </w:pPr>
      <w:hyperlink w:anchor="_Toc201741927" w:history="1">
        <w:r>
          <w:rPr>
            <w:rStyle w:val="Hyperlink"/>
            <w:noProof/>
          </w:rPr>
          <w:t>10.16.040.13</w:t>
        </w:r>
        <w:r>
          <w:rPr>
            <w:rFonts w:asciiTheme="minorHAnsi" w:eastAsiaTheme="minorEastAsia" w:hAnsiTheme="minorHAnsi" w:cstheme="minorBidi"/>
            <w:noProof/>
          </w:rPr>
          <w:tab/>
        </w:r>
        <w:r>
          <w:rPr>
            <w:rStyle w:val="Hyperlink"/>
            <w:noProof/>
          </w:rPr>
          <w:t>SUBDIVISION AND SITE PLAN REQUIREMENTS</w:t>
        </w:r>
      </w:hyperlink>
    </w:p>
    <w:p w14:paraId="789FE4BB" w14:textId="77777777" w:rsidR="006B49F1" w:rsidRDefault="00B6468B" w:rsidP="00A91128">
      <w:pPr>
        <w:shd w:val="clear" w:color="auto" w:fill="FFFFFF" w:themeFill="background1"/>
      </w:pPr>
      <w:r>
        <w:lastRenderedPageBreak/>
        <w:fldChar w:fldCharType="end"/>
      </w:r>
    </w:p>
    <w:p w14:paraId="2916D711" w14:textId="77777777" w:rsidR="006B49F1" w:rsidRDefault="00C10F66" w:rsidP="00A91128">
      <w:pPr>
        <w:pStyle w:val="SCD2"/>
        <w:shd w:val="clear" w:color="auto" w:fill="FFFFFF" w:themeFill="background1"/>
      </w:pPr>
      <w:bookmarkStart w:id="1" w:name="_Toc201741915"/>
      <w:r>
        <w:t>10.16.040.1</w:t>
      </w:r>
      <w:r>
        <w:tab/>
      </w:r>
      <w:r>
        <w:tab/>
        <w:t>PURPOSE</w:t>
      </w:r>
      <w:bookmarkEnd w:id="1"/>
    </w:p>
    <w:p w14:paraId="6C4567D6" w14:textId="77777777" w:rsidR="00694F62" w:rsidRDefault="00694F62" w:rsidP="00A91128">
      <w:pPr>
        <w:shd w:val="clear" w:color="auto" w:fill="FFFFFF" w:themeFill="background1"/>
      </w:pPr>
      <w:r>
        <w:t>The Medium-High</w:t>
      </w:r>
      <w:r>
        <w:rPr>
          <w:i/>
          <w:iCs/>
        </w:rPr>
        <w:t xml:space="preserve"> </w:t>
      </w:r>
      <w:r>
        <w:t>Density Residential Overlay Zone is established to encourage the development of a variety of housing types at moderately high densities in appropriate locations within the community. The purpose of this overlay is to expand housing options, support efficient land use, and promote livable neighborhoods while maintaining compatibility with existing development patterns. This overlay is intended to:</w:t>
      </w:r>
    </w:p>
    <w:p w14:paraId="3DAD7394" w14:textId="77777777" w:rsidR="005D68BB" w:rsidRDefault="00A11062" w:rsidP="00A91128">
      <w:pPr>
        <w:pStyle w:val="ListParagraph"/>
        <w:numPr>
          <w:ilvl w:val="0"/>
          <w:numId w:val="5"/>
        </w:numPr>
        <w:shd w:val="clear" w:color="auto" w:fill="FFFFFF" w:themeFill="background1"/>
      </w:pPr>
      <w:r>
        <w:t>Encourage infill development and redevelopment on underutilized parcels with adequate infrastructure.</w:t>
      </w:r>
    </w:p>
    <w:p w14:paraId="4237D1E7" w14:textId="77777777" w:rsidR="00A11062" w:rsidRDefault="00A11062" w:rsidP="00A91128">
      <w:pPr>
        <w:pStyle w:val="ListParagraph"/>
        <w:numPr>
          <w:ilvl w:val="0"/>
          <w:numId w:val="5"/>
        </w:numPr>
        <w:shd w:val="clear" w:color="auto" w:fill="FFFFFF" w:themeFill="background1"/>
      </w:pPr>
      <w:r>
        <w:t>Support the availability of diverse housing choices, including single-family dwellings, townhomes, multiplexes, and small-scale multi-family.</w:t>
      </w:r>
    </w:p>
    <w:p w14:paraId="727C5C4A" w14:textId="77777777" w:rsidR="001D2AD0" w:rsidRDefault="00A11062" w:rsidP="00A91128">
      <w:pPr>
        <w:pStyle w:val="ListParagraph"/>
        <w:numPr>
          <w:ilvl w:val="0"/>
          <w:numId w:val="5"/>
        </w:numPr>
        <w:shd w:val="clear" w:color="auto" w:fill="FFFFFF" w:themeFill="background1"/>
      </w:pPr>
      <w:r>
        <w:t>Ensure new development complements the character of surrounding neighborhoods through site design, building scale, and landscaping.</w:t>
      </w:r>
    </w:p>
    <w:p w14:paraId="27ED66C4" w14:textId="77777777" w:rsidR="00AC58D9" w:rsidRDefault="00AC58D9" w:rsidP="00A91128">
      <w:pPr>
        <w:shd w:val="clear" w:color="auto" w:fill="FFFFFF" w:themeFill="background1"/>
      </w:pPr>
    </w:p>
    <w:p w14:paraId="598C259F" w14:textId="77777777" w:rsidR="00AC58D9" w:rsidRDefault="00C10F66" w:rsidP="00A91128">
      <w:pPr>
        <w:pStyle w:val="SCD2"/>
        <w:shd w:val="clear" w:color="auto" w:fill="FFFFFF" w:themeFill="background1"/>
      </w:pPr>
      <w:bookmarkStart w:id="2" w:name="_Toc201741916"/>
      <w:r>
        <w:t>10.16.040.2</w:t>
      </w:r>
      <w:r>
        <w:tab/>
        <w:t>SCOPE</w:t>
      </w:r>
      <w:bookmarkEnd w:id="2"/>
    </w:p>
    <w:p w14:paraId="708C3C58" w14:textId="77777777" w:rsidR="00AC58D9" w:rsidRDefault="00AC58D9" w:rsidP="00A91128">
      <w:pPr>
        <w:shd w:val="clear" w:color="auto" w:fill="FFFFFF" w:themeFill="background1"/>
      </w:pPr>
      <w:r>
        <w:t>The requirements of this section shall apply to any Medium-High Density Residential Overlay within the City. Such requirements shall not be construed to prohibit or limit other applicable provisions of this Title, this Code, or other laws, except to the extent the requirements of this section alter such provisions.</w:t>
      </w:r>
    </w:p>
    <w:p w14:paraId="4EF3F846" w14:textId="77777777" w:rsidR="00A611B7" w:rsidRDefault="00A611B7" w:rsidP="00A91128">
      <w:pPr>
        <w:shd w:val="clear" w:color="auto" w:fill="FFFFFF" w:themeFill="background1"/>
      </w:pPr>
    </w:p>
    <w:p w14:paraId="00887C76" w14:textId="77777777" w:rsidR="00A611B7" w:rsidRDefault="00C10F66" w:rsidP="00A91128">
      <w:pPr>
        <w:pStyle w:val="SCD2"/>
        <w:shd w:val="clear" w:color="auto" w:fill="FFFFFF" w:themeFill="background1"/>
      </w:pPr>
      <w:bookmarkStart w:id="3" w:name="_Toc201741917"/>
      <w:r>
        <w:t>10.16.040.3</w:t>
      </w:r>
      <w:r>
        <w:tab/>
        <w:t>USE IN COMBINATION WITH UNDERLYING ZONE</w:t>
      </w:r>
      <w:bookmarkEnd w:id="3"/>
    </w:p>
    <w:p w14:paraId="0F1B64FB" w14:textId="77777777" w:rsidR="00A611B7" w:rsidRDefault="00A611B7" w:rsidP="00A91128">
      <w:pPr>
        <w:shd w:val="clear" w:color="auto" w:fill="FFFFFF" w:themeFill="background1"/>
      </w:pPr>
      <w:r>
        <w:t>The Medium-High Density Residential Overlay may be used in combination with the R-S or R-A zone, subject to the requirements of this section.</w:t>
      </w:r>
    </w:p>
    <w:p w14:paraId="28FDA7CF" w14:textId="77777777" w:rsidR="00CE761D" w:rsidRDefault="00F8604F" w:rsidP="00A91128">
      <w:pPr>
        <w:pStyle w:val="ListParagraph"/>
        <w:numPr>
          <w:ilvl w:val="0"/>
          <w:numId w:val="6"/>
        </w:numPr>
        <w:shd w:val="clear" w:color="auto" w:fill="FFFFFF" w:themeFill="background1"/>
      </w:pPr>
      <w:r>
        <w:t>Provisions Supplementary: The provisions of the Medium-High Density Residential Overlay shall be supplementary to the provisions of the zone with which it is combined and shall not be applied to any land area as an independent zone.</w:t>
      </w:r>
    </w:p>
    <w:p w14:paraId="261B7F23" w14:textId="77777777" w:rsidR="00F8604F" w:rsidRDefault="00F8604F" w:rsidP="00A91128">
      <w:pPr>
        <w:pStyle w:val="ListParagraph"/>
        <w:numPr>
          <w:ilvl w:val="0"/>
          <w:numId w:val="6"/>
        </w:numPr>
        <w:shd w:val="clear" w:color="auto" w:fill="FFFFFF" w:themeFill="background1"/>
      </w:pPr>
      <w:r>
        <w:t>Zone Designation: The MHDR Overlay designation shall be shown on the official zoning map in parentheses as a suffix to the zone designation with which it is combined. For example, if the MHDR Overlay is combined with the R-S Single-Family Residential Zone, it would be designated on the official zoning map as “R-S (MHDR).”</w:t>
      </w:r>
    </w:p>
    <w:p w14:paraId="07E93620" w14:textId="77777777" w:rsidR="00D445CB" w:rsidRDefault="00D445CB" w:rsidP="00A91128">
      <w:pPr>
        <w:shd w:val="clear" w:color="auto" w:fill="FFFFFF" w:themeFill="background1"/>
      </w:pPr>
    </w:p>
    <w:p w14:paraId="18CE21A3" w14:textId="77777777" w:rsidR="00D445CB" w:rsidRDefault="00C10F66" w:rsidP="00A91128">
      <w:pPr>
        <w:pStyle w:val="SCD2"/>
        <w:shd w:val="clear" w:color="auto" w:fill="FFFFFF" w:themeFill="background1"/>
      </w:pPr>
      <w:bookmarkStart w:id="4" w:name="_Toc201741918"/>
      <w:r>
        <w:t>10.16.040.4</w:t>
      </w:r>
      <w:r>
        <w:tab/>
        <w:t>OVERLAY AREA AND DENSITY</w:t>
      </w:r>
      <w:bookmarkEnd w:id="4"/>
    </w:p>
    <w:p w14:paraId="36ED284B" w14:textId="77777777" w:rsidR="00F63EC0" w:rsidRPr="006D3AB3" w:rsidRDefault="00802AB3" w:rsidP="00A91128">
      <w:pPr>
        <w:pStyle w:val="ListParagraph"/>
        <w:numPr>
          <w:ilvl w:val="0"/>
          <w:numId w:val="14"/>
        </w:numPr>
        <w:shd w:val="clear" w:color="auto" w:fill="FFFFFF" w:themeFill="background1"/>
      </w:pPr>
      <w:r>
        <w:t xml:space="preserve">Minimum Area: The MHDR shall require a minimum contiguous land area of </w:t>
      </w:r>
      <w:r w:rsidRPr="006D3AB3">
        <w:t xml:space="preserve">one and one-half (1.5) acres. For the purposes of meeting the minimum area requirement, all parcels shall be contiguous and under common ownership or control at the time of </w:t>
      </w:r>
      <w:r w:rsidRPr="006D3AB3">
        <w:lastRenderedPageBreak/>
        <w:t>application. The minimum area requirement shall not be satisfied through phased, segmented, or sequential applications intended to circumvent this standard.</w:t>
      </w:r>
    </w:p>
    <w:p w14:paraId="432F9EAC" w14:textId="77777777" w:rsidR="000546C6" w:rsidRDefault="003E67A3" w:rsidP="00A91128">
      <w:pPr>
        <w:pStyle w:val="ListParagraph"/>
        <w:numPr>
          <w:ilvl w:val="0"/>
          <w:numId w:val="14"/>
        </w:numPr>
        <w:shd w:val="clear" w:color="auto" w:fill="FFFFFF" w:themeFill="background1"/>
      </w:pPr>
      <w:r>
        <w:t>Maximum Overlay Area: The MHDR Overlay shall not apply to an area of five (5) or more contiguous acres.</w:t>
      </w:r>
    </w:p>
    <w:p w14:paraId="14E71157" w14:textId="77777777" w:rsidR="00290BD7" w:rsidRDefault="00290BD7" w:rsidP="00A91128">
      <w:pPr>
        <w:pStyle w:val="ListParagraph"/>
        <w:numPr>
          <w:ilvl w:val="0"/>
          <w:numId w:val="14"/>
        </w:numPr>
        <w:shd w:val="clear" w:color="auto" w:fill="FFFFFF" w:themeFill="background1"/>
      </w:pPr>
      <w:r>
        <w:t xml:space="preserve">Contiguous Property Under Common Control: For purposes of this section, all contiguous parcels under common ownership or control, </w:t>
      </w:r>
      <w:proofErr w:type="gramStart"/>
      <w:r>
        <w:t>whether or not</w:t>
      </w:r>
      <w:proofErr w:type="gramEnd"/>
      <w:r>
        <w:t xml:space="preserve"> divided by a street, shall be considered a single parcel when determining compliance with the maximum acreage limitation.</w:t>
      </w:r>
    </w:p>
    <w:p w14:paraId="7F90FCCF" w14:textId="77777777" w:rsidR="00FE1363" w:rsidRDefault="00FE1363" w:rsidP="00A91128">
      <w:pPr>
        <w:pStyle w:val="ListParagraph"/>
        <w:numPr>
          <w:ilvl w:val="0"/>
          <w:numId w:val="14"/>
        </w:numPr>
        <w:shd w:val="clear" w:color="auto" w:fill="FFFFFF" w:themeFill="background1"/>
      </w:pPr>
      <w:r>
        <w:t xml:space="preserve">Lookback Provision: Any MHDR Overlay application submitted within five (5) years of a prior MHDR Overlay approval for property under common ownership or </w:t>
      </w:r>
      <w:proofErr w:type="gramStart"/>
      <w:r>
        <w:t>control, and</w:t>
      </w:r>
      <w:proofErr w:type="gramEnd"/>
      <w:r>
        <w:t xml:space="preserve"> located within one thousand feet (1.000’) of such property, shall be considered part of the same overlay area for purposes of calculating the maximum acreage.</w:t>
      </w:r>
    </w:p>
    <w:p w14:paraId="783F98F7" w14:textId="77777777" w:rsidR="00F0576B" w:rsidRDefault="00550624" w:rsidP="00A91128">
      <w:pPr>
        <w:pStyle w:val="ListParagraph"/>
        <w:numPr>
          <w:ilvl w:val="0"/>
          <w:numId w:val="14"/>
        </w:numPr>
        <w:shd w:val="clear" w:color="auto" w:fill="FFFFFF" w:themeFill="background1"/>
      </w:pPr>
      <w:r>
        <w:t>Intent: The acreage limitation in this section is intended to ensure that the MHDR Overlay functions as an infill and transitional zoning tool and is not applied to large-scale development areas more appropriately reviewed under the Planned Unit Development Overlay Zone.</w:t>
      </w:r>
    </w:p>
    <w:p w14:paraId="3ADC4107" w14:textId="77777777" w:rsidR="004A5A6F" w:rsidRPr="004A5A6F" w:rsidRDefault="004A5A6F" w:rsidP="004A5A6F">
      <w:pPr>
        <w:spacing w:before="100" w:beforeAutospacing="1" w:after="100" w:afterAutospacing="1"/>
        <w:rPr>
          <w:rFonts w:ascii="Times New Roman" w:eastAsia="Times New Roman" w:hAnsi="Times New Roman" w:cs="Times New Roman"/>
          <w:kern w:val="0"/>
          <w14:ligatures w14:val="none"/>
        </w:rPr>
      </w:pPr>
      <w:r w:rsidRPr="004A5A6F">
        <w:rPr>
          <w:rFonts w:ascii="Times New Roman" w:eastAsia="Times New Roman" w:hAnsi="Times New Roman" w:cs="Times New Roman"/>
          <w:b/>
          <w:bCs/>
          <w:kern w:val="0"/>
          <w14:ligatures w14:val="none"/>
        </w:rPr>
        <w:t>F. Maximum Density:</w:t>
      </w:r>
      <w:r w:rsidRPr="004A5A6F">
        <w:rPr>
          <w:rFonts w:ascii="Times New Roman" w:eastAsia="Times New Roman" w:hAnsi="Times New Roman" w:cs="Times New Roman"/>
          <w:kern w:val="0"/>
          <w14:ligatures w14:val="none"/>
        </w:rPr>
        <w:t xml:space="preserve"> The maximum density within the MHDR Overlay shall not exceed </w:t>
      </w:r>
      <w:r w:rsidRPr="004A5A6F">
        <w:rPr>
          <w:rFonts w:ascii="Times New Roman" w:eastAsia="Times New Roman" w:hAnsi="Times New Roman" w:cs="Times New Roman"/>
          <w:b/>
          <w:bCs/>
          <w:kern w:val="0"/>
          <w14:ligatures w14:val="none"/>
        </w:rPr>
        <w:t>twelve (12) dwelling units per gross acre.</w:t>
      </w:r>
    </w:p>
    <w:p w14:paraId="2EB788C7" w14:textId="77777777" w:rsidR="004A5A6F" w:rsidRPr="000357F2" w:rsidRDefault="004A5A6F" w:rsidP="000357F2">
      <w:pPr>
        <w:shd w:val="clear" w:color="auto" w:fill="FFFFFF" w:themeFill="background1"/>
        <w:rPr>
          <w:color w:val="156082" w:themeColor="accent1"/>
        </w:rPr>
      </w:pPr>
      <w:r w:rsidRPr="004A5A6F">
        <w:rPr>
          <w:rFonts w:ascii="Times New Roman" w:eastAsia="Times New Roman" w:hAnsi="Times New Roman" w:cs="Times New Roman"/>
          <w:b/>
          <w:bCs/>
          <w:color w:val="156082" w:themeColor="accent1"/>
          <w:kern w:val="0"/>
          <w14:ligatures w14:val="none"/>
        </w:rPr>
        <w:t>Cottage Court</w:t>
      </w:r>
      <w:r w:rsidR="000357F2">
        <w:rPr>
          <w:rFonts w:ascii="Times New Roman" w:eastAsia="Times New Roman" w:hAnsi="Times New Roman" w:cs="Times New Roman"/>
          <w:b/>
          <w:bCs/>
          <w:color w:val="156082" w:themeColor="accent1"/>
          <w:kern w:val="0"/>
          <w14:ligatures w14:val="none"/>
        </w:rPr>
        <w:t>,</w:t>
      </w:r>
      <w:r w:rsidRPr="004A5A6F">
        <w:rPr>
          <w:rFonts w:ascii="Times New Roman" w:eastAsia="Times New Roman" w:hAnsi="Times New Roman" w:cs="Times New Roman"/>
          <w:b/>
          <w:bCs/>
          <w:color w:val="156082" w:themeColor="accent1"/>
          <w:kern w:val="0"/>
          <w14:ligatures w14:val="none"/>
        </w:rPr>
        <w:t xml:space="preserve"> Single-Family Attached (Townhome)</w:t>
      </w:r>
      <w:r w:rsidR="000357F2">
        <w:rPr>
          <w:rFonts w:ascii="Times New Roman" w:eastAsia="Times New Roman" w:hAnsi="Times New Roman" w:cs="Times New Roman"/>
          <w:b/>
          <w:bCs/>
          <w:color w:val="156082" w:themeColor="accent1"/>
          <w:kern w:val="0"/>
          <w14:ligatures w14:val="none"/>
        </w:rPr>
        <w:t xml:space="preserve"> and Multi-Family Residential Building</w:t>
      </w:r>
      <w:r w:rsidRPr="004A5A6F">
        <w:rPr>
          <w:rFonts w:ascii="Times New Roman" w:eastAsia="Times New Roman" w:hAnsi="Times New Roman" w:cs="Times New Roman"/>
          <w:b/>
          <w:bCs/>
          <w:color w:val="156082" w:themeColor="accent1"/>
          <w:kern w:val="0"/>
          <w14:ligatures w14:val="none"/>
        </w:rPr>
        <w:t xml:space="preserve"> developments may be approved at a density not to exceed twenty-six (26) dwelling units per gross acre, subject to the review procedures of this Chapter.</w:t>
      </w:r>
    </w:p>
    <w:p w14:paraId="52070EF6" w14:textId="77777777" w:rsidR="004A5A6F" w:rsidRPr="004A5A6F" w:rsidRDefault="004A5A6F" w:rsidP="004A5A6F">
      <w:p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The Planning Commission shall review any request for a density greater than twelve (12) dwelling units per acre and forward a recommendation to the City Council.</w:t>
      </w:r>
    </w:p>
    <w:p w14:paraId="73D5D6F2" w14:textId="77777777" w:rsidR="004A5A6F" w:rsidRPr="004A5A6F" w:rsidRDefault="004A5A6F" w:rsidP="004A5A6F">
      <w:p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In determining whether a density greater than twelve (12) dwelling units per acre is appropriate, the City Council shall consider the Planning Commission's recommendation together with the following factors:</w:t>
      </w:r>
    </w:p>
    <w:p w14:paraId="6DA3EB1C" w14:textId="77777777" w:rsidR="004A5A6F" w:rsidRPr="004A5A6F" w:rsidRDefault="004A5A6F" w:rsidP="004A5A6F">
      <w:pPr>
        <w:numPr>
          <w:ilvl w:val="0"/>
          <w:numId w:val="17"/>
        </w:num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 xml:space="preserve">The proximity of the proposed development to existing detached single-family dwellings; </w:t>
      </w:r>
    </w:p>
    <w:p w14:paraId="447F9246" w14:textId="77777777" w:rsidR="004A5A6F" w:rsidRPr="004A5A6F" w:rsidRDefault="004A5A6F" w:rsidP="004A5A6F">
      <w:pPr>
        <w:numPr>
          <w:ilvl w:val="0"/>
          <w:numId w:val="17"/>
        </w:num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 xml:space="preserve">Existing and planned future land use designations surrounding the site; </w:t>
      </w:r>
    </w:p>
    <w:p w14:paraId="6D1B6011" w14:textId="77777777" w:rsidR="004A5A6F" w:rsidRPr="004A5A6F" w:rsidRDefault="004A5A6F" w:rsidP="004A5A6F">
      <w:pPr>
        <w:numPr>
          <w:ilvl w:val="0"/>
          <w:numId w:val="17"/>
        </w:num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 xml:space="preserve">Natural topographic features or other physical separation between the development and surrounding residential uses; </w:t>
      </w:r>
    </w:p>
    <w:p w14:paraId="4E4167CF" w14:textId="77777777" w:rsidR="004A5A6F" w:rsidRPr="004A5A6F" w:rsidRDefault="004A5A6F" w:rsidP="004A5A6F">
      <w:pPr>
        <w:numPr>
          <w:ilvl w:val="0"/>
          <w:numId w:val="17"/>
        </w:num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 xml:space="preserve">Proposed buffering, landscaping, fencing, open space, and building orientation designed to reduce impacts on adjacent properties; </w:t>
      </w:r>
    </w:p>
    <w:p w14:paraId="3E383EF3" w14:textId="77777777" w:rsidR="004A5A6F" w:rsidRPr="004A5A6F" w:rsidRDefault="004A5A6F" w:rsidP="004A5A6F">
      <w:pPr>
        <w:numPr>
          <w:ilvl w:val="0"/>
          <w:numId w:val="17"/>
        </w:num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 xml:space="preserve">Building height, massing, and overall site design; </w:t>
      </w:r>
    </w:p>
    <w:p w14:paraId="0ED3C673" w14:textId="77777777" w:rsidR="004A5A6F" w:rsidRPr="004A5A6F" w:rsidRDefault="004A5A6F" w:rsidP="004A5A6F">
      <w:pPr>
        <w:numPr>
          <w:ilvl w:val="0"/>
          <w:numId w:val="17"/>
        </w:num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 xml:space="preserve">Traffic generation, access, and circulation; </w:t>
      </w:r>
    </w:p>
    <w:p w14:paraId="6D70D8E8" w14:textId="77777777" w:rsidR="004A5A6F" w:rsidRPr="004A5A6F" w:rsidRDefault="004A5A6F" w:rsidP="004A5A6F">
      <w:pPr>
        <w:numPr>
          <w:ilvl w:val="0"/>
          <w:numId w:val="17"/>
        </w:num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 xml:space="preserve">The availability and capacity of water, sewer, storm drainage, transportation, and other public infrastructure; and </w:t>
      </w:r>
    </w:p>
    <w:p w14:paraId="1D3E1FCA" w14:textId="77777777" w:rsidR="004A5A6F" w:rsidRPr="004A5A6F" w:rsidRDefault="004A5A6F" w:rsidP="004A5A6F">
      <w:pPr>
        <w:numPr>
          <w:ilvl w:val="0"/>
          <w:numId w:val="17"/>
        </w:num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color w:val="156082" w:themeColor="accent1"/>
          <w:kern w:val="0"/>
          <w14:ligatures w14:val="none"/>
        </w:rPr>
        <w:t xml:space="preserve">Whether the proposed development advances the purposes and intent of the Medium-High Density Residential Overlay Zone. </w:t>
      </w:r>
    </w:p>
    <w:p w14:paraId="7356443F" w14:textId="77777777" w:rsidR="004A5A6F" w:rsidRPr="004A5A6F" w:rsidRDefault="004A5A6F" w:rsidP="004A5A6F">
      <w:pPr>
        <w:spacing w:before="100" w:beforeAutospacing="1" w:after="100" w:afterAutospacing="1"/>
        <w:rPr>
          <w:rFonts w:ascii="Times New Roman" w:eastAsia="Times New Roman" w:hAnsi="Times New Roman" w:cs="Times New Roman"/>
          <w:color w:val="156082" w:themeColor="accent1"/>
          <w:kern w:val="0"/>
          <w14:ligatures w14:val="none"/>
        </w:rPr>
      </w:pPr>
      <w:r w:rsidRPr="004A5A6F">
        <w:rPr>
          <w:rFonts w:ascii="Times New Roman" w:eastAsia="Times New Roman" w:hAnsi="Times New Roman" w:cs="Times New Roman"/>
          <w:b/>
          <w:bCs/>
          <w:color w:val="156082" w:themeColor="accent1"/>
          <w:kern w:val="0"/>
          <w14:ligatures w14:val="none"/>
        </w:rPr>
        <w:lastRenderedPageBreak/>
        <w:t>Following receipt of the Planning Commission's recommendation, the City Council may approve a density of up to twenty-six (26) dwelling units per gross acre upon finding that the proposed development is compatible with surrounding land uses, adequately served by public infrastructure, and consistent with the purposes of this Overlay Zone.</w:t>
      </w:r>
    </w:p>
    <w:p w14:paraId="4F852A1C" w14:textId="77777777" w:rsidR="00FF7B98" w:rsidRPr="00694F62" w:rsidRDefault="00FF7B98" w:rsidP="00A91128">
      <w:pPr>
        <w:shd w:val="clear" w:color="auto" w:fill="FFFFFF" w:themeFill="background1"/>
      </w:pPr>
    </w:p>
    <w:p w14:paraId="42AD4C83" w14:textId="77777777" w:rsidR="006B49F1" w:rsidRDefault="0066206B" w:rsidP="00A91128">
      <w:pPr>
        <w:pStyle w:val="SCD2"/>
        <w:shd w:val="clear" w:color="auto" w:fill="FFFFFF" w:themeFill="background1"/>
      </w:pPr>
      <w:bookmarkStart w:id="5" w:name="_Toc201741919"/>
      <w:r>
        <w:t>10.16.040.5</w:t>
      </w:r>
      <w:r>
        <w:tab/>
        <w:t>MODIFICATION OF USES</w:t>
      </w:r>
      <w:bookmarkEnd w:id="5"/>
    </w:p>
    <w:p w14:paraId="0D5D1D5A" w14:textId="77777777" w:rsidR="00406B7F" w:rsidRDefault="00406B7F" w:rsidP="00A91128">
      <w:pPr>
        <w:shd w:val="clear" w:color="auto" w:fill="FFFFFF" w:themeFill="background1"/>
      </w:pPr>
      <w:r>
        <w:t>Within the boundaries of an approved Medium-High Density Overlay Zone, only the following uses from the underlying residential zone shall be allowed. All other uses permitted or conditional in the underlying zone are prohibited unless explicitly listed in this section or in Section 10.16.040.6.</w:t>
      </w:r>
    </w:p>
    <w:p w14:paraId="483BBE6A" w14:textId="77777777" w:rsidR="000C05B3" w:rsidRDefault="00C463CA" w:rsidP="00A91128">
      <w:pPr>
        <w:pStyle w:val="ListParagraph"/>
        <w:numPr>
          <w:ilvl w:val="0"/>
          <w:numId w:val="7"/>
        </w:numPr>
        <w:shd w:val="clear" w:color="auto" w:fill="FFFFFF" w:themeFill="background1"/>
      </w:pPr>
      <w:r>
        <w:t>Permitted Uses:</w:t>
      </w:r>
    </w:p>
    <w:p w14:paraId="3704D59B" w14:textId="77777777" w:rsidR="00C463CA" w:rsidRDefault="00C463CA" w:rsidP="00A91128">
      <w:pPr>
        <w:pStyle w:val="ListParagraph"/>
        <w:numPr>
          <w:ilvl w:val="1"/>
          <w:numId w:val="7"/>
        </w:numPr>
        <w:shd w:val="clear" w:color="auto" w:fill="FFFFFF" w:themeFill="background1"/>
      </w:pPr>
      <w:r>
        <w:t>Single-family dwelling, detached.</w:t>
      </w:r>
    </w:p>
    <w:p w14:paraId="4F8360C4" w14:textId="77777777" w:rsidR="00C463CA" w:rsidRDefault="00C463CA" w:rsidP="00A91128">
      <w:pPr>
        <w:pStyle w:val="ListParagraph"/>
        <w:numPr>
          <w:ilvl w:val="1"/>
          <w:numId w:val="7"/>
        </w:numPr>
        <w:shd w:val="clear" w:color="auto" w:fill="FFFFFF" w:themeFill="background1"/>
      </w:pPr>
      <w:r>
        <w:t>Utilities (line and rights of way only).</w:t>
      </w:r>
    </w:p>
    <w:p w14:paraId="7E2427A6" w14:textId="77777777" w:rsidR="00347FCD" w:rsidRDefault="00347FCD" w:rsidP="00A91128">
      <w:pPr>
        <w:pStyle w:val="ListParagraph"/>
        <w:numPr>
          <w:ilvl w:val="0"/>
          <w:numId w:val="7"/>
        </w:numPr>
        <w:shd w:val="clear" w:color="auto" w:fill="FFFFFF" w:themeFill="background1"/>
      </w:pPr>
      <w:r>
        <w:t>Conditional Uses:</w:t>
      </w:r>
    </w:p>
    <w:p w14:paraId="4C121373" w14:textId="77777777" w:rsidR="00347FCD" w:rsidRDefault="00BE48A0" w:rsidP="00A91128">
      <w:pPr>
        <w:pStyle w:val="ListParagraph"/>
        <w:numPr>
          <w:ilvl w:val="1"/>
          <w:numId w:val="7"/>
        </w:numPr>
        <w:shd w:val="clear" w:color="auto" w:fill="FFFFFF" w:themeFill="background1"/>
      </w:pPr>
      <w:r>
        <w:t>Parks.</w:t>
      </w:r>
    </w:p>
    <w:p w14:paraId="6C80FE43" w14:textId="77777777" w:rsidR="00934304" w:rsidRDefault="00934304" w:rsidP="00A91128">
      <w:pPr>
        <w:pStyle w:val="ListParagraph"/>
        <w:numPr>
          <w:ilvl w:val="1"/>
          <w:numId w:val="7"/>
        </w:numPr>
        <w:shd w:val="clear" w:color="auto" w:fill="FFFFFF" w:themeFill="background1"/>
      </w:pPr>
      <w:r>
        <w:t>Two-family dwellings</w:t>
      </w:r>
    </w:p>
    <w:p w14:paraId="2BA7483A" w14:textId="77777777" w:rsidR="00BE672D" w:rsidRDefault="00934304" w:rsidP="00A91128">
      <w:pPr>
        <w:pStyle w:val="ListParagraph"/>
        <w:numPr>
          <w:ilvl w:val="1"/>
          <w:numId w:val="7"/>
        </w:numPr>
        <w:shd w:val="clear" w:color="auto" w:fill="FFFFFF" w:themeFill="background1"/>
      </w:pPr>
      <w:r>
        <w:t>Utilities (except lines and rights of way).</w:t>
      </w:r>
    </w:p>
    <w:p w14:paraId="4B8AA486" w14:textId="77777777" w:rsidR="00BE672D" w:rsidRDefault="00BE672D" w:rsidP="00A91128">
      <w:pPr>
        <w:shd w:val="clear" w:color="auto" w:fill="FFFFFF" w:themeFill="background1"/>
      </w:pPr>
    </w:p>
    <w:p w14:paraId="20D67F26" w14:textId="77777777" w:rsidR="009A1673" w:rsidRDefault="0066206B" w:rsidP="00A91128">
      <w:pPr>
        <w:pStyle w:val="SCD2"/>
        <w:shd w:val="clear" w:color="auto" w:fill="FFFFFF" w:themeFill="background1"/>
      </w:pPr>
      <w:bookmarkStart w:id="6" w:name="_Toc201741920"/>
      <w:r>
        <w:t>10.16.040.6</w:t>
      </w:r>
      <w:r>
        <w:tab/>
        <w:t>ADDITIONAL USES:</w:t>
      </w:r>
      <w:bookmarkEnd w:id="6"/>
    </w:p>
    <w:p w14:paraId="5FD89FCE" w14:textId="77777777" w:rsidR="009A1673" w:rsidRDefault="009A1673" w:rsidP="00A91128">
      <w:pPr>
        <w:shd w:val="clear" w:color="auto" w:fill="FFFFFF" w:themeFill="background1"/>
      </w:pPr>
      <w:r>
        <w:t>In addition to the modified uses from the underlying zone, the Medium-High Density Residential Overlay Zone shall permit a range of “missing middle” housing types. These include the following:</w:t>
      </w:r>
    </w:p>
    <w:p w14:paraId="14779B39" w14:textId="77777777" w:rsidR="00BF0AF1" w:rsidRDefault="00BF0AF1" w:rsidP="00A91128">
      <w:pPr>
        <w:pStyle w:val="ListParagraph"/>
        <w:numPr>
          <w:ilvl w:val="0"/>
          <w:numId w:val="8"/>
        </w:numPr>
        <w:shd w:val="clear" w:color="auto" w:fill="FFFFFF" w:themeFill="background1"/>
      </w:pPr>
      <w:r>
        <w:t>Duplex: A residential structure containing two separate dwelling units in a side-by-side or stacked arrangement.</w:t>
      </w:r>
    </w:p>
    <w:p w14:paraId="4B8A9713" w14:textId="77777777" w:rsidR="00EA00A3" w:rsidRDefault="009B6D99" w:rsidP="00A91128">
      <w:pPr>
        <w:pStyle w:val="ListParagraph"/>
        <w:numPr>
          <w:ilvl w:val="0"/>
          <w:numId w:val="8"/>
        </w:numPr>
        <w:shd w:val="clear" w:color="auto" w:fill="FFFFFF" w:themeFill="background1"/>
      </w:pPr>
      <w:r>
        <w:t>Triplex/Fourplex: A single building containing three (triplex) or four (fourplex) dwelling units, each with its own entrance and kitchen.</w:t>
      </w:r>
    </w:p>
    <w:p w14:paraId="1ED284AD" w14:textId="77777777" w:rsidR="00EA00A3" w:rsidRDefault="009B6D99" w:rsidP="00A91128">
      <w:pPr>
        <w:pStyle w:val="ListParagraph"/>
        <w:numPr>
          <w:ilvl w:val="0"/>
          <w:numId w:val="8"/>
        </w:numPr>
        <w:shd w:val="clear" w:color="auto" w:fill="FFFFFF" w:themeFill="background1"/>
      </w:pPr>
      <w:r>
        <w:t>Cottage Court: A group of small, detached or semi-detached dwellings arranged around a shared courtyard or green space, typically under common management or on a single parcel.</w:t>
      </w:r>
    </w:p>
    <w:p w14:paraId="0D38B359" w14:textId="77777777" w:rsidR="009B6D99" w:rsidRDefault="009B6D99" w:rsidP="00A91128">
      <w:pPr>
        <w:pStyle w:val="ListParagraph"/>
        <w:numPr>
          <w:ilvl w:val="0"/>
          <w:numId w:val="8"/>
        </w:numPr>
        <w:shd w:val="clear" w:color="auto" w:fill="FFFFFF" w:themeFill="background1"/>
      </w:pPr>
      <w:r>
        <w:t>Single-Family Attached (Townhomes): A single-family dwelling unit sharing one or more common walls with another unit. Each unit is situated on a separate lot and features its own entrance.</w:t>
      </w:r>
    </w:p>
    <w:p w14:paraId="53451048" w14:textId="77777777" w:rsidR="009B6D99" w:rsidRDefault="003C72FB" w:rsidP="00A91128">
      <w:pPr>
        <w:pStyle w:val="ListParagraph"/>
        <w:numPr>
          <w:ilvl w:val="0"/>
          <w:numId w:val="8"/>
        </w:numPr>
        <w:shd w:val="clear" w:color="auto" w:fill="FFFFFF" w:themeFill="background1"/>
      </w:pPr>
      <w:r>
        <w:t>Tiny Home Developments: A development of small footprint homes, typically less than 400-600 square feet, clustered in a compact layout with common amenities.</w:t>
      </w:r>
    </w:p>
    <w:p w14:paraId="1B8E87C7" w14:textId="77777777" w:rsidR="002D3B90" w:rsidRPr="002D3B90" w:rsidRDefault="002D3B90" w:rsidP="00A91128">
      <w:pPr>
        <w:pStyle w:val="ListParagraph"/>
        <w:numPr>
          <w:ilvl w:val="0"/>
          <w:numId w:val="8"/>
        </w:numPr>
        <w:shd w:val="clear" w:color="auto" w:fill="FFFFFF" w:themeFill="background1"/>
        <w:rPr>
          <w:color w:val="156082" w:themeColor="accent1"/>
        </w:rPr>
      </w:pPr>
      <w:r w:rsidRPr="002D3B90">
        <w:rPr>
          <w:color w:val="156082" w:themeColor="accent1"/>
        </w:rPr>
        <w:t>Multi-Family Residential Building</w:t>
      </w:r>
      <w:r w:rsidRPr="002D3B90">
        <w:rPr>
          <w:b/>
          <w:bCs/>
          <w:color w:val="156082" w:themeColor="accent1"/>
        </w:rPr>
        <w:t>:</w:t>
      </w:r>
      <w:r w:rsidRPr="002D3B90">
        <w:rPr>
          <w:color w:val="156082" w:themeColor="accent1"/>
        </w:rPr>
        <w:t xml:space="preserve"> A residential building containing five (5) or more dwelling units under common ownership, condominium ownership, or other approved ownership </w:t>
      </w:r>
      <w:proofErr w:type="gramStart"/>
      <w:r w:rsidRPr="002D3B90">
        <w:rPr>
          <w:color w:val="156082" w:themeColor="accent1"/>
        </w:rPr>
        <w:t>arrangement</w:t>
      </w:r>
      <w:proofErr w:type="gramEnd"/>
      <w:r w:rsidRPr="002D3B90">
        <w:rPr>
          <w:color w:val="156082" w:themeColor="accent1"/>
        </w:rPr>
        <w:t>.</w:t>
      </w:r>
    </w:p>
    <w:p w14:paraId="45FBAD2B" w14:textId="77777777" w:rsidR="00CF2E38" w:rsidRDefault="00CF2E38" w:rsidP="00A91128">
      <w:pPr>
        <w:pStyle w:val="ListParagraph"/>
        <w:numPr>
          <w:ilvl w:val="0"/>
          <w:numId w:val="8"/>
        </w:numPr>
        <w:shd w:val="clear" w:color="auto" w:fill="FFFFFF" w:themeFill="background1"/>
      </w:pPr>
      <w:r>
        <w:lastRenderedPageBreak/>
        <w:t>Prohibited Uses: Mobile homes, manufactured homes built to HUD standards, single-wide or double-wide trailers, recreational vehicles (RVs), or park model trailers shall not be considered “tiny homes” for the purposes of this overlay and are prohibited within the Medium-High Density Residential Overlay Zone.</w:t>
      </w:r>
    </w:p>
    <w:p w14:paraId="632F1639" w14:textId="77777777" w:rsidR="00AC52A8" w:rsidRDefault="00AC52A8" w:rsidP="00A91128">
      <w:pPr>
        <w:shd w:val="clear" w:color="auto" w:fill="FFFFFF" w:themeFill="background1"/>
      </w:pPr>
      <w:r>
        <w:t>Projects may include any combination of the housing types listed in this section, provided all applicable physical standards are met and the overall project complies with Section 10.16.040.4(F), except as modified for Tiny Home Developments in Section 10.16.040.8(A)(3).</w:t>
      </w:r>
    </w:p>
    <w:p w14:paraId="20746D1D" w14:textId="77777777" w:rsidR="006B49F1" w:rsidRDefault="006B49F1" w:rsidP="00A91128">
      <w:pPr>
        <w:shd w:val="clear" w:color="auto" w:fill="FFFFFF" w:themeFill="background1"/>
      </w:pPr>
    </w:p>
    <w:p w14:paraId="2D8AB44C" w14:textId="77777777" w:rsidR="006B49F1" w:rsidRDefault="0066206B" w:rsidP="00A91128">
      <w:pPr>
        <w:pStyle w:val="SCD2"/>
        <w:shd w:val="clear" w:color="auto" w:fill="FFFFFF" w:themeFill="background1"/>
      </w:pPr>
      <w:bookmarkStart w:id="7" w:name="_Toc201741921"/>
      <w:r>
        <w:t>10.16.040.7</w:t>
      </w:r>
      <w:r>
        <w:tab/>
        <w:t>PHYSICAL RESTRICTIONS:</w:t>
      </w:r>
      <w:bookmarkEnd w:id="7"/>
    </w:p>
    <w:tbl>
      <w:tblPr>
        <w:tblStyle w:val="TableGrid"/>
        <w:tblW w:w="0" w:type="auto"/>
        <w:tblLook w:val="04A0" w:firstRow="1" w:lastRow="0" w:firstColumn="1" w:lastColumn="0" w:noHBand="0" w:noVBand="1"/>
      </w:tblPr>
      <w:tblGrid>
        <w:gridCol w:w="1781"/>
        <w:gridCol w:w="1559"/>
        <w:gridCol w:w="1897"/>
        <w:gridCol w:w="1917"/>
        <w:gridCol w:w="1017"/>
        <w:gridCol w:w="1179"/>
      </w:tblGrid>
      <w:tr w:rsidR="00952EE5" w14:paraId="2C39700B" w14:textId="77777777" w:rsidTr="000357F2">
        <w:tc>
          <w:tcPr>
            <w:tcW w:w="0" w:type="auto"/>
          </w:tcPr>
          <w:p w14:paraId="3D339B61" w14:textId="77777777" w:rsidR="00140AD5" w:rsidRPr="00AF614E" w:rsidRDefault="00140AD5" w:rsidP="00A91128">
            <w:pPr>
              <w:shd w:val="clear" w:color="auto" w:fill="FFFFFF" w:themeFill="background1"/>
              <w:rPr>
                <w:b/>
                <w:bCs/>
              </w:rPr>
            </w:pPr>
            <w:r>
              <w:rPr>
                <w:b/>
                <w:bCs/>
              </w:rPr>
              <w:t>Use Type</w:t>
            </w:r>
          </w:p>
        </w:tc>
        <w:tc>
          <w:tcPr>
            <w:tcW w:w="1559" w:type="dxa"/>
          </w:tcPr>
          <w:p w14:paraId="7FDCB4EC" w14:textId="77777777" w:rsidR="00140AD5" w:rsidRPr="00AF614E" w:rsidRDefault="00140AD5" w:rsidP="00A91128">
            <w:pPr>
              <w:shd w:val="clear" w:color="auto" w:fill="FFFFFF" w:themeFill="background1"/>
              <w:rPr>
                <w:b/>
                <w:bCs/>
              </w:rPr>
            </w:pPr>
            <w:r>
              <w:rPr>
                <w:b/>
                <w:bCs/>
              </w:rPr>
              <w:t>Min Lot Area</w:t>
            </w:r>
          </w:p>
        </w:tc>
        <w:tc>
          <w:tcPr>
            <w:tcW w:w="1897" w:type="dxa"/>
          </w:tcPr>
          <w:p w14:paraId="5115B606" w14:textId="77777777" w:rsidR="00140AD5" w:rsidRPr="00AF614E" w:rsidRDefault="00140AD5" w:rsidP="00A91128">
            <w:pPr>
              <w:shd w:val="clear" w:color="auto" w:fill="FFFFFF" w:themeFill="background1"/>
              <w:rPr>
                <w:b/>
                <w:bCs/>
              </w:rPr>
            </w:pPr>
            <w:r>
              <w:rPr>
                <w:b/>
                <w:bCs/>
              </w:rPr>
              <w:t>Min Lot Width</w:t>
            </w:r>
          </w:p>
        </w:tc>
        <w:tc>
          <w:tcPr>
            <w:tcW w:w="1917" w:type="dxa"/>
          </w:tcPr>
          <w:p w14:paraId="48F4DA6C" w14:textId="77777777" w:rsidR="00140AD5" w:rsidRPr="00AF614E" w:rsidRDefault="00140AD5" w:rsidP="00A91128">
            <w:pPr>
              <w:shd w:val="clear" w:color="auto" w:fill="FFFFFF" w:themeFill="background1"/>
              <w:rPr>
                <w:b/>
                <w:bCs/>
              </w:rPr>
            </w:pPr>
            <w:r>
              <w:rPr>
                <w:b/>
                <w:bCs/>
              </w:rPr>
              <w:t>Setbacks (Front/Side/Rear)</w:t>
            </w:r>
          </w:p>
        </w:tc>
        <w:tc>
          <w:tcPr>
            <w:tcW w:w="1017" w:type="dxa"/>
          </w:tcPr>
          <w:p w14:paraId="746C3DB1" w14:textId="77777777" w:rsidR="00140AD5" w:rsidRPr="00AF614E" w:rsidRDefault="00140AD5" w:rsidP="00A91128">
            <w:pPr>
              <w:shd w:val="clear" w:color="auto" w:fill="FFFFFF" w:themeFill="background1"/>
              <w:rPr>
                <w:b/>
                <w:bCs/>
              </w:rPr>
            </w:pPr>
            <w:r>
              <w:rPr>
                <w:b/>
                <w:bCs/>
              </w:rPr>
              <w:t>Max Building Height</w:t>
            </w:r>
          </w:p>
        </w:tc>
        <w:tc>
          <w:tcPr>
            <w:tcW w:w="0" w:type="auto"/>
          </w:tcPr>
          <w:p w14:paraId="7787B50B" w14:textId="77777777" w:rsidR="00140AD5" w:rsidRPr="00AF614E" w:rsidRDefault="00140AD5" w:rsidP="00A91128">
            <w:pPr>
              <w:shd w:val="clear" w:color="auto" w:fill="FFFFFF" w:themeFill="background1"/>
              <w:rPr>
                <w:b/>
                <w:bCs/>
              </w:rPr>
            </w:pPr>
            <w:r>
              <w:rPr>
                <w:b/>
                <w:bCs/>
              </w:rPr>
              <w:t>Max Building Coverage</w:t>
            </w:r>
          </w:p>
        </w:tc>
      </w:tr>
      <w:tr w:rsidR="00952EE5" w14:paraId="66D9AA99" w14:textId="77777777" w:rsidTr="000357F2">
        <w:trPr>
          <w:trHeight w:val="1079"/>
        </w:trPr>
        <w:tc>
          <w:tcPr>
            <w:tcW w:w="0" w:type="auto"/>
          </w:tcPr>
          <w:p w14:paraId="328C1204" w14:textId="77777777" w:rsidR="00140AD5" w:rsidRDefault="00140AD5" w:rsidP="00A91128">
            <w:pPr>
              <w:shd w:val="clear" w:color="auto" w:fill="FFFFFF" w:themeFill="background1"/>
            </w:pPr>
            <w:r>
              <w:t>Single-Family Detached</w:t>
            </w:r>
          </w:p>
        </w:tc>
        <w:tc>
          <w:tcPr>
            <w:tcW w:w="1559" w:type="dxa"/>
          </w:tcPr>
          <w:p w14:paraId="429BE9E3" w14:textId="77777777" w:rsidR="00140AD5" w:rsidRDefault="00A332ED" w:rsidP="00A91128">
            <w:pPr>
              <w:shd w:val="clear" w:color="auto" w:fill="FFFFFF" w:themeFill="background1"/>
            </w:pPr>
            <w:r>
              <w:t>3,500 sq ft per unit</w:t>
            </w:r>
          </w:p>
        </w:tc>
        <w:tc>
          <w:tcPr>
            <w:tcW w:w="1897" w:type="dxa"/>
          </w:tcPr>
          <w:p w14:paraId="72687969" w14:textId="77777777" w:rsidR="00140AD5" w:rsidRDefault="00A332ED" w:rsidP="00A91128">
            <w:pPr>
              <w:shd w:val="clear" w:color="auto" w:fill="FFFFFF" w:themeFill="background1"/>
            </w:pPr>
            <w:r>
              <w:t>35 ft</w:t>
            </w:r>
          </w:p>
        </w:tc>
        <w:tc>
          <w:tcPr>
            <w:tcW w:w="1917" w:type="dxa"/>
          </w:tcPr>
          <w:p w14:paraId="2D06AA15" w14:textId="77777777" w:rsidR="00140AD5" w:rsidRDefault="00A332ED" w:rsidP="00A91128">
            <w:pPr>
              <w:shd w:val="clear" w:color="auto" w:fill="FFFFFF" w:themeFill="background1"/>
            </w:pPr>
            <w:r>
              <w:t>15ft / 5ft / 10ft</w:t>
            </w:r>
          </w:p>
        </w:tc>
        <w:tc>
          <w:tcPr>
            <w:tcW w:w="1017" w:type="dxa"/>
          </w:tcPr>
          <w:p w14:paraId="73B7A1B2" w14:textId="77777777" w:rsidR="00140AD5" w:rsidRDefault="00C63305" w:rsidP="00A91128">
            <w:pPr>
              <w:shd w:val="clear" w:color="auto" w:fill="FFFFFF" w:themeFill="background1"/>
            </w:pPr>
            <w:r>
              <w:t>28ft (2 stories)</w:t>
            </w:r>
          </w:p>
        </w:tc>
        <w:tc>
          <w:tcPr>
            <w:tcW w:w="0" w:type="auto"/>
          </w:tcPr>
          <w:p w14:paraId="66C32119" w14:textId="77777777" w:rsidR="00140AD5" w:rsidRDefault="00C63305" w:rsidP="00A91128">
            <w:pPr>
              <w:shd w:val="clear" w:color="auto" w:fill="FFFFFF" w:themeFill="background1"/>
            </w:pPr>
            <w:r>
              <w:t>50%</w:t>
            </w:r>
          </w:p>
        </w:tc>
      </w:tr>
      <w:tr w:rsidR="00952EE5" w14:paraId="1DF3BC8B" w14:textId="77777777" w:rsidTr="000357F2">
        <w:trPr>
          <w:trHeight w:val="1160"/>
        </w:trPr>
        <w:tc>
          <w:tcPr>
            <w:tcW w:w="0" w:type="auto"/>
          </w:tcPr>
          <w:p w14:paraId="4772ACB6" w14:textId="77777777" w:rsidR="00140AD5" w:rsidRDefault="00AA0A2E" w:rsidP="00A91128">
            <w:pPr>
              <w:shd w:val="clear" w:color="auto" w:fill="FFFFFF" w:themeFill="background1"/>
            </w:pPr>
            <w:r>
              <w:t>Duplex</w:t>
            </w:r>
          </w:p>
        </w:tc>
        <w:tc>
          <w:tcPr>
            <w:tcW w:w="1559" w:type="dxa"/>
          </w:tcPr>
          <w:p w14:paraId="1558A8FF" w14:textId="77777777" w:rsidR="00140AD5" w:rsidRDefault="00AA0A2E" w:rsidP="00A91128">
            <w:pPr>
              <w:shd w:val="clear" w:color="auto" w:fill="FFFFFF" w:themeFill="background1"/>
            </w:pPr>
            <w:r>
              <w:t>7,000 sq ft total lot</w:t>
            </w:r>
          </w:p>
        </w:tc>
        <w:tc>
          <w:tcPr>
            <w:tcW w:w="1897" w:type="dxa"/>
          </w:tcPr>
          <w:p w14:paraId="0558012D" w14:textId="77777777" w:rsidR="00140AD5" w:rsidRDefault="008425FA" w:rsidP="00A91128">
            <w:pPr>
              <w:shd w:val="clear" w:color="auto" w:fill="FFFFFF" w:themeFill="background1"/>
            </w:pPr>
            <w:r>
              <w:t>50ft</w:t>
            </w:r>
          </w:p>
        </w:tc>
        <w:tc>
          <w:tcPr>
            <w:tcW w:w="1917" w:type="dxa"/>
          </w:tcPr>
          <w:p w14:paraId="1C31DA37" w14:textId="77777777" w:rsidR="00140AD5" w:rsidRDefault="008425FA" w:rsidP="00A91128">
            <w:pPr>
              <w:shd w:val="clear" w:color="auto" w:fill="FFFFFF" w:themeFill="background1"/>
            </w:pPr>
            <w:r>
              <w:t>15ft / 6ft / 10ft</w:t>
            </w:r>
          </w:p>
        </w:tc>
        <w:tc>
          <w:tcPr>
            <w:tcW w:w="1017" w:type="dxa"/>
          </w:tcPr>
          <w:p w14:paraId="3F8D32AB" w14:textId="77777777" w:rsidR="00140AD5" w:rsidRDefault="008425FA" w:rsidP="00A91128">
            <w:pPr>
              <w:shd w:val="clear" w:color="auto" w:fill="FFFFFF" w:themeFill="background1"/>
            </w:pPr>
            <w:r>
              <w:t>30ft (2 stories)</w:t>
            </w:r>
          </w:p>
        </w:tc>
        <w:tc>
          <w:tcPr>
            <w:tcW w:w="0" w:type="auto"/>
          </w:tcPr>
          <w:p w14:paraId="26DD96ED" w14:textId="77777777" w:rsidR="00140AD5" w:rsidRDefault="008425FA" w:rsidP="00A91128">
            <w:pPr>
              <w:shd w:val="clear" w:color="auto" w:fill="FFFFFF" w:themeFill="background1"/>
            </w:pPr>
            <w:r>
              <w:t>55%</w:t>
            </w:r>
          </w:p>
        </w:tc>
      </w:tr>
      <w:tr w:rsidR="00952EE5" w14:paraId="1D284151" w14:textId="77777777" w:rsidTr="000357F2">
        <w:tc>
          <w:tcPr>
            <w:tcW w:w="0" w:type="auto"/>
          </w:tcPr>
          <w:p w14:paraId="2A94EE0C" w14:textId="77777777" w:rsidR="00140AD5" w:rsidRDefault="0060043B" w:rsidP="00A91128">
            <w:pPr>
              <w:shd w:val="clear" w:color="auto" w:fill="FFFFFF" w:themeFill="background1"/>
            </w:pPr>
            <w:r>
              <w:t>Triplex/Fourplex</w:t>
            </w:r>
          </w:p>
        </w:tc>
        <w:tc>
          <w:tcPr>
            <w:tcW w:w="1559" w:type="dxa"/>
          </w:tcPr>
          <w:p w14:paraId="2E7D1C20" w14:textId="77777777" w:rsidR="00140AD5" w:rsidRDefault="0060043B" w:rsidP="00A91128">
            <w:pPr>
              <w:shd w:val="clear" w:color="auto" w:fill="FFFFFF" w:themeFill="background1"/>
            </w:pPr>
            <w:r>
              <w:t>10,500 sq ft / 14,000 sq ft</w:t>
            </w:r>
          </w:p>
        </w:tc>
        <w:tc>
          <w:tcPr>
            <w:tcW w:w="1897" w:type="dxa"/>
          </w:tcPr>
          <w:p w14:paraId="10ACC255" w14:textId="77777777" w:rsidR="00140AD5" w:rsidRDefault="0060043B" w:rsidP="00A91128">
            <w:pPr>
              <w:shd w:val="clear" w:color="auto" w:fill="FFFFFF" w:themeFill="background1"/>
            </w:pPr>
            <w:r>
              <w:t>60ft</w:t>
            </w:r>
          </w:p>
        </w:tc>
        <w:tc>
          <w:tcPr>
            <w:tcW w:w="1917" w:type="dxa"/>
          </w:tcPr>
          <w:p w14:paraId="4EA7EE07" w14:textId="77777777" w:rsidR="00140AD5" w:rsidRDefault="0060043B" w:rsidP="00A91128">
            <w:pPr>
              <w:shd w:val="clear" w:color="auto" w:fill="FFFFFF" w:themeFill="background1"/>
            </w:pPr>
            <w:r>
              <w:t>15ft / 8ft / 10ft</w:t>
            </w:r>
          </w:p>
        </w:tc>
        <w:tc>
          <w:tcPr>
            <w:tcW w:w="1017" w:type="dxa"/>
          </w:tcPr>
          <w:p w14:paraId="1B635065" w14:textId="77777777" w:rsidR="00140AD5" w:rsidRDefault="00A317AD" w:rsidP="00A91128">
            <w:pPr>
              <w:shd w:val="clear" w:color="auto" w:fill="FFFFFF" w:themeFill="background1"/>
            </w:pPr>
            <w:r>
              <w:t>35ft (2.5 stories)</w:t>
            </w:r>
          </w:p>
        </w:tc>
        <w:tc>
          <w:tcPr>
            <w:tcW w:w="0" w:type="auto"/>
          </w:tcPr>
          <w:p w14:paraId="4C1001F7" w14:textId="77777777" w:rsidR="00140AD5" w:rsidRDefault="00A317AD" w:rsidP="00A91128">
            <w:pPr>
              <w:shd w:val="clear" w:color="auto" w:fill="FFFFFF" w:themeFill="background1"/>
            </w:pPr>
            <w:r>
              <w:t>60%</w:t>
            </w:r>
          </w:p>
        </w:tc>
      </w:tr>
      <w:tr w:rsidR="00952EE5" w14:paraId="36D2D476" w14:textId="77777777" w:rsidTr="000357F2">
        <w:tc>
          <w:tcPr>
            <w:tcW w:w="0" w:type="auto"/>
          </w:tcPr>
          <w:p w14:paraId="2C5E7913" w14:textId="77777777" w:rsidR="00140AD5" w:rsidRPr="007A5A44" w:rsidRDefault="00A317AD" w:rsidP="00A91128">
            <w:pPr>
              <w:shd w:val="clear" w:color="auto" w:fill="FFFFFF" w:themeFill="background1"/>
            </w:pPr>
            <w:r>
              <w:t>Cottage Court</w:t>
            </w:r>
          </w:p>
        </w:tc>
        <w:tc>
          <w:tcPr>
            <w:tcW w:w="1559" w:type="dxa"/>
          </w:tcPr>
          <w:p w14:paraId="3F578DAB" w14:textId="77777777" w:rsidR="00140AD5" w:rsidRPr="007A5A44" w:rsidRDefault="00660EB7" w:rsidP="00A91128">
            <w:pPr>
              <w:shd w:val="clear" w:color="auto" w:fill="FFFFFF" w:themeFill="background1"/>
            </w:pPr>
            <w:r>
              <w:t>10,000-14,000 sq ft per cluster (3-4 units)</w:t>
            </w:r>
          </w:p>
        </w:tc>
        <w:tc>
          <w:tcPr>
            <w:tcW w:w="1897" w:type="dxa"/>
          </w:tcPr>
          <w:p w14:paraId="1CE2A2B4" w14:textId="77777777" w:rsidR="00140AD5" w:rsidRPr="007A5A44" w:rsidRDefault="00257BFD" w:rsidP="00A91128">
            <w:pPr>
              <w:shd w:val="clear" w:color="auto" w:fill="FFFFFF" w:themeFill="background1"/>
            </w:pPr>
            <w:r>
              <w:t>60ft (shared court)</w:t>
            </w:r>
          </w:p>
        </w:tc>
        <w:tc>
          <w:tcPr>
            <w:tcW w:w="1917" w:type="dxa"/>
          </w:tcPr>
          <w:p w14:paraId="3D88951A" w14:textId="77777777" w:rsidR="00140AD5" w:rsidRPr="007A5A44" w:rsidRDefault="00257BFD" w:rsidP="00A91128">
            <w:pPr>
              <w:shd w:val="clear" w:color="auto" w:fill="FFFFFF" w:themeFill="background1"/>
            </w:pPr>
            <w:r>
              <w:t>10ft (perimeter) / 5ft (unit separation)</w:t>
            </w:r>
          </w:p>
        </w:tc>
        <w:tc>
          <w:tcPr>
            <w:tcW w:w="1017" w:type="dxa"/>
          </w:tcPr>
          <w:p w14:paraId="3BCCEBC0" w14:textId="77777777" w:rsidR="00140AD5" w:rsidRPr="007A5A44" w:rsidRDefault="00FD5552" w:rsidP="00A91128">
            <w:pPr>
              <w:shd w:val="clear" w:color="auto" w:fill="FFFFFF" w:themeFill="background1"/>
            </w:pPr>
            <w:r>
              <w:t>20ft (1.5 stories)</w:t>
            </w:r>
          </w:p>
        </w:tc>
        <w:tc>
          <w:tcPr>
            <w:tcW w:w="0" w:type="auto"/>
          </w:tcPr>
          <w:p w14:paraId="3F7CEE68" w14:textId="77777777" w:rsidR="00140AD5" w:rsidRPr="007A5A44" w:rsidRDefault="00FD5552" w:rsidP="00A91128">
            <w:pPr>
              <w:shd w:val="clear" w:color="auto" w:fill="FFFFFF" w:themeFill="background1"/>
            </w:pPr>
            <w:r>
              <w:t>40% per unit (court-wide max 60%)</w:t>
            </w:r>
          </w:p>
        </w:tc>
      </w:tr>
      <w:tr w:rsidR="00952EE5" w14:paraId="6C2038D6" w14:textId="77777777" w:rsidTr="000357F2">
        <w:trPr>
          <w:trHeight w:val="1574"/>
        </w:trPr>
        <w:tc>
          <w:tcPr>
            <w:tcW w:w="0" w:type="auto"/>
          </w:tcPr>
          <w:p w14:paraId="512D940C" w14:textId="77777777" w:rsidR="00FD5552" w:rsidRDefault="009A7AF0" w:rsidP="00A91128">
            <w:pPr>
              <w:shd w:val="clear" w:color="auto" w:fill="FFFFFF" w:themeFill="background1"/>
            </w:pPr>
            <w:r>
              <w:t>Single-Family Attached (Townhome)</w:t>
            </w:r>
          </w:p>
        </w:tc>
        <w:tc>
          <w:tcPr>
            <w:tcW w:w="1559" w:type="dxa"/>
          </w:tcPr>
          <w:p w14:paraId="5C9580C0" w14:textId="77777777" w:rsidR="00FD5552" w:rsidRDefault="009A7AF0" w:rsidP="00A91128">
            <w:pPr>
              <w:shd w:val="clear" w:color="auto" w:fill="FFFFFF" w:themeFill="background1"/>
            </w:pPr>
            <w:r>
              <w:t>3,200-3,600 sq ft per unit lot</w:t>
            </w:r>
          </w:p>
        </w:tc>
        <w:tc>
          <w:tcPr>
            <w:tcW w:w="1897" w:type="dxa"/>
          </w:tcPr>
          <w:p w14:paraId="6E793145" w14:textId="77777777" w:rsidR="00FD5552" w:rsidRDefault="00001A30" w:rsidP="00A91128">
            <w:pPr>
              <w:shd w:val="clear" w:color="auto" w:fill="FFFFFF" w:themeFill="background1"/>
            </w:pPr>
            <w:r>
              <w:t>20ft per unit</w:t>
            </w:r>
          </w:p>
        </w:tc>
        <w:tc>
          <w:tcPr>
            <w:tcW w:w="1917" w:type="dxa"/>
          </w:tcPr>
          <w:p w14:paraId="3A641702" w14:textId="77777777" w:rsidR="00FD5552" w:rsidRDefault="00001A30" w:rsidP="00A91128">
            <w:pPr>
              <w:shd w:val="clear" w:color="auto" w:fill="FFFFFF" w:themeFill="background1"/>
            </w:pPr>
            <w:r>
              <w:t>10ft / 0ft (shared wall) / 10ft</w:t>
            </w:r>
          </w:p>
        </w:tc>
        <w:tc>
          <w:tcPr>
            <w:tcW w:w="1017" w:type="dxa"/>
          </w:tcPr>
          <w:p w14:paraId="2CD373C8" w14:textId="77777777" w:rsidR="00FD5552" w:rsidRDefault="00E87CC9" w:rsidP="00A91128">
            <w:pPr>
              <w:shd w:val="clear" w:color="auto" w:fill="FFFFFF" w:themeFill="background1"/>
            </w:pPr>
            <w:r>
              <w:t>35ft (2.5 stories)</w:t>
            </w:r>
          </w:p>
        </w:tc>
        <w:tc>
          <w:tcPr>
            <w:tcW w:w="0" w:type="auto"/>
          </w:tcPr>
          <w:p w14:paraId="470D8125" w14:textId="77777777" w:rsidR="00FD5552" w:rsidRDefault="00E87CC9" w:rsidP="00A91128">
            <w:pPr>
              <w:shd w:val="clear" w:color="auto" w:fill="FFFFFF" w:themeFill="background1"/>
            </w:pPr>
            <w:r>
              <w:t>65%</w:t>
            </w:r>
          </w:p>
        </w:tc>
      </w:tr>
      <w:tr w:rsidR="000357F2" w14:paraId="6B90192D" w14:textId="77777777" w:rsidTr="000357F2">
        <w:trPr>
          <w:trHeight w:val="1574"/>
        </w:trPr>
        <w:tc>
          <w:tcPr>
            <w:tcW w:w="0" w:type="auto"/>
          </w:tcPr>
          <w:p w14:paraId="2B316620" w14:textId="77777777" w:rsidR="000357F2" w:rsidRDefault="000357F2" w:rsidP="00A91128">
            <w:pPr>
              <w:shd w:val="clear" w:color="auto" w:fill="FFFFFF" w:themeFill="background1"/>
              <w:rPr>
                <w:color w:val="156082" w:themeColor="accent1"/>
              </w:rPr>
            </w:pPr>
            <w:r>
              <w:rPr>
                <w:color w:val="156082" w:themeColor="accent1"/>
              </w:rPr>
              <w:t>Multi-Family Residential Building</w:t>
            </w:r>
          </w:p>
          <w:p w14:paraId="2127A12F" w14:textId="77777777" w:rsidR="000357F2" w:rsidRPr="000357F2" w:rsidRDefault="000357F2" w:rsidP="00A91128">
            <w:pPr>
              <w:shd w:val="clear" w:color="auto" w:fill="FFFFFF" w:themeFill="background1"/>
              <w:rPr>
                <w:color w:val="156082" w:themeColor="accent1"/>
              </w:rPr>
            </w:pPr>
            <w:r>
              <w:rPr>
                <w:color w:val="156082" w:themeColor="accent1"/>
              </w:rPr>
              <w:t>(5+units)</w:t>
            </w:r>
          </w:p>
        </w:tc>
        <w:tc>
          <w:tcPr>
            <w:tcW w:w="1559" w:type="dxa"/>
          </w:tcPr>
          <w:p w14:paraId="085F4D76" w14:textId="77777777" w:rsidR="000357F2" w:rsidRDefault="000357F2" w:rsidP="00A91128">
            <w:pPr>
              <w:shd w:val="clear" w:color="auto" w:fill="FFFFFF" w:themeFill="background1"/>
            </w:pPr>
            <w:r w:rsidRPr="000357F2">
              <w:rPr>
                <w:color w:val="156082" w:themeColor="accent1"/>
              </w:rPr>
              <w:t>1 acre</w:t>
            </w:r>
          </w:p>
        </w:tc>
        <w:tc>
          <w:tcPr>
            <w:tcW w:w="1897" w:type="dxa"/>
          </w:tcPr>
          <w:p w14:paraId="4B2B62FC" w14:textId="77777777" w:rsidR="000357F2" w:rsidRDefault="000357F2" w:rsidP="00A91128">
            <w:pPr>
              <w:shd w:val="clear" w:color="auto" w:fill="FFFFFF" w:themeFill="background1"/>
            </w:pPr>
            <w:r w:rsidRPr="000357F2">
              <w:rPr>
                <w:color w:val="156082" w:themeColor="accent1"/>
              </w:rPr>
              <w:t>150 feet</w:t>
            </w:r>
          </w:p>
        </w:tc>
        <w:tc>
          <w:tcPr>
            <w:tcW w:w="1917" w:type="dxa"/>
          </w:tcPr>
          <w:p w14:paraId="5A814373" w14:textId="77777777" w:rsidR="000357F2" w:rsidRPr="000357F2" w:rsidRDefault="000357F2" w:rsidP="00A91128">
            <w:pPr>
              <w:shd w:val="clear" w:color="auto" w:fill="FFFFFF" w:themeFill="background1"/>
              <w:rPr>
                <w:color w:val="156082" w:themeColor="accent1"/>
              </w:rPr>
            </w:pPr>
            <w:r w:rsidRPr="000357F2">
              <w:rPr>
                <w:color w:val="156082" w:themeColor="accent1"/>
              </w:rPr>
              <w:t>10ft (perimeter) / 10ft (</w:t>
            </w:r>
            <w:r w:rsidR="000403FE">
              <w:rPr>
                <w:color w:val="156082" w:themeColor="accent1"/>
              </w:rPr>
              <w:t>building</w:t>
            </w:r>
            <w:r w:rsidRPr="000357F2">
              <w:rPr>
                <w:color w:val="156082" w:themeColor="accent1"/>
              </w:rPr>
              <w:t xml:space="preserve"> separation)</w:t>
            </w:r>
          </w:p>
        </w:tc>
        <w:tc>
          <w:tcPr>
            <w:tcW w:w="1017" w:type="dxa"/>
          </w:tcPr>
          <w:p w14:paraId="2C056DD1" w14:textId="77777777" w:rsidR="000357F2" w:rsidRDefault="000357F2" w:rsidP="00A91128">
            <w:pPr>
              <w:shd w:val="clear" w:color="auto" w:fill="FFFFFF" w:themeFill="background1"/>
            </w:pPr>
            <w:r w:rsidRPr="000357F2">
              <w:rPr>
                <w:color w:val="156082" w:themeColor="accent1"/>
              </w:rPr>
              <w:t>40 ft (3 stories)</w:t>
            </w:r>
          </w:p>
        </w:tc>
        <w:tc>
          <w:tcPr>
            <w:tcW w:w="0" w:type="auto"/>
          </w:tcPr>
          <w:p w14:paraId="6752B900" w14:textId="77777777" w:rsidR="000357F2" w:rsidRDefault="000357F2" w:rsidP="00A91128">
            <w:pPr>
              <w:shd w:val="clear" w:color="auto" w:fill="FFFFFF" w:themeFill="background1"/>
            </w:pPr>
            <w:r w:rsidRPr="000357F2">
              <w:rPr>
                <w:color w:val="156082" w:themeColor="accent1"/>
              </w:rPr>
              <w:t>65%</w:t>
            </w:r>
          </w:p>
        </w:tc>
      </w:tr>
      <w:tr w:rsidR="00952EE5" w14:paraId="7248F581" w14:textId="77777777" w:rsidTr="000357F2">
        <w:tc>
          <w:tcPr>
            <w:tcW w:w="0" w:type="auto"/>
          </w:tcPr>
          <w:p w14:paraId="1222CDEF" w14:textId="77777777" w:rsidR="00E87CC9" w:rsidRDefault="00910E30" w:rsidP="00A91128">
            <w:pPr>
              <w:shd w:val="clear" w:color="auto" w:fill="FFFFFF" w:themeFill="background1"/>
            </w:pPr>
            <w:r>
              <w:lastRenderedPageBreak/>
              <w:t>Tiny Home Development</w:t>
            </w:r>
          </w:p>
        </w:tc>
        <w:tc>
          <w:tcPr>
            <w:tcW w:w="1559" w:type="dxa"/>
          </w:tcPr>
          <w:p w14:paraId="5C430398" w14:textId="77777777" w:rsidR="00E87CC9" w:rsidRDefault="0051646F" w:rsidP="00A91128">
            <w:pPr>
              <w:shd w:val="clear" w:color="auto" w:fill="FFFFFF" w:themeFill="background1"/>
            </w:pPr>
            <w:r>
              <w:t>See Section 10.16.040.8 (Tiny Home Development Standards)</w:t>
            </w:r>
          </w:p>
        </w:tc>
        <w:tc>
          <w:tcPr>
            <w:tcW w:w="1897" w:type="dxa"/>
          </w:tcPr>
          <w:p w14:paraId="11EDB9C9" w14:textId="77777777" w:rsidR="00E87CC9" w:rsidRDefault="00910E30" w:rsidP="00A91128">
            <w:pPr>
              <w:shd w:val="clear" w:color="auto" w:fill="FFFFFF" w:themeFill="background1"/>
            </w:pPr>
            <w:r>
              <w:t>20ft (may be reduced to 16ft for clustered court layouts meeting 10.16.040.8(A)(2))</w:t>
            </w:r>
          </w:p>
        </w:tc>
        <w:tc>
          <w:tcPr>
            <w:tcW w:w="1917" w:type="dxa"/>
          </w:tcPr>
          <w:p w14:paraId="67FD0625" w14:textId="77777777" w:rsidR="00E87CC9" w:rsidRDefault="00910E30" w:rsidP="00A91128">
            <w:pPr>
              <w:shd w:val="clear" w:color="auto" w:fill="FFFFFF" w:themeFill="background1"/>
            </w:pPr>
            <w:r>
              <w:t>5ft / 5ft / 5ft</w:t>
            </w:r>
          </w:p>
        </w:tc>
        <w:tc>
          <w:tcPr>
            <w:tcW w:w="1017" w:type="dxa"/>
          </w:tcPr>
          <w:p w14:paraId="70E1A722" w14:textId="77777777" w:rsidR="00E87CC9" w:rsidRDefault="0030505B" w:rsidP="00A91128">
            <w:pPr>
              <w:shd w:val="clear" w:color="auto" w:fill="FFFFFF" w:themeFill="background1"/>
            </w:pPr>
            <w:r>
              <w:t>18-20ft (1 story + loft)</w:t>
            </w:r>
          </w:p>
        </w:tc>
        <w:tc>
          <w:tcPr>
            <w:tcW w:w="0" w:type="auto"/>
          </w:tcPr>
          <w:p w14:paraId="1BD5C08F" w14:textId="77777777" w:rsidR="00E87CC9" w:rsidRDefault="0030505B" w:rsidP="00A91128">
            <w:pPr>
              <w:shd w:val="clear" w:color="auto" w:fill="FFFFFF" w:themeFill="background1"/>
            </w:pPr>
            <w:r>
              <w:t>50% per unit (max site coverage 60%)</w:t>
            </w:r>
          </w:p>
        </w:tc>
      </w:tr>
    </w:tbl>
    <w:p w14:paraId="73FF419B" w14:textId="77777777" w:rsidR="006B49F1" w:rsidRDefault="006B49F1" w:rsidP="00A91128">
      <w:pPr>
        <w:shd w:val="clear" w:color="auto" w:fill="FFFFFF" w:themeFill="background1"/>
      </w:pPr>
    </w:p>
    <w:p w14:paraId="2284DF4E" w14:textId="77777777" w:rsidR="00606A3A" w:rsidRPr="006D3AB3" w:rsidRDefault="00CB1D43" w:rsidP="00221ADF">
      <w:pPr>
        <w:pStyle w:val="ListParagraph"/>
        <w:numPr>
          <w:ilvl w:val="0"/>
          <w:numId w:val="16"/>
        </w:numPr>
        <w:shd w:val="clear" w:color="auto" w:fill="FFFFFF" w:themeFill="background1"/>
      </w:pPr>
      <w:r w:rsidRPr="006D3AB3">
        <w:t>Perimeter Buffer and Protection Area:</w:t>
      </w:r>
    </w:p>
    <w:p w14:paraId="5E7780E3" w14:textId="77777777" w:rsidR="00221ADF" w:rsidRPr="006D3AB3" w:rsidRDefault="00221ADF" w:rsidP="00221ADF">
      <w:pPr>
        <w:pStyle w:val="ListParagraph"/>
        <w:numPr>
          <w:ilvl w:val="1"/>
          <w:numId w:val="16"/>
        </w:numPr>
        <w:shd w:val="clear" w:color="auto" w:fill="FFFFFF" w:themeFill="background1"/>
      </w:pPr>
      <w:r w:rsidRPr="006D3AB3">
        <w:t>Buffer and Protection Area Required: Where a Medium-High Density Residential Overlay Zone abuts or is adjacent to a residential zoning district not subject to the MHDR Overlay, a perimeter buffer and protection area shall be provided along the shared property boundary to ensure compatibility with adjacent residential development.</w:t>
      </w:r>
    </w:p>
    <w:p w14:paraId="29985E3B" w14:textId="77777777" w:rsidR="00221ADF" w:rsidRPr="006D3AB3" w:rsidRDefault="00221ADF" w:rsidP="00221ADF">
      <w:pPr>
        <w:pStyle w:val="ListParagraph"/>
        <w:numPr>
          <w:ilvl w:val="1"/>
          <w:numId w:val="16"/>
        </w:numPr>
        <w:shd w:val="clear" w:color="auto" w:fill="FFFFFF" w:themeFill="background1"/>
      </w:pPr>
      <w:r w:rsidRPr="006D3AB3">
        <w:t>Minimum Width: The buffer and protection area shall have a minimum width of twenty feet (20’), measured horizontally from the property line inward toward the MHDR development.</w:t>
      </w:r>
    </w:p>
    <w:p w14:paraId="5563C823" w14:textId="77777777" w:rsidR="00622177" w:rsidRPr="006D3AB3" w:rsidRDefault="00221ADF" w:rsidP="00221ADF">
      <w:pPr>
        <w:pStyle w:val="ListParagraph"/>
        <w:numPr>
          <w:ilvl w:val="1"/>
          <w:numId w:val="16"/>
        </w:numPr>
        <w:shd w:val="clear" w:color="auto" w:fill="FFFFFF" w:themeFill="background1"/>
      </w:pPr>
      <w:r w:rsidRPr="006D3AB3">
        <w:t xml:space="preserve">Fencing Requirement: A fence shall be installed within the buffer and protection area along the shared property boundary. </w:t>
      </w:r>
    </w:p>
    <w:p w14:paraId="7001C439" w14:textId="77777777" w:rsidR="000D3D5C" w:rsidRPr="006D3AB3" w:rsidRDefault="00FE5D4F" w:rsidP="00622177">
      <w:pPr>
        <w:pStyle w:val="ListParagraph"/>
        <w:numPr>
          <w:ilvl w:val="2"/>
          <w:numId w:val="16"/>
        </w:numPr>
        <w:shd w:val="clear" w:color="auto" w:fill="FFFFFF" w:themeFill="background1"/>
      </w:pPr>
      <w:r w:rsidRPr="006D3AB3">
        <w:t>The fence shall have a minimum height of six feet (6’) and shall be constructed of durable materials compatible with residential development.</w:t>
      </w:r>
    </w:p>
    <w:p w14:paraId="0ED1B2ED" w14:textId="77777777" w:rsidR="000D3D5C" w:rsidRPr="006D3AB3" w:rsidRDefault="00783C9F" w:rsidP="000D3D5C">
      <w:pPr>
        <w:pStyle w:val="ListParagraph"/>
        <w:numPr>
          <w:ilvl w:val="2"/>
          <w:numId w:val="16"/>
        </w:numPr>
        <w:shd w:val="clear" w:color="auto" w:fill="FFFFFF" w:themeFill="background1"/>
      </w:pPr>
      <w:r w:rsidRPr="006D3AB3">
        <w:t xml:space="preserve">Where fencing materials are open, transparent, or semi-transparent in nature, required screening shall be achieved </w:t>
      </w:r>
      <w:proofErr w:type="gramStart"/>
      <w:r w:rsidRPr="006D3AB3">
        <w:t>through the use of</w:t>
      </w:r>
      <w:proofErr w:type="gramEnd"/>
      <w:r w:rsidRPr="006D3AB3">
        <w:t xml:space="preserve"> landscaping, berms, or other approved screening methods sufficient to reduce visibility between adjacent properties.</w:t>
      </w:r>
    </w:p>
    <w:p w14:paraId="1DC9D716" w14:textId="77777777" w:rsidR="009543B8" w:rsidRPr="006D3AB3" w:rsidRDefault="009543B8" w:rsidP="000D3D5C">
      <w:pPr>
        <w:pStyle w:val="ListParagraph"/>
        <w:numPr>
          <w:ilvl w:val="2"/>
          <w:numId w:val="16"/>
        </w:numPr>
        <w:shd w:val="clear" w:color="auto" w:fill="FFFFFF" w:themeFill="background1"/>
      </w:pPr>
      <w:r w:rsidRPr="006D3AB3">
        <w:t>The fence and any associated landscaping shall be designed to provide effective visual screening and enhance compatibility with adjacent residential development.</w:t>
      </w:r>
    </w:p>
    <w:p w14:paraId="634D282E" w14:textId="77777777" w:rsidR="009543B8" w:rsidRPr="006D3AB3" w:rsidRDefault="009543B8" w:rsidP="00221ADF">
      <w:pPr>
        <w:pStyle w:val="ListParagraph"/>
        <w:numPr>
          <w:ilvl w:val="1"/>
          <w:numId w:val="16"/>
        </w:numPr>
        <w:shd w:val="clear" w:color="auto" w:fill="FFFFFF" w:themeFill="background1"/>
      </w:pPr>
      <w:r w:rsidRPr="006D3AB3">
        <w:t>Permitted Improvements: The buffer and protection area may include fencing, landscaping, berms, and pedestrian pathways, but shall not be used for parking, drive aisles, or storage.</w:t>
      </w:r>
    </w:p>
    <w:p w14:paraId="220B479A" w14:textId="77777777" w:rsidR="009543B8" w:rsidRPr="006D3AB3" w:rsidRDefault="009543B8" w:rsidP="009743A7">
      <w:pPr>
        <w:pStyle w:val="ListParagraph"/>
        <w:numPr>
          <w:ilvl w:val="1"/>
          <w:numId w:val="16"/>
        </w:numPr>
        <w:shd w:val="clear" w:color="auto" w:fill="FFFFFF" w:themeFill="background1"/>
      </w:pPr>
      <w:r w:rsidRPr="006D3AB3">
        <w:t>Design intent: The buffer and protection area shall function as a continuous visual and physical separation that protects the character and privacy of adjacent residential neighborhoods.</w:t>
      </w:r>
    </w:p>
    <w:p w14:paraId="25C69F16" w14:textId="77777777" w:rsidR="00553B1A" w:rsidRDefault="00553B1A" w:rsidP="00A91128">
      <w:pPr>
        <w:pStyle w:val="SCD2"/>
        <w:shd w:val="clear" w:color="auto" w:fill="FFFFFF" w:themeFill="background1"/>
      </w:pPr>
      <w:bookmarkStart w:id="8" w:name="_Toc201741922"/>
      <w:r>
        <w:t>10.16.040.8</w:t>
      </w:r>
      <w:r>
        <w:tab/>
        <w:t>TINY HOME DEVELOPMENT STANDARDS</w:t>
      </w:r>
    </w:p>
    <w:p w14:paraId="4FD1D50D" w14:textId="77777777" w:rsidR="00553B1A" w:rsidRDefault="00010F3A" w:rsidP="00A91128">
      <w:pPr>
        <w:shd w:val="clear" w:color="auto" w:fill="FFFFFF" w:themeFill="background1"/>
      </w:pPr>
      <w:r>
        <w:t xml:space="preserve">The following standards apply to any development utilizing the Tiny Home Development option identified in Section 10.16.040.7. These standards are intended to ensure that tiny </w:t>
      </w:r>
      <w:r>
        <w:lastRenderedPageBreak/>
        <w:t>home communities are well-designed, compatible with surrounding neighborhoods, and provide long-term livability.</w:t>
      </w:r>
    </w:p>
    <w:p w14:paraId="3FE72731" w14:textId="77777777" w:rsidR="00010F3A" w:rsidRDefault="00010F3A" w:rsidP="00A91128">
      <w:pPr>
        <w:pStyle w:val="ListParagraph"/>
        <w:numPr>
          <w:ilvl w:val="0"/>
          <w:numId w:val="15"/>
        </w:numPr>
        <w:shd w:val="clear" w:color="auto" w:fill="FFFFFF" w:themeFill="background1"/>
      </w:pPr>
      <w:r>
        <w:t>Lot and Density Standards:</w:t>
      </w:r>
    </w:p>
    <w:p w14:paraId="21D769FB" w14:textId="77777777" w:rsidR="00010F3A" w:rsidRDefault="00010F3A" w:rsidP="00A91128">
      <w:pPr>
        <w:pStyle w:val="ListParagraph"/>
        <w:numPr>
          <w:ilvl w:val="1"/>
          <w:numId w:val="15"/>
        </w:numPr>
        <w:shd w:val="clear" w:color="auto" w:fill="FFFFFF" w:themeFill="background1"/>
      </w:pPr>
      <w:r>
        <w:t>Standard Minimum Lot Area: Each tiny home shall be located on a lot or unit pad of not less than 2,500 square feet.</w:t>
      </w:r>
    </w:p>
    <w:p w14:paraId="60097A3A" w14:textId="77777777" w:rsidR="00010F3A" w:rsidRDefault="00010F3A" w:rsidP="00A91128">
      <w:pPr>
        <w:pStyle w:val="ListParagraph"/>
        <w:numPr>
          <w:ilvl w:val="1"/>
          <w:numId w:val="15"/>
        </w:numPr>
        <w:shd w:val="clear" w:color="auto" w:fill="FFFFFF" w:themeFill="background1"/>
      </w:pPr>
      <w:r>
        <w:t xml:space="preserve">Alternative Minimum Lot Area: The minimum lot or unit pad area may be reduced to 1,500 square feet if </w:t>
      </w:r>
      <w:proofErr w:type="gramStart"/>
      <w:r>
        <w:t>all of</w:t>
      </w:r>
      <w:proofErr w:type="gramEnd"/>
      <w:r>
        <w:t xml:space="preserve"> the following are provided:</w:t>
      </w:r>
    </w:p>
    <w:p w14:paraId="66A2FE2D" w14:textId="77777777" w:rsidR="00010F3A" w:rsidRDefault="00010F3A" w:rsidP="00A91128">
      <w:pPr>
        <w:pStyle w:val="ListParagraph"/>
        <w:numPr>
          <w:ilvl w:val="2"/>
          <w:numId w:val="15"/>
        </w:numPr>
        <w:shd w:val="clear" w:color="auto" w:fill="FFFFFF" w:themeFill="background1"/>
      </w:pPr>
      <w:r>
        <w:t>At least twenty percent (20%) of the gross project area shall be dedicated as common open space.</w:t>
      </w:r>
    </w:p>
    <w:p w14:paraId="15FDEEE6" w14:textId="77777777" w:rsidR="00773E12" w:rsidRDefault="00773E12" w:rsidP="00A91128">
      <w:pPr>
        <w:pStyle w:val="ListParagraph"/>
        <w:numPr>
          <w:ilvl w:val="2"/>
          <w:numId w:val="15"/>
        </w:numPr>
        <w:shd w:val="clear" w:color="auto" w:fill="FFFFFF" w:themeFill="background1"/>
      </w:pPr>
      <w:r>
        <w:t>A shared courtyard, green, or amenity area shall be centrally located and accessible to all residents.</w:t>
      </w:r>
    </w:p>
    <w:p w14:paraId="49C2AC45" w14:textId="77777777" w:rsidR="00773E12" w:rsidRDefault="00773E12" w:rsidP="00A91128">
      <w:pPr>
        <w:pStyle w:val="ListParagraph"/>
        <w:numPr>
          <w:ilvl w:val="2"/>
          <w:numId w:val="15"/>
        </w:numPr>
        <w:shd w:val="clear" w:color="auto" w:fill="FFFFFF" w:themeFill="background1"/>
      </w:pPr>
      <w:r>
        <w:t>A legally binding maintenance mechanism, such as a homeowners’ association (HOA), property owners’ association (POA), or provisions within a development agreement approved under Section 10.16.040.13, shall be established to ensure ongoing upkeep of shared facilities and open space.</w:t>
      </w:r>
    </w:p>
    <w:p w14:paraId="4C57AE2E" w14:textId="77777777" w:rsidR="00773E12" w:rsidRDefault="00D84D8B" w:rsidP="00A91128">
      <w:pPr>
        <w:pStyle w:val="ListParagraph"/>
        <w:numPr>
          <w:ilvl w:val="1"/>
          <w:numId w:val="15"/>
        </w:numPr>
        <w:shd w:val="clear" w:color="auto" w:fill="FFFFFF" w:themeFill="background1"/>
      </w:pPr>
      <w:r>
        <w:t xml:space="preserve">Density Exception: </w:t>
      </w:r>
    </w:p>
    <w:p w14:paraId="5AC1EFC1" w14:textId="77777777" w:rsidR="00D84D8B" w:rsidRDefault="00D84D8B" w:rsidP="00A91128">
      <w:pPr>
        <w:pStyle w:val="ListParagraph"/>
        <w:numPr>
          <w:ilvl w:val="2"/>
          <w:numId w:val="15"/>
        </w:numPr>
        <w:shd w:val="clear" w:color="auto" w:fill="FFFFFF" w:themeFill="background1"/>
      </w:pPr>
      <w:r>
        <w:t>Tiny Home Developments may exceed the maximum density of twelve (12) units per acre, up to a maximum of eighteen (18) units per acre, provided the project complies with the requirements of subsection 2 (Alternative Minimum Lot Area).</w:t>
      </w:r>
    </w:p>
    <w:p w14:paraId="5D179F2B" w14:textId="77777777" w:rsidR="00D84D8B" w:rsidRDefault="00D84D8B" w:rsidP="00A91128">
      <w:pPr>
        <w:pStyle w:val="ListParagraph"/>
        <w:numPr>
          <w:ilvl w:val="2"/>
          <w:numId w:val="15"/>
        </w:numPr>
        <w:shd w:val="clear" w:color="auto" w:fill="FFFFFF" w:themeFill="background1"/>
      </w:pPr>
      <w:r>
        <w:t>Projects utilizing this density exception must also provide a minimum of one shared community amenity (e.g., community building, pavilion, garden, or playground) for every ten (10) dwelling units.</w:t>
      </w:r>
    </w:p>
    <w:p w14:paraId="6E422F93" w14:textId="77777777" w:rsidR="002511D2" w:rsidRDefault="002511D2" w:rsidP="00A91128">
      <w:pPr>
        <w:pStyle w:val="ListParagraph"/>
        <w:numPr>
          <w:ilvl w:val="0"/>
          <w:numId w:val="15"/>
        </w:numPr>
        <w:shd w:val="clear" w:color="auto" w:fill="FFFFFF" w:themeFill="background1"/>
      </w:pPr>
      <w:r>
        <w:t>Setbacks and Building Standards</w:t>
      </w:r>
    </w:p>
    <w:p w14:paraId="7C281D60" w14:textId="77777777" w:rsidR="00A52B68" w:rsidRDefault="002932DB" w:rsidP="00A91128">
      <w:pPr>
        <w:pStyle w:val="ListParagraph"/>
        <w:numPr>
          <w:ilvl w:val="1"/>
          <w:numId w:val="15"/>
        </w:numPr>
        <w:shd w:val="clear" w:color="auto" w:fill="FFFFFF" w:themeFill="background1"/>
      </w:pPr>
      <w:r>
        <w:t>Tiny homes shall comply with the setbacks in Section 10.16.040.7, except that:</w:t>
      </w:r>
    </w:p>
    <w:p w14:paraId="29FBD932" w14:textId="77777777" w:rsidR="002932DB" w:rsidRDefault="0068634F" w:rsidP="00A91128">
      <w:pPr>
        <w:pStyle w:val="ListParagraph"/>
        <w:numPr>
          <w:ilvl w:val="2"/>
          <w:numId w:val="15"/>
        </w:numPr>
        <w:shd w:val="clear" w:color="auto" w:fill="FFFFFF" w:themeFill="background1"/>
      </w:pPr>
      <w:r>
        <w:t>Interior unit-to-unit separation may be reduced to three feet (3’) if fire code compliance is maintained.</w:t>
      </w:r>
    </w:p>
    <w:p w14:paraId="3DC82D9A" w14:textId="77777777" w:rsidR="00AE40B5" w:rsidRDefault="00A63E52" w:rsidP="00A91128">
      <w:pPr>
        <w:pStyle w:val="ListParagraph"/>
        <w:numPr>
          <w:ilvl w:val="2"/>
          <w:numId w:val="15"/>
        </w:numPr>
        <w:shd w:val="clear" w:color="auto" w:fill="FFFFFF" w:themeFill="background1"/>
      </w:pPr>
      <w:r>
        <w:t>Unenclosed porches, decks, or stoops may encroach up to five feet (5’) into required front or rear setbacks and up to two feet (2’) into side setbacks, provided fire code clearances are maintained.</w:t>
      </w:r>
    </w:p>
    <w:p w14:paraId="438A5000" w14:textId="77777777" w:rsidR="009A4BDE" w:rsidRDefault="00D928FF" w:rsidP="00A91128">
      <w:pPr>
        <w:pStyle w:val="ListParagraph"/>
        <w:numPr>
          <w:ilvl w:val="1"/>
          <w:numId w:val="15"/>
        </w:numPr>
        <w:shd w:val="clear" w:color="auto" w:fill="FFFFFF" w:themeFill="background1"/>
      </w:pPr>
      <w:r>
        <w:t>Maximum building height shall not exceed twenty feet (20’), except architectural elements (e.g., dormers, cupolas) may extend up to twenty-two feet (22’).</w:t>
      </w:r>
    </w:p>
    <w:p w14:paraId="2C2BEEC9" w14:textId="77777777" w:rsidR="00D351D0" w:rsidRDefault="004C2730" w:rsidP="00A91128">
      <w:pPr>
        <w:pStyle w:val="ListParagraph"/>
        <w:numPr>
          <w:ilvl w:val="0"/>
          <w:numId w:val="15"/>
        </w:numPr>
        <w:shd w:val="clear" w:color="auto" w:fill="FFFFFF" w:themeFill="background1"/>
      </w:pPr>
      <w:r>
        <w:t>Architectural and Design Standards</w:t>
      </w:r>
    </w:p>
    <w:p w14:paraId="2C74663E" w14:textId="77777777" w:rsidR="004C2730" w:rsidRDefault="004C2730" w:rsidP="00A91128">
      <w:pPr>
        <w:pStyle w:val="ListParagraph"/>
        <w:numPr>
          <w:ilvl w:val="1"/>
          <w:numId w:val="15"/>
        </w:numPr>
        <w:shd w:val="clear" w:color="auto" w:fill="FFFFFF" w:themeFill="background1"/>
      </w:pPr>
      <w:r>
        <w:t>No more than three adjacent units shall have substantially identical exterior designs.</w:t>
      </w:r>
    </w:p>
    <w:p w14:paraId="08832E78" w14:textId="77777777" w:rsidR="004C2730" w:rsidRDefault="004C2730" w:rsidP="00A91128">
      <w:pPr>
        <w:pStyle w:val="ListParagraph"/>
        <w:numPr>
          <w:ilvl w:val="1"/>
          <w:numId w:val="15"/>
        </w:numPr>
        <w:shd w:val="clear" w:color="auto" w:fill="FFFFFF" w:themeFill="background1"/>
      </w:pPr>
      <w:r>
        <w:t>Variation in color, roof pitch, or materials shall be provided to create visual diversity.</w:t>
      </w:r>
    </w:p>
    <w:p w14:paraId="2B9A722F" w14:textId="77777777" w:rsidR="004C2730" w:rsidRDefault="004C2730" w:rsidP="00A91128">
      <w:pPr>
        <w:pStyle w:val="ListParagraph"/>
        <w:numPr>
          <w:ilvl w:val="1"/>
          <w:numId w:val="15"/>
        </w:numPr>
        <w:shd w:val="clear" w:color="auto" w:fill="FFFFFF" w:themeFill="background1"/>
      </w:pPr>
      <w:r>
        <w:lastRenderedPageBreak/>
        <w:t>Skirting of tiny homes on wheels is required using durable, architectural materials.</w:t>
      </w:r>
    </w:p>
    <w:p w14:paraId="5F1B3E94" w14:textId="77777777" w:rsidR="004C2730" w:rsidRDefault="004C2730" w:rsidP="00A91128">
      <w:pPr>
        <w:pStyle w:val="ListParagraph"/>
        <w:numPr>
          <w:ilvl w:val="1"/>
          <w:numId w:val="15"/>
        </w:numPr>
        <w:shd w:val="clear" w:color="auto" w:fill="FFFFFF" w:themeFill="background1"/>
      </w:pPr>
      <w:r>
        <w:t>Roofing materials shall be non-reflective and compatible with the residential character.</w:t>
      </w:r>
    </w:p>
    <w:p w14:paraId="333C94E0" w14:textId="77777777" w:rsidR="003640C6" w:rsidRDefault="003640C6" w:rsidP="00A91128">
      <w:pPr>
        <w:pStyle w:val="ListParagraph"/>
        <w:numPr>
          <w:ilvl w:val="0"/>
          <w:numId w:val="15"/>
        </w:numPr>
        <w:shd w:val="clear" w:color="auto" w:fill="FFFFFF" w:themeFill="background1"/>
      </w:pPr>
      <w:r>
        <w:t>Landscaping and Open Space</w:t>
      </w:r>
    </w:p>
    <w:p w14:paraId="36281870" w14:textId="77777777" w:rsidR="003640C6" w:rsidRDefault="00981F17" w:rsidP="00A91128">
      <w:pPr>
        <w:pStyle w:val="ListParagraph"/>
        <w:numPr>
          <w:ilvl w:val="1"/>
          <w:numId w:val="15"/>
        </w:numPr>
        <w:shd w:val="clear" w:color="auto" w:fill="FFFFFF" w:themeFill="background1"/>
      </w:pPr>
      <w:r>
        <w:t>At least fifteen percent (15%) of the gross project area shall be landscaped open space (in addition to private yards).</w:t>
      </w:r>
    </w:p>
    <w:p w14:paraId="3B3E49F8" w14:textId="77777777" w:rsidR="00981F17" w:rsidRDefault="00981F17" w:rsidP="00A91128">
      <w:pPr>
        <w:pStyle w:val="ListParagraph"/>
        <w:numPr>
          <w:ilvl w:val="1"/>
          <w:numId w:val="15"/>
        </w:numPr>
        <w:shd w:val="clear" w:color="auto" w:fill="FFFFFF" w:themeFill="background1"/>
      </w:pPr>
      <w:r>
        <w:t>Perimeter landscape buffers of at least ten feet (10’) shall be provided adjacent to existing residential zones.</w:t>
      </w:r>
    </w:p>
    <w:p w14:paraId="5FA87B4B" w14:textId="77777777" w:rsidR="00E24B0F" w:rsidRDefault="00E24B0F" w:rsidP="00A91128">
      <w:pPr>
        <w:pStyle w:val="ListParagraph"/>
        <w:numPr>
          <w:ilvl w:val="1"/>
          <w:numId w:val="15"/>
        </w:numPr>
        <w:shd w:val="clear" w:color="auto" w:fill="FFFFFF" w:themeFill="background1"/>
      </w:pPr>
      <w:r>
        <w:t>Shared open space shall be improved with grass, native plants, hardscape, or amenities – not left unimproved.</w:t>
      </w:r>
    </w:p>
    <w:p w14:paraId="5D8EE208" w14:textId="77777777" w:rsidR="00830DDA" w:rsidRDefault="00DE70A0" w:rsidP="00A91128">
      <w:pPr>
        <w:pStyle w:val="ListParagraph"/>
        <w:numPr>
          <w:ilvl w:val="0"/>
          <w:numId w:val="15"/>
        </w:numPr>
        <w:shd w:val="clear" w:color="auto" w:fill="FFFFFF" w:themeFill="background1"/>
      </w:pPr>
      <w:r>
        <w:t>Parking and Access</w:t>
      </w:r>
    </w:p>
    <w:p w14:paraId="4D823B6D" w14:textId="77777777" w:rsidR="00DE70A0" w:rsidRDefault="00DE70A0" w:rsidP="00A91128">
      <w:pPr>
        <w:pStyle w:val="ListParagraph"/>
        <w:numPr>
          <w:ilvl w:val="1"/>
          <w:numId w:val="15"/>
        </w:numPr>
        <w:shd w:val="clear" w:color="auto" w:fill="FFFFFF" w:themeFill="background1"/>
      </w:pPr>
      <w:r>
        <w:t>Off-street parking shall be provided at a ratio of 1.5 spaces per dwelling unit. The City may approve a reduction to 1.0 spaces per dwelling unit where on-street supply, shared parking, or proximity to services is demonstrated.</w:t>
      </w:r>
    </w:p>
    <w:p w14:paraId="182E9B5E" w14:textId="77777777" w:rsidR="00C557F9" w:rsidRDefault="00C557F9" w:rsidP="00A91128">
      <w:pPr>
        <w:pStyle w:val="ListParagraph"/>
        <w:numPr>
          <w:ilvl w:val="1"/>
          <w:numId w:val="15"/>
        </w:numPr>
        <w:shd w:val="clear" w:color="auto" w:fill="FFFFFF" w:themeFill="background1"/>
      </w:pPr>
      <w:r>
        <w:t>Parking shall be clustered in courts or located behind units; individual front-yard driveways are discouraged.</w:t>
      </w:r>
    </w:p>
    <w:p w14:paraId="4F0B25A9" w14:textId="77777777" w:rsidR="00C557F9" w:rsidRDefault="00C557F9" w:rsidP="00A91128">
      <w:pPr>
        <w:pStyle w:val="ListParagraph"/>
        <w:numPr>
          <w:ilvl w:val="1"/>
          <w:numId w:val="15"/>
        </w:numPr>
        <w:shd w:val="clear" w:color="auto" w:fill="FFFFFF" w:themeFill="background1"/>
      </w:pPr>
      <w:r>
        <w:t>Parking areas shall be screened from public rights-of-way and adjoining residential lots by buildings, landscaping, or fencing at least four feet (4’) in height.</w:t>
      </w:r>
    </w:p>
    <w:p w14:paraId="79B0AD4A" w14:textId="77777777" w:rsidR="00214ECE" w:rsidRDefault="00F05D14" w:rsidP="00A91128">
      <w:pPr>
        <w:pStyle w:val="ListParagraph"/>
        <w:numPr>
          <w:ilvl w:val="1"/>
          <w:numId w:val="15"/>
        </w:numPr>
        <w:shd w:val="clear" w:color="auto" w:fill="FFFFFF" w:themeFill="background1"/>
      </w:pPr>
      <w:r>
        <w:t>Pedestrian circulation shall connect all dwellings, shared open spaces, parking courts, and public streets with accessible paths.</w:t>
      </w:r>
    </w:p>
    <w:p w14:paraId="09F4FB7A" w14:textId="77777777" w:rsidR="00D92D6A" w:rsidRDefault="006661E5" w:rsidP="00A91128">
      <w:pPr>
        <w:pStyle w:val="ListParagraph"/>
        <w:numPr>
          <w:ilvl w:val="0"/>
          <w:numId w:val="15"/>
        </w:numPr>
        <w:shd w:val="clear" w:color="auto" w:fill="FFFFFF" w:themeFill="background1"/>
      </w:pPr>
      <w:r>
        <w:t>Community Amenities and Management</w:t>
      </w:r>
    </w:p>
    <w:p w14:paraId="16603A16" w14:textId="77777777" w:rsidR="006661E5" w:rsidRDefault="006661E5" w:rsidP="00A91128">
      <w:pPr>
        <w:pStyle w:val="ListParagraph"/>
        <w:numPr>
          <w:ilvl w:val="1"/>
          <w:numId w:val="15"/>
        </w:numPr>
        <w:shd w:val="clear" w:color="auto" w:fill="FFFFFF" w:themeFill="background1"/>
      </w:pPr>
      <w:r>
        <w:t>Tiny Home Developments of ten (10) or more units shall provide at least one shared amenity (community building, pavilion, garden, or playground).</w:t>
      </w:r>
    </w:p>
    <w:p w14:paraId="04A10B67" w14:textId="77777777" w:rsidR="00596469" w:rsidRDefault="00596469" w:rsidP="00A91128">
      <w:pPr>
        <w:pStyle w:val="ListParagraph"/>
        <w:numPr>
          <w:ilvl w:val="1"/>
          <w:numId w:val="15"/>
        </w:numPr>
        <w:shd w:val="clear" w:color="auto" w:fill="FFFFFF" w:themeFill="background1"/>
      </w:pPr>
      <w:r>
        <w:t>A homeowners’ association, property owners’ association, or similar entity shall be established to maintain common open space, shared facilities, and private drives.</w:t>
      </w:r>
    </w:p>
    <w:p w14:paraId="313F24BE" w14:textId="77777777" w:rsidR="00596469" w:rsidRDefault="00771F25" w:rsidP="00A91128">
      <w:pPr>
        <w:pStyle w:val="ListParagraph"/>
        <w:numPr>
          <w:ilvl w:val="1"/>
          <w:numId w:val="15"/>
        </w:numPr>
        <w:shd w:val="clear" w:color="auto" w:fill="FFFFFF" w:themeFill="background1"/>
      </w:pPr>
      <w:r>
        <w:t>A development agreement or CC&amp;Rs shall be recorded prior to final plat approval to ensure long-term maintenance obligations.</w:t>
      </w:r>
    </w:p>
    <w:p w14:paraId="5E715AF3" w14:textId="77777777" w:rsidR="002B576E" w:rsidRDefault="002B576E" w:rsidP="00A91128">
      <w:pPr>
        <w:pStyle w:val="ListParagraph"/>
        <w:numPr>
          <w:ilvl w:val="0"/>
          <w:numId w:val="15"/>
        </w:numPr>
        <w:shd w:val="clear" w:color="auto" w:fill="FFFFFF" w:themeFill="background1"/>
      </w:pPr>
      <w:r>
        <w:t>Clarification on Tiny Homes: For purposes of this section, a “tiny home” shall mean a small dwelling unit constructed in compliance with the International Residential Code (IRC) or other applicable building code adopted by the City. Tiny homes on wheels may be permitted only if built to ANSI or NFPA standards and placed on a permanent foundation with appropriate skirting as required in Subsection C. Mobile homes, HUD-code manufactured housing, single-wide or double-wide trailers, and recreational vehicles are expressly prohibited.</w:t>
      </w:r>
    </w:p>
    <w:p w14:paraId="3DBAF285" w14:textId="77777777" w:rsidR="00606A3A" w:rsidRDefault="0066206B" w:rsidP="00A91128">
      <w:pPr>
        <w:pStyle w:val="SCD2"/>
        <w:shd w:val="clear" w:color="auto" w:fill="FFFFFF" w:themeFill="background1"/>
      </w:pPr>
      <w:r>
        <w:t>10.16.040.9</w:t>
      </w:r>
      <w:r>
        <w:tab/>
        <w:t>APPLICATION REQUIREMENTS</w:t>
      </w:r>
      <w:bookmarkEnd w:id="8"/>
    </w:p>
    <w:p w14:paraId="47F6B4C7" w14:textId="77777777" w:rsidR="002C53E2" w:rsidRDefault="00D610D3" w:rsidP="00A91128">
      <w:pPr>
        <w:shd w:val="clear" w:color="auto" w:fill="FFFFFF" w:themeFill="background1"/>
      </w:pPr>
      <w:r>
        <w:t>Each application for a Medium-High Density Residential Overlay shall include the following:</w:t>
      </w:r>
    </w:p>
    <w:p w14:paraId="5E8215AD" w14:textId="77777777" w:rsidR="00B62123" w:rsidRDefault="00C9503A" w:rsidP="00A91128">
      <w:pPr>
        <w:pStyle w:val="ListParagraph"/>
        <w:numPr>
          <w:ilvl w:val="0"/>
          <w:numId w:val="11"/>
        </w:numPr>
        <w:shd w:val="clear" w:color="auto" w:fill="FFFFFF" w:themeFill="background1"/>
      </w:pPr>
      <w:r>
        <w:lastRenderedPageBreak/>
        <w:t>Application Form and Fee:</w:t>
      </w:r>
    </w:p>
    <w:p w14:paraId="3F867074" w14:textId="77777777" w:rsidR="00C9503A" w:rsidRDefault="00C9503A" w:rsidP="00A91128">
      <w:pPr>
        <w:pStyle w:val="ListParagraph"/>
        <w:numPr>
          <w:ilvl w:val="1"/>
          <w:numId w:val="11"/>
        </w:numPr>
        <w:shd w:val="clear" w:color="auto" w:fill="FFFFFF" w:themeFill="background1"/>
      </w:pPr>
      <w:r>
        <w:t>A completed application signed by the property owner or authorized agent.</w:t>
      </w:r>
    </w:p>
    <w:p w14:paraId="2394ED7B" w14:textId="77777777" w:rsidR="00AD5E56" w:rsidRDefault="00AD5E56" w:rsidP="00A91128">
      <w:pPr>
        <w:pStyle w:val="ListParagraph"/>
        <w:numPr>
          <w:ilvl w:val="1"/>
          <w:numId w:val="11"/>
        </w:numPr>
        <w:shd w:val="clear" w:color="auto" w:fill="FFFFFF" w:themeFill="background1"/>
      </w:pPr>
      <w:r>
        <w:t>Payment of applicable fees.</w:t>
      </w:r>
    </w:p>
    <w:p w14:paraId="23674B45" w14:textId="77777777" w:rsidR="00AD5E56" w:rsidRDefault="00AD5E56" w:rsidP="00A91128">
      <w:pPr>
        <w:pStyle w:val="ListParagraph"/>
        <w:numPr>
          <w:ilvl w:val="0"/>
          <w:numId w:val="11"/>
        </w:numPr>
        <w:shd w:val="clear" w:color="auto" w:fill="FFFFFF" w:themeFill="background1"/>
      </w:pPr>
      <w:r>
        <w:t>Written Narrative:</w:t>
      </w:r>
    </w:p>
    <w:p w14:paraId="4CBF69C3" w14:textId="77777777" w:rsidR="00AD5E56" w:rsidRDefault="00AD5E56" w:rsidP="00A91128">
      <w:pPr>
        <w:pStyle w:val="ListParagraph"/>
        <w:numPr>
          <w:ilvl w:val="1"/>
          <w:numId w:val="11"/>
        </w:numPr>
        <w:shd w:val="clear" w:color="auto" w:fill="FFFFFF" w:themeFill="background1"/>
      </w:pPr>
      <w:r>
        <w:t>A statement of intent describing the proposed development, including:</w:t>
      </w:r>
    </w:p>
    <w:p w14:paraId="6649338E" w14:textId="77777777" w:rsidR="00AD5E56" w:rsidRDefault="00AD5E56" w:rsidP="00A91128">
      <w:pPr>
        <w:pStyle w:val="ListParagraph"/>
        <w:numPr>
          <w:ilvl w:val="2"/>
          <w:numId w:val="11"/>
        </w:numPr>
        <w:shd w:val="clear" w:color="auto" w:fill="FFFFFF" w:themeFill="background1"/>
      </w:pPr>
      <w:r>
        <w:t>Housing types proposed.</w:t>
      </w:r>
    </w:p>
    <w:p w14:paraId="214BC6FF" w14:textId="77777777" w:rsidR="00BC1414" w:rsidRDefault="00BC1414" w:rsidP="00A91128">
      <w:pPr>
        <w:pStyle w:val="ListParagraph"/>
        <w:numPr>
          <w:ilvl w:val="2"/>
          <w:numId w:val="11"/>
        </w:numPr>
        <w:shd w:val="clear" w:color="auto" w:fill="FFFFFF" w:themeFill="background1"/>
      </w:pPr>
      <w:r>
        <w:t>Targeted density (units per acres).</w:t>
      </w:r>
    </w:p>
    <w:p w14:paraId="731DFA80" w14:textId="77777777" w:rsidR="00BC1414" w:rsidRDefault="00BC1414" w:rsidP="00A91128">
      <w:pPr>
        <w:pStyle w:val="ListParagraph"/>
        <w:numPr>
          <w:ilvl w:val="2"/>
          <w:numId w:val="11"/>
        </w:numPr>
        <w:shd w:val="clear" w:color="auto" w:fill="FFFFFF" w:themeFill="background1"/>
      </w:pPr>
      <w:r>
        <w:t>Explanation of how the proposal meets the intent of the MHDR Overlay.</w:t>
      </w:r>
    </w:p>
    <w:p w14:paraId="602006D8" w14:textId="77777777" w:rsidR="00D73C2E" w:rsidRDefault="00D73C2E" w:rsidP="00A91128">
      <w:pPr>
        <w:pStyle w:val="ListParagraph"/>
        <w:numPr>
          <w:ilvl w:val="2"/>
          <w:numId w:val="11"/>
        </w:numPr>
        <w:shd w:val="clear" w:color="auto" w:fill="FFFFFF" w:themeFill="background1"/>
      </w:pPr>
      <w:r>
        <w:t>General compatibility with surrounding development.</w:t>
      </w:r>
    </w:p>
    <w:p w14:paraId="47B38088" w14:textId="77777777" w:rsidR="00D73C2E" w:rsidRDefault="00D73C2E" w:rsidP="00A91128">
      <w:pPr>
        <w:pStyle w:val="ListParagraph"/>
        <w:numPr>
          <w:ilvl w:val="0"/>
          <w:numId w:val="11"/>
        </w:numPr>
        <w:shd w:val="clear" w:color="auto" w:fill="FFFFFF" w:themeFill="background1"/>
      </w:pPr>
      <w:r>
        <w:t>Conceptual Site Plan:</w:t>
      </w:r>
    </w:p>
    <w:p w14:paraId="4C56C91B" w14:textId="77777777" w:rsidR="00D73C2E" w:rsidRDefault="00D73C2E" w:rsidP="00A91128">
      <w:pPr>
        <w:pStyle w:val="ListParagraph"/>
        <w:numPr>
          <w:ilvl w:val="1"/>
          <w:numId w:val="11"/>
        </w:numPr>
        <w:shd w:val="clear" w:color="auto" w:fill="FFFFFF" w:themeFill="background1"/>
      </w:pPr>
      <w:r>
        <w:t>A scaled diagram showing:</w:t>
      </w:r>
    </w:p>
    <w:p w14:paraId="386DF9A2" w14:textId="77777777" w:rsidR="00D73C2E" w:rsidRDefault="00D73C2E" w:rsidP="00A91128">
      <w:pPr>
        <w:pStyle w:val="ListParagraph"/>
        <w:numPr>
          <w:ilvl w:val="2"/>
          <w:numId w:val="11"/>
        </w:numPr>
        <w:shd w:val="clear" w:color="auto" w:fill="FFFFFF" w:themeFill="background1"/>
      </w:pPr>
      <w:r>
        <w:t>General lot layout and building types.</w:t>
      </w:r>
    </w:p>
    <w:p w14:paraId="6E0E9A1C" w14:textId="77777777" w:rsidR="006C0B8B" w:rsidRDefault="00D73C2E" w:rsidP="00A91128">
      <w:pPr>
        <w:pStyle w:val="ListParagraph"/>
        <w:numPr>
          <w:ilvl w:val="2"/>
          <w:numId w:val="11"/>
        </w:numPr>
        <w:shd w:val="clear" w:color="auto" w:fill="FFFFFF" w:themeFill="background1"/>
      </w:pPr>
      <w:r>
        <w:t>Proposed access points and internal circulation.</w:t>
      </w:r>
    </w:p>
    <w:p w14:paraId="413B1158" w14:textId="77777777" w:rsidR="00D73C2E" w:rsidRDefault="00636E17" w:rsidP="00A91128">
      <w:pPr>
        <w:pStyle w:val="ListParagraph"/>
        <w:numPr>
          <w:ilvl w:val="2"/>
          <w:numId w:val="11"/>
        </w:numPr>
        <w:shd w:val="clear" w:color="auto" w:fill="FFFFFF" w:themeFill="background1"/>
      </w:pPr>
      <w:r>
        <w:t>All proposed public or private roadways.</w:t>
      </w:r>
    </w:p>
    <w:p w14:paraId="12152979" w14:textId="77777777" w:rsidR="00D73C2E" w:rsidRDefault="00D73C2E" w:rsidP="00A91128">
      <w:pPr>
        <w:pStyle w:val="ListParagraph"/>
        <w:numPr>
          <w:ilvl w:val="2"/>
          <w:numId w:val="11"/>
        </w:numPr>
        <w:shd w:val="clear" w:color="auto" w:fill="FFFFFF" w:themeFill="background1"/>
      </w:pPr>
      <w:r>
        <w:t>General location of parking and open space areas.</w:t>
      </w:r>
    </w:p>
    <w:p w14:paraId="50E4CBE4" w14:textId="77777777" w:rsidR="00D73C2E" w:rsidRDefault="00D73C2E" w:rsidP="00A91128">
      <w:pPr>
        <w:pStyle w:val="ListParagraph"/>
        <w:numPr>
          <w:ilvl w:val="2"/>
          <w:numId w:val="11"/>
        </w:numPr>
        <w:shd w:val="clear" w:color="auto" w:fill="FFFFFF" w:themeFill="background1"/>
      </w:pPr>
      <w:r>
        <w:t>Approximate building footprints and setbacks.</w:t>
      </w:r>
    </w:p>
    <w:p w14:paraId="746EC7DC" w14:textId="77777777" w:rsidR="00D73C2E" w:rsidRDefault="00D73C2E" w:rsidP="00A91128">
      <w:pPr>
        <w:pStyle w:val="ListParagraph"/>
        <w:numPr>
          <w:ilvl w:val="2"/>
          <w:numId w:val="11"/>
        </w:numPr>
        <w:shd w:val="clear" w:color="auto" w:fill="FFFFFF" w:themeFill="background1"/>
      </w:pPr>
      <w:r>
        <w:t>Locations of anticipated utility easements or service corridors.</w:t>
      </w:r>
    </w:p>
    <w:p w14:paraId="58F6418D" w14:textId="77777777" w:rsidR="00C93AEA" w:rsidRDefault="00C93AEA" w:rsidP="00A91128">
      <w:pPr>
        <w:pStyle w:val="ListParagraph"/>
        <w:numPr>
          <w:ilvl w:val="0"/>
          <w:numId w:val="11"/>
        </w:numPr>
        <w:shd w:val="clear" w:color="auto" w:fill="FFFFFF" w:themeFill="background1"/>
      </w:pPr>
      <w:r>
        <w:t>Development Summary Table:</w:t>
      </w:r>
    </w:p>
    <w:p w14:paraId="7A3D9729" w14:textId="77777777" w:rsidR="00C93AEA" w:rsidRDefault="00C93AEA" w:rsidP="00A91128">
      <w:pPr>
        <w:pStyle w:val="ListParagraph"/>
        <w:numPr>
          <w:ilvl w:val="1"/>
          <w:numId w:val="11"/>
        </w:numPr>
        <w:shd w:val="clear" w:color="auto" w:fill="FFFFFF" w:themeFill="background1"/>
      </w:pPr>
      <w:r>
        <w:t>Summary of:</w:t>
      </w:r>
    </w:p>
    <w:p w14:paraId="27DCF10A" w14:textId="77777777" w:rsidR="00C93AEA" w:rsidRDefault="00C93AEA" w:rsidP="00A91128">
      <w:pPr>
        <w:pStyle w:val="ListParagraph"/>
        <w:numPr>
          <w:ilvl w:val="2"/>
          <w:numId w:val="11"/>
        </w:numPr>
        <w:shd w:val="clear" w:color="auto" w:fill="FFFFFF" w:themeFill="background1"/>
      </w:pPr>
      <w:r>
        <w:t>Proposed number and type of dwelling units.</w:t>
      </w:r>
    </w:p>
    <w:p w14:paraId="6217CAE5" w14:textId="77777777" w:rsidR="005779F5" w:rsidRDefault="005779F5" w:rsidP="00A91128">
      <w:pPr>
        <w:pStyle w:val="ListParagraph"/>
        <w:numPr>
          <w:ilvl w:val="2"/>
          <w:numId w:val="11"/>
        </w:numPr>
        <w:shd w:val="clear" w:color="auto" w:fill="FFFFFF" w:themeFill="background1"/>
      </w:pPr>
      <w:r>
        <w:t>Approximate density.</w:t>
      </w:r>
    </w:p>
    <w:p w14:paraId="45CFB139" w14:textId="77777777" w:rsidR="000B48BB" w:rsidRDefault="000B48BB" w:rsidP="00A91128">
      <w:pPr>
        <w:pStyle w:val="ListParagraph"/>
        <w:numPr>
          <w:ilvl w:val="2"/>
          <w:numId w:val="11"/>
        </w:numPr>
        <w:shd w:val="clear" w:color="auto" w:fill="FFFFFF" w:themeFill="background1"/>
      </w:pPr>
      <w:r>
        <w:t>Estimated land area for buildings, open space, landscaping, and parking.</w:t>
      </w:r>
    </w:p>
    <w:p w14:paraId="4BCE9F1D" w14:textId="77777777" w:rsidR="00506066" w:rsidRDefault="00506066" w:rsidP="00A91128">
      <w:pPr>
        <w:pStyle w:val="ListParagraph"/>
        <w:numPr>
          <w:ilvl w:val="2"/>
          <w:numId w:val="11"/>
        </w:numPr>
        <w:shd w:val="clear" w:color="auto" w:fill="FFFFFF" w:themeFill="background1"/>
      </w:pPr>
      <w:r>
        <w:t>Phasing plan (if applicable).</w:t>
      </w:r>
    </w:p>
    <w:p w14:paraId="50BAF958" w14:textId="77777777" w:rsidR="00506066" w:rsidRDefault="00506066" w:rsidP="00A91128">
      <w:pPr>
        <w:pStyle w:val="ListParagraph"/>
        <w:numPr>
          <w:ilvl w:val="0"/>
          <w:numId w:val="11"/>
        </w:numPr>
        <w:shd w:val="clear" w:color="auto" w:fill="FFFFFF" w:themeFill="background1"/>
      </w:pPr>
      <w:r>
        <w:t>Topographic Map:</w:t>
      </w:r>
    </w:p>
    <w:p w14:paraId="2FFC8EB2" w14:textId="77777777" w:rsidR="00506066" w:rsidRDefault="00506066" w:rsidP="00A91128">
      <w:pPr>
        <w:pStyle w:val="ListParagraph"/>
        <w:numPr>
          <w:ilvl w:val="1"/>
          <w:numId w:val="11"/>
        </w:numPr>
        <w:shd w:val="clear" w:color="auto" w:fill="FFFFFF" w:themeFill="background1"/>
      </w:pPr>
      <w:r>
        <w:t>Existing topography at two-foot (2’) contour intervals, or as otherwise determined sufficient by the Zoning Administrator.</w:t>
      </w:r>
    </w:p>
    <w:p w14:paraId="06FB0175" w14:textId="77777777" w:rsidR="00B07664" w:rsidRDefault="00B07664" w:rsidP="00A91128">
      <w:pPr>
        <w:pStyle w:val="ListParagraph"/>
        <w:numPr>
          <w:ilvl w:val="0"/>
          <w:numId w:val="11"/>
        </w:numPr>
        <w:shd w:val="clear" w:color="auto" w:fill="FFFFFF" w:themeFill="background1"/>
      </w:pPr>
      <w:r>
        <w:t>Preliminary Utility and Infrastructure Concept:</w:t>
      </w:r>
    </w:p>
    <w:p w14:paraId="6673A138" w14:textId="77777777" w:rsidR="00B07664" w:rsidRDefault="00B07664" w:rsidP="00A91128">
      <w:pPr>
        <w:pStyle w:val="ListParagraph"/>
        <w:numPr>
          <w:ilvl w:val="1"/>
          <w:numId w:val="11"/>
        </w:numPr>
        <w:shd w:val="clear" w:color="auto" w:fill="FFFFFF" w:themeFill="background1"/>
      </w:pPr>
      <w:r>
        <w:t>General explanation of how the site will be served by water, sewer, and storm drainage.</w:t>
      </w:r>
    </w:p>
    <w:p w14:paraId="7CFCD8A0" w14:textId="77777777" w:rsidR="00B07664" w:rsidRDefault="00B07664" w:rsidP="00A91128">
      <w:pPr>
        <w:pStyle w:val="ListParagraph"/>
        <w:numPr>
          <w:ilvl w:val="1"/>
          <w:numId w:val="11"/>
        </w:numPr>
        <w:shd w:val="clear" w:color="auto" w:fill="FFFFFF" w:themeFill="background1"/>
      </w:pPr>
      <w:r>
        <w:t>Identification of any major off-site improvements anticipated.</w:t>
      </w:r>
    </w:p>
    <w:p w14:paraId="0C29C0B7" w14:textId="3AFC50AD" w:rsidR="008B2957" w:rsidRPr="008B2957" w:rsidRDefault="008B2957" w:rsidP="008B2957">
      <w:pPr>
        <w:shd w:val="clear" w:color="auto" w:fill="FFFFFF" w:themeFill="background1"/>
        <w:ind w:left="1080"/>
        <w:rPr>
          <w:color w:val="156082" w:themeColor="accent1"/>
        </w:rPr>
      </w:pPr>
      <w:r>
        <w:t xml:space="preserve">3. </w:t>
      </w:r>
      <w:r>
        <w:t xml:space="preserve">  </w:t>
      </w:r>
      <w:r w:rsidRPr="008B2957">
        <w:rPr>
          <w:color w:val="156082" w:themeColor="accent1"/>
        </w:rPr>
        <w:t>The City Engineer, Planning Commission, or City Council may require a traffic impact analysis when, based upon the scale, location, or anticipated traffic impacts of the proposed development, such analysis is reasonably necessary to evaluate transportation impacts or identify appropriate mitigation measures.</w:t>
      </w:r>
    </w:p>
    <w:p w14:paraId="0B0F78ED" w14:textId="77777777" w:rsidR="00B07664" w:rsidRPr="008B2957" w:rsidRDefault="00B07664" w:rsidP="00A91128">
      <w:pPr>
        <w:shd w:val="clear" w:color="auto" w:fill="FFFFFF" w:themeFill="background1"/>
        <w:rPr>
          <w:color w:val="156082" w:themeColor="accent1"/>
        </w:rPr>
      </w:pPr>
    </w:p>
    <w:p w14:paraId="6B9EC6E1" w14:textId="77777777" w:rsidR="00E4394E" w:rsidRDefault="0066206B" w:rsidP="00A91128">
      <w:pPr>
        <w:pStyle w:val="SCD2"/>
        <w:shd w:val="clear" w:color="auto" w:fill="FFFFFF" w:themeFill="background1"/>
      </w:pPr>
      <w:bookmarkStart w:id="9" w:name="_Toc201741923"/>
      <w:r>
        <w:t>10.16.040.10</w:t>
      </w:r>
      <w:r>
        <w:tab/>
        <w:t>STAFF REVIEW</w:t>
      </w:r>
      <w:bookmarkEnd w:id="9"/>
    </w:p>
    <w:p w14:paraId="45409B13" w14:textId="77777777" w:rsidR="00E4394E" w:rsidRDefault="00E4394E" w:rsidP="00A91128">
      <w:pPr>
        <w:shd w:val="clear" w:color="auto" w:fill="FFFFFF" w:themeFill="background1"/>
      </w:pPr>
      <w:r>
        <w:t xml:space="preserve">The City staff shall receive and check the MHDR application for general compliance with this section and required submissions. If the MHDR application is not complete or not in general </w:t>
      </w:r>
      <w:r>
        <w:lastRenderedPageBreak/>
        <w:t>compliance, the City staff shall notify the applicant and specify the deficiencies in the application. If the submission is complete and in general compliance, the application shall be forwarded to the Planning Commission for their review and possible recommendation.</w:t>
      </w:r>
    </w:p>
    <w:p w14:paraId="5A8A1320" w14:textId="77777777" w:rsidR="00A053CC" w:rsidRDefault="00A053CC" w:rsidP="00A91128">
      <w:pPr>
        <w:shd w:val="clear" w:color="auto" w:fill="FFFFFF" w:themeFill="background1"/>
      </w:pPr>
    </w:p>
    <w:p w14:paraId="7E0C89B0" w14:textId="77777777" w:rsidR="00A053CC" w:rsidRDefault="0066206B" w:rsidP="00A91128">
      <w:pPr>
        <w:pStyle w:val="SCD2"/>
        <w:shd w:val="clear" w:color="auto" w:fill="FFFFFF" w:themeFill="background1"/>
      </w:pPr>
      <w:bookmarkStart w:id="10" w:name="_Toc201741924"/>
      <w:r>
        <w:t>10.16.040.11</w:t>
      </w:r>
      <w:r>
        <w:tab/>
        <w:t>PLANNING COMMISSION REVIEW</w:t>
      </w:r>
      <w:bookmarkEnd w:id="10"/>
    </w:p>
    <w:p w14:paraId="420B27B0" w14:textId="77777777" w:rsidR="00A053CC" w:rsidRDefault="00A053CC" w:rsidP="00A91128">
      <w:pPr>
        <w:shd w:val="clear" w:color="auto" w:fill="FFFFFF" w:themeFill="background1"/>
      </w:pPr>
      <w:r>
        <w:t>Once the staff review of the application has been completed, the City staff shall forward the MHDR Overlay application to the Planning Commission for review and possible recommendation.</w:t>
      </w:r>
    </w:p>
    <w:p w14:paraId="40FE636E" w14:textId="77777777" w:rsidR="0090531A" w:rsidRDefault="00A053CC" w:rsidP="00A91128">
      <w:pPr>
        <w:pStyle w:val="ListParagraph"/>
        <w:numPr>
          <w:ilvl w:val="0"/>
          <w:numId w:val="12"/>
        </w:numPr>
        <w:shd w:val="clear" w:color="auto" w:fill="FFFFFF" w:themeFill="background1"/>
      </w:pPr>
      <w:r>
        <w:t>The Planning Commission shall hold a public hearing on the MHDR Overlay and shall provide adequate public notice as required by Utah State Code.</w:t>
      </w:r>
    </w:p>
    <w:p w14:paraId="7A393A4A" w14:textId="77777777" w:rsidR="00A053CC" w:rsidRDefault="0090531A" w:rsidP="00A91128">
      <w:pPr>
        <w:pStyle w:val="ListParagraph"/>
        <w:numPr>
          <w:ilvl w:val="0"/>
          <w:numId w:val="12"/>
        </w:numPr>
        <w:shd w:val="clear" w:color="auto" w:fill="FFFFFF" w:themeFill="background1"/>
      </w:pPr>
      <w:r>
        <w:t>The Planning Commission shall review the application and shall forward a recommendation to the City Council to approve, approve with conditions, or deny the application. In making its recommendation, the Planning Commission shall consider whether the proposed overlay fulfills the intent and goals outlined in the Purpose section and meets the following standards:</w:t>
      </w:r>
    </w:p>
    <w:p w14:paraId="007E2618" w14:textId="77777777" w:rsidR="00826823" w:rsidRDefault="00826823" w:rsidP="00A91128">
      <w:pPr>
        <w:pStyle w:val="ListParagraph"/>
        <w:numPr>
          <w:ilvl w:val="1"/>
          <w:numId w:val="12"/>
        </w:numPr>
        <w:shd w:val="clear" w:color="auto" w:fill="FFFFFF" w:themeFill="background1"/>
      </w:pPr>
      <w:r>
        <w:t>General Plan Consistency: The proposed overlay supports the goals, policies, and future land use designations of the City’s adopted General Plan.</w:t>
      </w:r>
    </w:p>
    <w:p w14:paraId="028807EB" w14:textId="77777777" w:rsidR="00826823" w:rsidRDefault="00826823" w:rsidP="00A91128">
      <w:pPr>
        <w:pStyle w:val="ListParagraph"/>
        <w:numPr>
          <w:ilvl w:val="1"/>
          <w:numId w:val="12"/>
        </w:numPr>
        <w:shd w:val="clear" w:color="auto" w:fill="FFFFFF" w:themeFill="background1"/>
      </w:pPr>
      <w:r>
        <w:t>Site Suitability: The subject property is appropriate for the proposed housing types in terms of location, access, topography, and surrounding land uses.</w:t>
      </w:r>
    </w:p>
    <w:p w14:paraId="37A46165" w14:textId="77777777" w:rsidR="00E03217" w:rsidRDefault="00E03217" w:rsidP="00A91128">
      <w:pPr>
        <w:pStyle w:val="ListParagraph"/>
        <w:numPr>
          <w:ilvl w:val="1"/>
          <w:numId w:val="12"/>
        </w:numPr>
        <w:shd w:val="clear" w:color="auto" w:fill="FFFFFF" w:themeFill="background1"/>
      </w:pPr>
      <w:r>
        <w:t xml:space="preserve">Availability of Infrastructure: Adequate public services and infrastructure – including but not limited to water, sewer, storm drainage, and roadways – are available to serve the proposed </w:t>
      </w:r>
      <w:proofErr w:type="gramStart"/>
      <w:r>
        <w:t>development, or</w:t>
      </w:r>
      <w:proofErr w:type="gramEnd"/>
      <w:r>
        <w:t xml:space="preserve"> will be made available as a condition of development.</w:t>
      </w:r>
    </w:p>
    <w:p w14:paraId="3839264F" w14:textId="77777777" w:rsidR="0081025F" w:rsidRDefault="0081025F" w:rsidP="00A91128">
      <w:pPr>
        <w:pStyle w:val="ListParagraph"/>
        <w:numPr>
          <w:ilvl w:val="1"/>
          <w:numId w:val="12"/>
        </w:numPr>
        <w:shd w:val="clear" w:color="auto" w:fill="FFFFFF" w:themeFill="background1"/>
      </w:pPr>
      <w:r>
        <w:t>Purpose and Intent of Overlay: The proposal is consistent with the purpose and intent of the MHDR Overlay Zone and provides a clear community benefit through expanded housing options and efficient land use.</w:t>
      </w:r>
    </w:p>
    <w:p w14:paraId="037F824A" w14:textId="77777777" w:rsidR="005A3911" w:rsidRDefault="005A3911" w:rsidP="00A91128">
      <w:pPr>
        <w:pStyle w:val="ListParagraph"/>
        <w:numPr>
          <w:ilvl w:val="1"/>
          <w:numId w:val="12"/>
        </w:numPr>
        <w:shd w:val="clear" w:color="auto" w:fill="FFFFFF" w:themeFill="background1"/>
      </w:pPr>
      <w:r>
        <w:t>Neighborhood Compatibility: The proposed housing types, layout, building scale, and site design are compatible with adjacent land uses and zoning, or appropriate transitions, buffering, or mitigation measures are provided.</w:t>
      </w:r>
    </w:p>
    <w:p w14:paraId="4DB5FF56" w14:textId="77777777" w:rsidR="00BE219A" w:rsidRDefault="00BE219A" w:rsidP="00A91128">
      <w:pPr>
        <w:pStyle w:val="ListParagraph"/>
        <w:numPr>
          <w:ilvl w:val="1"/>
          <w:numId w:val="12"/>
        </w:numPr>
        <w:shd w:val="clear" w:color="auto" w:fill="FFFFFF" w:themeFill="background1"/>
      </w:pPr>
      <w:r>
        <w:t>Site Design Feasibility: The conceptual site plan demonstrates that the proposed development can be accommodated on the site in compliance with applicable physical standards and without excessive reliance on variances or modifications.</w:t>
      </w:r>
    </w:p>
    <w:p w14:paraId="5A1177C2" w14:textId="77777777" w:rsidR="00F40179" w:rsidRDefault="00C92A01" w:rsidP="00A91128">
      <w:pPr>
        <w:pStyle w:val="ListParagraph"/>
        <w:numPr>
          <w:ilvl w:val="1"/>
          <w:numId w:val="12"/>
        </w:numPr>
        <w:shd w:val="clear" w:color="auto" w:fill="FFFFFF" w:themeFill="background1"/>
      </w:pPr>
      <w:r>
        <w:t xml:space="preserve">Traffic and Access: The proposed development will not result in unreasonable traffic congestion or safety </w:t>
      </w:r>
      <w:proofErr w:type="gramStart"/>
      <w:r>
        <w:t>hazards, and</w:t>
      </w:r>
      <w:proofErr w:type="gramEnd"/>
      <w:r>
        <w:t xml:space="preserve"> provides for safe and adequate access to public roads.</w:t>
      </w:r>
    </w:p>
    <w:p w14:paraId="6B2C2E6E" w14:textId="77777777" w:rsidR="00DB0D89" w:rsidRDefault="00DB0D89" w:rsidP="00A91128">
      <w:pPr>
        <w:shd w:val="clear" w:color="auto" w:fill="FFFFFF" w:themeFill="background1"/>
      </w:pPr>
    </w:p>
    <w:p w14:paraId="18FE33D0" w14:textId="77777777" w:rsidR="00DB0D89" w:rsidRDefault="0066206B" w:rsidP="00A91128">
      <w:pPr>
        <w:pStyle w:val="SCD2"/>
        <w:shd w:val="clear" w:color="auto" w:fill="FFFFFF" w:themeFill="background1"/>
      </w:pPr>
      <w:bookmarkStart w:id="11" w:name="_Toc201741925"/>
      <w:r>
        <w:lastRenderedPageBreak/>
        <w:t>10.16.040.12</w:t>
      </w:r>
      <w:r>
        <w:tab/>
        <w:t>CITY COUNCIL REVIEW</w:t>
      </w:r>
      <w:bookmarkEnd w:id="11"/>
    </w:p>
    <w:p w14:paraId="6B168428" w14:textId="77777777" w:rsidR="00DB0D89" w:rsidRDefault="00DB0D89" w:rsidP="00A91128">
      <w:pPr>
        <w:shd w:val="clear" w:color="auto" w:fill="FFFFFF" w:themeFill="background1"/>
      </w:pPr>
      <w:r>
        <w:t>After reviewing the MHDR Overlay application, the Planning Commission shall forward its recommendation to the City Council for review and possible approval.</w:t>
      </w:r>
    </w:p>
    <w:p w14:paraId="59D8EB50" w14:textId="77777777" w:rsidR="006B1CEE" w:rsidRDefault="00BD31E5" w:rsidP="00A91128">
      <w:pPr>
        <w:pStyle w:val="ListParagraph"/>
        <w:numPr>
          <w:ilvl w:val="0"/>
          <w:numId w:val="13"/>
        </w:numPr>
        <w:shd w:val="clear" w:color="auto" w:fill="FFFFFF" w:themeFill="background1"/>
      </w:pPr>
      <w:r>
        <w:t>Final Action: The City Council shall take final action on the MHDR Overlay application. The City Council shall review the application for compliance with this section and shall approve, approve with conditions, or deny the MHDR application.</w:t>
      </w:r>
    </w:p>
    <w:p w14:paraId="71C854C5" w14:textId="77777777" w:rsidR="00512D95" w:rsidRDefault="00512D95" w:rsidP="00A91128">
      <w:pPr>
        <w:shd w:val="clear" w:color="auto" w:fill="FFFFFF" w:themeFill="background1"/>
      </w:pPr>
    </w:p>
    <w:p w14:paraId="2D68FB4F" w14:textId="77777777" w:rsidR="00512D95" w:rsidRDefault="0066206B" w:rsidP="00A91128">
      <w:pPr>
        <w:pStyle w:val="SCD2"/>
        <w:shd w:val="clear" w:color="auto" w:fill="FFFFFF" w:themeFill="background1"/>
      </w:pPr>
      <w:bookmarkStart w:id="12" w:name="_Toc201741926"/>
      <w:r>
        <w:t>10.16.040.13</w:t>
      </w:r>
      <w:r>
        <w:tab/>
        <w:t>DEVELOPMENT AGREEMENT</w:t>
      </w:r>
      <w:bookmarkEnd w:id="12"/>
    </w:p>
    <w:p w14:paraId="2F7DD559" w14:textId="77777777" w:rsidR="00512D95" w:rsidRDefault="00512D95" w:rsidP="00A91128">
      <w:pPr>
        <w:shd w:val="clear" w:color="auto" w:fill="FFFFFF" w:themeFill="background1"/>
      </w:pPr>
      <w:r>
        <w:t>The City Council may require a development agreement as a condition of approval for projects involving multiple phases, parcels, or public infrastructure improvements. The agreement may address the timing of construction, delivery of amenities, architectural standards, or other commitments necessary to ensure consistency with the approved overlay. The development agreement shall be recorded against the property prior to final plat approval, if applicable.</w:t>
      </w:r>
    </w:p>
    <w:p w14:paraId="74282CA1" w14:textId="77777777" w:rsidR="007E585F" w:rsidRPr="007E585F" w:rsidRDefault="007E585F" w:rsidP="00A91128">
      <w:pPr>
        <w:shd w:val="clear" w:color="auto" w:fill="FFFFFF" w:themeFill="background1"/>
        <w:rPr>
          <w:color w:val="156082" w:themeColor="accent1"/>
        </w:rPr>
      </w:pPr>
    </w:p>
    <w:p w14:paraId="27BE62D4" w14:textId="4DE22EBD" w:rsidR="007E585F" w:rsidRPr="007E585F" w:rsidRDefault="007E585F" w:rsidP="00A91128">
      <w:pPr>
        <w:shd w:val="clear" w:color="auto" w:fill="FFFFFF" w:themeFill="background1"/>
        <w:rPr>
          <w:color w:val="156082" w:themeColor="accent1"/>
        </w:rPr>
      </w:pPr>
      <w:r w:rsidRPr="007E585F">
        <w:rPr>
          <w:color w:val="156082" w:themeColor="accent1"/>
        </w:rPr>
        <w:t>A. Required for Increased Density: A development agreement shall be required for any project approved at a residential density greater than twelve (12) dwelling units per gross acre.</w:t>
      </w:r>
      <w:r w:rsidRPr="007E585F">
        <w:rPr>
          <w:color w:val="156082" w:themeColor="accent1"/>
        </w:rPr>
        <w:br/>
      </w:r>
      <w:r w:rsidRPr="007E585F">
        <w:rPr>
          <w:color w:val="156082" w:themeColor="accent1"/>
        </w:rPr>
        <w:br/>
        <w:t>B. Purpose: The development agreement shall memorialize the obligations of the applicant and the City and may address, as applicable:</w:t>
      </w:r>
      <w:r w:rsidRPr="007E585F">
        <w:rPr>
          <w:color w:val="156082" w:themeColor="accent1"/>
        </w:rPr>
        <w:br/>
        <w:t>1. Timing and phasing of construction;</w:t>
      </w:r>
      <w:r w:rsidRPr="007E585F">
        <w:rPr>
          <w:color w:val="156082" w:themeColor="accent1"/>
        </w:rPr>
        <w:br/>
        <w:t>2. Dedication of rights-of-way or easements;</w:t>
      </w:r>
      <w:r w:rsidRPr="007E585F">
        <w:rPr>
          <w:color w:val="156082" w:themeColor="accent1"/>
        </w:rPr>
        <w:br/>
        <w:t>3. Construction of public infrastructure or roadway improvements;</w:t>
      </w:r>
      <w:r w:rsidRPr="007E585F">
        <w:rPr>
          <w:color w:val="156082" w:themeColor="accent1"/>
        </w:rPr>
        <w:br/>
        <w:t>4. Architectural or site design commitments;</w:t>
      </w:r>
      <w:r w:rsidRPr="007E585F">
        <w:rPr>
          <w:color w:val="156082" w:themeColor="accent1"/>
        </w:rPr>
        <w:br/>
        <w:t>5. Maintenance responsibilities for private improvements, common open space, private streets, stormwater facilities, or other shared infrastructure; and</w:t>
      </w:r>
      <w:r w:rsidRPr="007E585F">
        <w:rPr>
          <w:color w:val="156082" w:themeColor="accent1"/>
        </w:rPr>
        <w:br/>
        <w:t>6. Any conditions of approval imposed by the City Council.</w:t>
      </w:r>
      <w:r w:rsidRPr="007E585F">
        <w:rPr>
          <w:color w:val="156082" w:themeColor="accent1"/>
        </w:rPr>
        <w:br/>
      </w:r>
      <w:r w:rsidRPr="007E585F">
        <w:rPr>
          <w:color w:val="156082" w:themeColor="accent1"/>
        </w:rPr>
        <w:br/>
        <w:t>C. Recording: The development agreement shall be executed and recorded against the property prior to final plat approval, where applicable.</w:t>
      </w:r>
      <w:r w:rsidRPr="007E585F">
        <w:rPr>
          <w:color w:val="156082" w:themeColor="accent1"/>
        </w:rPr>
        <w:br/>
      </w:r>
    </w:p>
    <w:p w14:paraId="096E9466" w14:textId="77777777" w:rsidR="006B1CEE" w:rsidRDefault="006B1CEE" w:rsidP="00A91128">
      <w:pPr>
        <w:shd w:val="clear" w:color="auto" w:fill="FFFFFF" w:themeFill="background1"/>
      </w:pPr>
    </w:p>
    <w:p w14:paraId="723FB118" w14:textId="77777777" w:rsidR="00735993" w:rsidRDefault="0066206B" w:rsidP="00A91128">
      <w:pPr>
        <w:pStyle w:val="SCD2"/>
        <w:shd w:val="clear" w:color="auto" w:fill="FFFFFF" w:themeFill="background1"/>
      </w:pPr>
      <w:bookmarkStart w:id="13" w:name="_Toc201741927"/>
      <w:r>
        <w:t>10.16.040.14</w:t>
      </w:r>
      <w:r>
        <w:tab/>
        <w:t>SUBDIVISION REQUIREMENTS</w:t>
      </w:r>
      <w:bookmarkEnd w:id="13"/>
    </w:p>
    <w:p w14:paraId="1079CDB9" w14:textId="77777777" w:rsidR="00BD31E5" w:rsidRDefault="00735993" w:rsidP="00A91128">
      <w:pPr>
        <w:shd w:val="clear" w:color="auto" w:fill="FFFFFF" w:themeFill="background1"/>
      </w:pPr>
      <w:r>
        <w:t>Compliance with this section does not exempt any applicant from meeting the subdivision requirements outlined in Title 11 of this Code.</w:t>
      </w:r>
    </w:p>
    <w:p w14:paraId="2BD5EA2E" w14:textId="77777777" w:rsidR="00DA0FFC" w:rsidRDefault="00DA0FFC" w:rsidP="00A91128">
      <w:pPr>
        <w:shd w:val="clear" w:color="auto" w:fill="FFFFFF" w:themeFill="background1"/>
      </w:pPr>
    </w:p>
    <w:p w14:paraId="4885B47C" w14:textId="77777777" w:rsidR="00C92200" w:rsidRDefault="00C92200" w:rsidP="00A91128">
      <w:pPr>
        <w:shd w:val="clear" w:color="auto" w:fill="FFFFFF" w:themeFill="background1"/>
      </w:pPr>
    </w:p>
    <w:p w14:paraId="4C69E7B7" w14:textId="77777777" w:rsidR="00C92200" w:rsidRPr="00BD69AA" w:rsidRDefault="00C92200" w:rsidP="00A91128">
      <w:pPr>
        <w:shd w:val="clear" w:color="auto" w:fill="FFFFFF" w:themeFill="background1"/>
        <w:spacing w:after="240"/>
        <w:rPr>
          <w:rFonts w:cs="Segoe UI Light"/>
        </w:rPr>
      </w:pPr>
      <w:r>
        <w:rPr>
          <w:rFonts w:cs="Segoe UI Light"/>
          <w:b/>
          <w:bCs/>
        </w:rPr>
        <w:t>Severability Clause:</w:t>
      </w:r>
      <w:r>
        <w:rPr>
          <w:rFonts w:cs="Segoe UI Light"/>
        </w:rPr>
        <w:t xml:space="preserve"> 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15EB3C30" w14:textId="77777777" w:rsidR="00C92200" w:rsidRPr="00BD69AA" w:rsidRDefault="00C92200" w:rsidP="00A91128">
      <w:pPr>
        <w:shd w:val="clear" w:color="auto" w:fill="FFFFFF" w:themeFill="background1"/>
        <w:spacing w:after="240"/>
        <w:rPr>
          <w:rFonts w:cs="Segoe UI Light"/>
        </w:rPr>
      </w:pPr>
      <w:r>
        <w:rPr>
          <w:rFonts w:cs="Segoe UI Light"/>
          <w:b/>
          <w:bCs/>
        </w:rPr>
        <w:t>Effective Date:</w:t>
      </w:r>
      <w:r>
        <w:rPr>
          <w:rFonts w:cs="Segoe UI Light"/>
        </w:rPr>
        <w:t xml:space="preserve"> This Ordinance shall be in full force and take effect on _______________, 2026</w:t>
      </w:r>
    </w:p>
    <w:p w14:paraId="7C70B5B5" w14:textId="77777777" w:rsidR="00C92200" w:rsidRPr="00BD69AA" w:rsidRDefault="00C92200" w:rsidP="00A91128">
      <w:pPr>
        <w:shd w:val="clear" w:color="auto" w:fill="FFFFFF" w:themeFill="background1"/>
        <w:spacing w:after="240"/>
        <w:rPr>
          <w:rFonts w:cs="Segoe UI Light"/>
        </w:rPr>
      </w:pPr>
      <w:proofErr w:type="spellStart"/>
      <w:r>
        <w:rPr>
          <w:rFonts w:cs="Segoe UI Light"/>
          <w:b/>
          <w:bCs/>
        </w:rPr>
        <w:t>Repealer</w:t>
      </w:r>
      <w:proofErr w:type="spellEnd"/>
      <w:r>
        <w:rPr>
          <w:rFonts w:cs="Segoe UI Light"/>
          <w:b/>
          <w:bCs/>
        </w:rPr>
        <w:t xml:space="preserve"> Clause:</w:t>
      </w:r>
      <w:r>
        <w:rPr>
          <w:rFonts w:cs="Segoe UI Light"/>
        </w:rPr>
        <w:t xml:space="preserve"> All Mount Pleasant City ordinances or resolutions or parts thereof, which are in conflict herewith, are hereby repealed.</w:t>
      </w:r>
    </w:p>
    <w:p w14:paraId="0AF7CA68" w14:textId="77777777" w:rsidR="00C92200" w:rsidRPr="00BD69AA" w:rsidRDefault="00C92200" w:rsidP="00A91128">
      <w:pPr>
        <w:shd w:val="clear" w:color="auto" w:fill="FFFFFF" w:themeFill="background1"/>
        <w:spacing w:after="240"/>
        <w:rPr>
          <w:rFonts w:cs="Segoe UI Light"/>
        </w:rPr>
      </w:pPr>
      <w:r>
        <w:rPr>
          <w:rFonts w:cs="Segoe UI Light"/>
          <w:b/>
          <w:bCs/>
        </w:rPr>
        <w:t>PASSED AND APPROVED</w:t>
      </w:r>
      <w:r>
        <w:rPr>
          <w:rFonts w:cs="Segoe UI Light"/>
        </w:rPr>
        <w:t xml:space="preserve"> this _____ day of ________________, 2026.</w:t>
      </w:r>
    </w:p>
    <w:p w14:paraId="5F1CAFC0" w14:textId="77777777" w:rsidR="00C92200" w:rsidRPr="00BD69AA" w:rsidRDefault="00C92200" w:rsidP="00A91128">
      <w:pPr>
        <w:shd w:val="clear" w:color="auto" w:fill="FFFFFF" w:themeFill="background1"/>
        <w:rPr>
          <w:rFonts w:cs="Segoe UI Light"/>
        </w:rPr>
      </w:pPr>
    </w:p>
    <w:p w14:paraId="6A8F4CE3" w14:textId="77777777" w:rsidR="00C92200" w:rsidRPr="00BD69AA" w:rsidRDefault="00C92200" w:rsidP="00A91128">
      <w:pPr>
        <w:shd w:val="clear" w:color="auto" w:fill="FFFFFF" w:themeFill="background1"/>
        <w:rPr>
          <w:rFonts w:cs="Segoe UI Light"/>
        </w:rPr>
      </w:pPr>
    </w:p>
    <w:p w14:paraId="16858F23" w14:textId="77777777" w:rsidR="00C92200" w:rsidRPr="00BD69AA" w:rsidRDefault="00C92200" w:rsidP="00A91128">
      <w:pPr>
        <w:shd w:val="clear" w:color="auto" w:fill="FFFFFF" w:themeFill="background1"/>
        <w:contextualSpacing/>
        <w:rPr>
          <w:rFonts w:cs="Segoe UI Light"/>
        </w:rPr>
      </w:pPr>
      <w:r>
        <w:rPr>
          <w:rFonts w:cs="Segoe UI Light"/>
        </w:rPr>
        <w:tab/>
      </w:r>
      <w:r>
        <w:rPr>
          <w:rFonts w:cs="Segoe UI Light"/>
        </w:rPr>
        <w:tab/>
      </w:r>
      <w:r>
        <w:rPr>
          <w:rFonts w:cs="Segoe UI Light"/>
        </w:rPr>
        <w:tab/>
      </w:r>
      <w:r>
        <w:rPr>
          <w:rFonts w:cs="Segoe UI Light"/>
        </w:rPr>
        <w:tab/>
      </w:r>
      <w:r>
        <w:rPr>
          <w:rFonts w:cs="Segoe UI Light"/>
        </w:rPr>
        <w:tab/>
      </w:r>
      <w:r>
        <w:rPr>
          <w:rFonts w:cs="Segoe UI Light"/>
        </w:rPr>
        <w:tab/>
      </w:r>
      <w:r>
        <w:rPr>
          <w:rFonts w:cs="Segoe UI Light"/>
        </w:rPr>
        <w:tab/>
        <w:t>Attest:</w:t>
      </w:r>
    </w:p>
    <w:p w14:paraId="1CD0F00F" w14:textId="77777777" w:rsidR="00C92200" w:rsidRPr="00BD69AA" w:rsidRDefault="00C92200" w:rsidP="00A91128">
      <w:pPr>
        <w:shd w:val="clear" w:color="auto" w:fill="FFFFFF" w:themeFill="background1"/>
        <w:contextualSpacing/>
        <w:rPr>
          <w:rFonts w:cs="Segoe UI Light"/>
        </w:rPr>
      </w:pPr>
    </w:p>
    <w:p w14:paraId="169627B9" w14:textId="77777777" w:rsidR="00C92200" w:rsidRPr="00BD69AA" w:rsidRDefault="00C92200" w:rsidP="00A91128">
      <w:pPr>
        <w:shd w:val="clear" w:color="auto" w:fill="FFFFFF" w:themeFill="background1"/>
        <w:contextualSpacing/>
        <w:rPr>
          <w:rFonts w:cs="Segoe UI Light"/>
        </w:rPr>
      </w:pPr>
      <w:r>
        <w:rPr>
          <w:rFonts w:cs="Segoe UI Light"/>
        </w:rPr>
        <w:t>___________________________________</w:t>
      </w:r>
      <w:r>
        <w:rPr>
          <w:rFonts w:cs="Segoe UI Light"/>
        </w:rPr>
        <w:tab/>
      </w:r>
      <w:r>
        <w:rPr>
          <w:rFonts w:cs="Segoe UI Light"/>
        </w:rPr>
        <w:tab/>
        <w:t>____________________________________</w:t>
      </w:r>
    </w:p>
    <w:p w14:paraId="197EA77F" w14:textId="77777777" w:rsidR="00C92200" w:rsidRPr="00BD69AA" w:rsidRDefault="00C92200" w:rsidP="00A91128">
      <w:pPr>
        <w:shd w:val="clear" w:color="auto" w:fill="FFFFFF" w:themeFill="background1"/>
        <w:contextualSpacing/>
        <w:rPr>
          <w:rFonts w:cs="Segoe UI Light"/>
        </w:rPr>
      </w:pPr>
      <w:r>
        <w:rPr>
          <w:rFonts w:cs="Segoe UI Light"/>
        </w:rPr>
        <w:t>Michael Olsen, Mayor</w:t>
      </w:r>
      <w:r>
        <w:rPr>
          <w:rFonts w:cs="Segoe UI Light"/>
        </w:rPr>
        <w:tab/>
      </w:r>
      <w:r>
        <w:rPr>
          <w:rFonts w:cs="Segoe UI Light"/>
        </w:rPr>
        <w:tab/>
      </w:r>
      <w:r>
        <w:rPr>
          <w:rFonts w:cs="Segoe UI Light"/>
        </w:rPr>
        <w:tab/>
        <w:t xml:space="preserve"> </w:t>
      </w:r>
      <w:r>
        <w:rPr>
          <w:rFonts w:cs="Segoe UI Light"/>
        </w:rPr>
        <w:tab/>
        <w:t>Natalie Crosby, Recorder</w:t>
      </w:r>
    </w:p>
    <w:p w14:paraId="2AEC6AF6" w14:textId="77777777" w:rsidR="00C92200" w:rsidRPr="00BD69AA" w:rsidRDefault="00C92200" w:rsidP="00A91128">
      <w:pPr>
        <w:shd w:val="clear" w:color="auto" w:fill="FFFFFF" w:themeFill="background1"/>
        <w:contextualSpacing/>
        <w:rPr>
          <w:rFonts w:cs="Segoe UI Light"/>
        </w:rPr>
      </w:pPr>
    </w:p>
    <w:p w14:paraId="4AD01F35" w14:textId="77777777" w:rsidR="00C92200" w:rsidRPr="00BD69AA" w:rsidRDefault="00C92200" w:rsidP="00A91128">
      <w:pPr>
        <w:shd w:val="clear" w:color="auto" w:fill="FFFFFF" w:themeFill="background1"/>
        <w:contextualSpacing/>
        <w:rPr>
          <w:rFonts w:cs="Segoe UI Light"/>
        </w:rPr>
      </w:pPr>
    </w:p>
    <w:p w14:paraId="2D4A04CE" w14:textId="77777777" w:rsidR="00C92200" w:rsidRPr="00BD69AA" w:rsidRDefault="00C92200" w:rsidP="00A91128">
      <w:pPr>
        <w:shd w:val="clear" w:color="auto" w:fill="FFFFFF" w:themeFill="background1"/>
        <w:contextualSpacing/>
        <w:rPr>
          <w:rFonts w:cs="Segoe UI Light"/>
        </w:rPr>
      </w:pPr>
      <w:r>
        <w:rPr>
          <w:rFonts w:cs="Segoe UI Light"/>
        </w:rPr>
        <w:t>City Council Member Russell Keisel</w:t>
      </w:r>
      <w:r>
        <w:rPr>
          <w:rFonts w:cs="Segoe UI Light"/>
        </w:rPr>
        <w:tab/>
      </w:r>
      <w:r>
        <w:rPr>
          <w:rFonts w:cs="Segoe UI Light"/>
        </w:rPr>
        <w:tab/>
      </w:r>
      <w:r>
        <w:rPr>
          <w:rFonts w:cs="Segoe UI Light"/>
        </w:rPr>
        <w:tab/>
        <w:t>Yea____ Nay____ Absent____</w:t>
      </w:r>
    </w:p>
    <w:p w14:paraId="0BA7106E" w14:textId="77777777" w:rsidR="00C92200" w:rsidRPr="00BD69AA" w:rsidRDefault="00C92200" w:rsidP="00A91128">
      <w:pPr>
        <w:shd w:val="clear" w:color="auto" w:fill="FFFFFF" w:themeFill="background1"/>
        <w:contextualSpacing/>
        <w:rPr>
          <w:rFonts w:cs="Segoe UI Light"/>
        </w:rPr>
      </w:pPr>
      <w:r>
        <w:rPr>
          <w:rFonts w:cs="Segoe UI Light"/>
        </w:rPr>
        <w:t xml:space="preserve">City Council Member </w:t>
      </w:r>
      <w:r w:rsidR="009D1FB0">
        <w:rPr>
          <w:rFonts w:cs="Segoe UI Light"/>
        </w:rPr>
        <w:t>Jakob Howcroft</w:t>
      </w:r>
      <w:r>
        <w:rPr>
          <w:rFonts w:cs="Segoe UI Light"/>
        </w:rPr>
        <w:tab/>
      </w:r>
      <w:r>
        <w:rPr>
          <w:rFonts w:cs="Segoe UI Light"/>
        </w:rPr>
        <w:tab/>
        <w:t>Yea____ Nay____ Absent____</w:t>
      </w:r>
    </w:p>
    <w:p w14:paraId="232E0B47" w14:textId="77777777" w:rsidR="00C92200" w:rsidRPr="00BD69AA" w:rsidRDefault="00C92200" w:rsidP="00A91128">
      <w:pPr>
        <w:shd w:val="clear" w:color="auto" w:fill="FFFFFF" w:themeFill="background1"/>
        <w:contextualSpacing/>
        <w:rPr>
          <w:rFonts w:cs="Segoe UI Light"/>
        </w:rPr>
      </w:pPr>
      <w:r>
        <w:rPr>
          <w:rFonts w:cs="Segoe UI Light"/>
        </w:rPr>
        <w:t xml:space="preserve">City Council Member Rondy Black </w:t>
      </w:r>
      <w:r>
        <w:rPr>
          <w:rFonts w:cs="Segoe UI Light"/>
        </w:rPr>
        <w:tab/>
      </w:r>
      <w:r>
        <w:rPr>
          <w:rFonts w:cs="Segoe UI Light"/>
        </w:rPr>
        <w:tab/>
      </w:r>
      <w:r>
        <w:rPr>
          <w:rFonts w:cs="Segoe UI Light"/>
        </w:rPr>
        <w:tab/>
        <w:t>Yea____ Nay____ Absent____</w:t>
      </w:r>
    </w:p>
    <w:p w14:paraId="387368ED" w14:textId="77777777" w:rsidR="00C92200" w:rsidRPr="00BD69AA" w:rsidRDefault="00C92200" w:rsidP="00A91128">
      <w:pPr>
        <w:shd w:val="clear" w:color="auto" w:fill="FFFFFF" w:themeFill="background1"/>
        <w:contextualSpacing/>
        <w:rPr>
          <w:rFonts w:cs="Segoe UI Light"/>
        </w:rPr>
      </w:pPr>
      <w:r>
        <w:rPr>
          <w:rFonts w:cs="Segoe UI Light"/>
        </w:rPr>
        <w:t>City Council Member Lynn Beesley</w:t>
      </w:r>
      <w:r>
        <w:rPr>
          <w:rFonts w:cs="Segoe UI Light"/>
        </w:rPr>
        <w:tab/>
      </w:r>
      <w:r>
        <w:rPr>
          <w:rFonts w:cs="Segoe UI Light"/>
        </w:rPr>
        <w:tab/>
      </w:r>
      <w:r>
        <w:rPr>
          <w:rFonts w:cs="Segoe UI Light"/>
        </w:rPr>
        <w:tab/>
        <w:t>Yea____ Nay____ Absent____</w:t>
      </w:r>
    </w:p>
    <w:p w14:paraId="3E8D2689" w14:textId="77777777" w:rsidR="00C92200" w:rsidRPr="00BD69AA" w:rsidRDefault="00C92200" w:rsidP="00A91128">
      <w:pPr>
        <w:shd w:val="clear" w:color="auto" w:fill="FFFFFF" w:themeFill="background1"/>
        <w:contextualSpacing/>
        <w:rPr>
          <w:rFonts w:cs="Segoe UI Light"/>
        </w:rPr>
      </w:pPr>
      <w:r>
        <w:rPr>
          <w:rFonts w:cs="Segoe UI Light"/>
        </w:rPr>
        <w:t>City Council Member Cade Beck</w:t>
      </w:r>
      <w:r>
        <w:rPr>
          <w:rFonts w:cs="Segoe UI Light"/>
        </w:rPr>
        <w:tab/>
      </w:r>
      <w:r>
        <w:rPr>
          <w:rFonts w:cs="Segoe UI Light"/>
        </w:rPr>
        <w:tab/>
      </w:r>
      <w:r>
        <w:rPr>
          <w:rFonts w:cs="Segoe UI Light"/>
        </w:rPr>
        <w:tab/>
        <w:t>Yea____ Nay____ Absent____</w:t>
      </w:r>
    </w:p>
    <w:p w14:paraId="480C38D3" w14:textId="77777777" w:rsidR="00C92200" w:rsidRPr="00BD69AA" w:rsidRDefault="00C92200" w:rsidP="00A91128">
      <w:pPr>
        <w:shd w:val="clear" w:color="auto" w:fill="FFFFFF" w:themeFill="background1"/>
        <w:contextualSpacing/>
        <w:rPr>
          <w:rFonts w:cs="Segoe UI Light"/>
        </w:rPr>
      </w:pPr>
    </w:p>
    <w:p w14:paraId="17ECD570" w14:textId="77777777" w:rsidR="00C92200" w:rsidRPr="00BD69AA" w:rsidRDefault="00C92200" w:rsidP="00A91128">
      <w:pPr>
        <w:shd w:val="clear" w:color="auto" w:fill="FFFFFF" w:themeFill="background1"/>
        <w:contextualSpacing/>
        <w:rPr>
          <w:rFonts w:cs="Segoe UI Light"/>
        </w:rPr>
      </w:pPr>
      <w:r>
        <w:rPr>
          <w:rFonts w:cs="Segoe UI Light"/>
        </w:rPr>
        <w:t>RECORDED this ____ day of _________________, 2026.</w:t>
      </w:r>
    </w:p>
    <w:p w14:paraId="73C4FAE8" w14:textId="77777777" w:rsidR="00C92200" w:rsidRPr="00BD69AA" w:rsidRDefault="00C92200" w:rsidP="00A91128">
      <w:pPr>
        <w:shd w:val="clear" w:color="auto" w:fill="FFFFFF" w:themeFill="background1"/>
        <w:contextualSpacing/>
        <w:rPr>
          <w:rFonts w:cs="Segoe UI Light"/>
        </w:rPr>
      </w:pPr>
      <w:r>
        <w:rPr>
          <w:rFonts w:cs="Segoe UI Light"/>
        </w:rPr>
        <w:t xml:space="preserve">PUBLISHED OR </w:t>
      </w:r>
      <w:proofErr w:type="gramStart"/>
      <w:r>
        <w:rPr>
          <w:rFonts w:cs="Segoe UI Light"/>
        </w:rPr>
        <w:t>POSTED  this</w:t>
      </w:r>
      <w:proofErr w:type="gramEnd"/>
      <w:r>
        <w:rPr>
          <w:rFonts w:cs="Segoe UI Light"/>
        </w:rPr>
        <w:t xml:space="preserve"> ____ day of _________________, 2026. </w:t>
      </w:r>
    </w:p>
    <w:p w14:paraId="66DA9296" w14:textId="77777777" w:rsidR="00C92200" w:rsidRPr="00BD69AA" w:rsidRDefault="00C92200" w:rsidP="00A91128">
      <w:pPr>
        <w:shd w:val="clear" w:color="auto" w:fill="FFFFFF" w:themeFill="background1"/>
        <w:rPr>
          <w:rFonts w:cs="Segoe UI Light"/>
        </w:rPr>
      </w:pPr>
    </w:p>
    <w:p w14:paraId="6A366B84" w14:textId="77777777" w:rsidR="00C92200" w:rsidRPr="0058089F" w:rsidRDefault="00C92200" w:rsidP="00A91128">
      <w:pPr>
        <w:shd w:val="clear" w:color="auto" w:fill="FFFFFF" w:themeFill="background1"/>
      </w:pPr>
    </w:p>
    <w:p w14:paraId="44C79DCA" w14:textId="77777777" w:rsidR="00C92200" w:rsidRDefault="00C92200" w:rsidP="00A91128">
      <w:pPr>
        <w:shd w:val="clear" w:color="auto" w:fill="FFFFFF" w:themeFill="background1"/>
      </w:pPr>
    </w:p>
    <w:p w14:paraId="143469BC" w14:textId="0DE6793A" w:rsidR="00D60BD8" w:rsidRDefault="008D0880">
      <w:r>
        <w:br/>
      </w:r>
    </w:p>
    <w:sectPr w:rsidR="00D60BD8" w:rsidSect="006D3AB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3FD95" w14:textId="77777777" w:rsidR="008D0880" w:rsidRDefault="008D0880" w:rsidP="00D57105">
      <w:r>
        <w:separator/>
      </w:r>
    </w:p>
  </w:endnote>
  <w:endnote w:type="continuationSeparator" w:id="0">
    <w:p w14:paraId="49F6DBB5" w14:textId="77777777" w:rsidR="008D0880" w:rsidRDefault="008D0880" w:rsidP="00D5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D61F" w14:textId="77777777" w:rsidR="00D57105" w:rsidRDefault="00D57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9DE7" w14:textId="77777777" w:rsidR="00D57105" w:rsidRDefault="00D571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6E2D" w14:textId="77777777" w:rsidR="00D57105" w:rsidRDefault="00D57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066DE" w14:textId="77777777" w:rsidR="008D0880" w:rsidRDefault="008D0880" w:rsidP="00D57105">
      <w:r>
        <w:separator/>
      </w:r>
    </w:p>
  </w:footnote>
  <w:footnote w:type="continuationSeparator" w:id="0">
    <w:p w14:paraId="728C8D46" w14:textId="77777777" w:rsidR="008D0880" w:rsidRDefault="008D0880" w:rsidP="00D57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7928" w14:textId="77777777" w:rsidR="00D57105" w:rsidRDefault="00D57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BC770" w14:textId="77777777" w:rsidR="00D57105" w:rsidRDefault="00D571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24ED" w14:textId="77777777" w:rsidR="00D57105" w:rsidRDefault="00D57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B98"/>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B6A651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360491A"/>
    <w:multiLevelType w:val="hybridMultilevel"/>
    <w:tmpl w:val="1FB48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0299C"/>
    <w:multiLevelType w:val="hybridMultilevel"/>
    <w:tmpl w:val="3F9CC4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9235F"/>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3B67E9"/>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6D6554"/>
    <w:multiLevelType w:val="hybridMultilevel"/>
    <w:tmpl w:val="34227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076498"/>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CD6470"/>
    <w:multiLevelType w:val="hybridMultilevel"/>
    <w:tmpl w:val="2C504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A42597"/>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60114FB"/>
    <w:multiLevelType w:val="hybridMultilevel"/>
    <w:tmpl w:val="BCA470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60DEB"/>
    <w:multiLevelType w:val="hybridMultilevel"/>
    <w:tmpl w:val="1CD0B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CE1E76"/>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74D6A5E"/>
    <w:multiLevelType w:val="hybridMultilevel"/>
    <w:tmpl w:val="BB068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04731"/>
    <w:multiLevelType w:val="multilevel"/>
    <w:tmpl w:val="AE4AC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9D7329"/>
    <w:multiLevelType w:val="multilevel"/>
    <w:tmpl w:val="493253C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76235B7"/>
    <w:multiLevelType w:val="hybridMultilevel"/>
    <w:tmpl w:val="BAB0A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5978126">
    <w:abstractNumId w:val="3"/>
  </w:num>
  <w:num w:numId="2" w16cid:durableId="217520850">
    <w:abstractNumId w:val="11"/>
  </w:num>
  <w:num w:numId="3" w16cid:durableId="290326243">
    <w:abstractNumId w:val="13"/>
  </w:num>
  <w:num w:numId="4" w16cid:durableId="799494633">
    <w:abstractNumId w:val="8"/>
  </w:num>
  <w:num w:numId="5" w16cid:durableId="1103572762">
    <w:abstractNumId w:val="9"/>
  </w:num>
  <w:num w:numId="6" w16cid:durableId="1387531975">
    <w:abstractNumId w:val="6"/>
  </w:num>
  <w:num w:numId="7" w16cid:durableId="136536389">
    <w:abstractNumId w:val="1"/>
  </w:num>
  <w:num w:numId="8" w16cid:durableId="323776555">
    <w:abstractNumId w:val="7"/>
  </w:num>
  <w:num w:numId="9" w16cid:durableId="1088233606">
    <w:abstractNumId w:val="16"/>
  </w:num>
  <w:num w:numId="10" w16cid:durableId="31465876">
    <w:abstractNumId w:val="10"/>
  </w:num>
  <w:num w:numId="11" w16cid:durableId="1000279186">
    <w:abstractNumId w:val="5"/>
  </w:num>
  <w:num w:numId="12" w16cid:durableId="1409230994">
    <w:abstractNumId w:val="4"/>
  </w:num>
  <w:num w:numId="13" w16cid:durableId="323898396">
    <w:abstractNumId w:val="2"/>
  </w:num>
  <w:num w:numId="14" w16cid:durableId="2055233104">
    <w:abstractNumId w:val="15"/>
  </w:num>
  <w:num w:numId="15" w16cid:durableId="1432824667">
    <w:abstractNumId w:val="0"/>
  </w:num>
  <w:num w:numId="16" w16cid:durableId="559169481">
    <w:abstractNumId w:val="12"/>
  </w:num>
  <w:num w:numId="17" w16cid:durableId="17476541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589"/>
    <w:rsid w:val="00001A30"/>
    <w:rsid w:val="00006431"/>
    <w:rsid w:val="00010F3A"/>
    <w:rsid w:val="00015D46"/>
    <w:rsid w:val="00023281"/>
    <w:rsid w:val="000234D4"/>
    <w:rsid w:val="000308BB"/>
    <w:rsid w:val="000312AA"/>
    <w:rsid w:val="000330AD"/>
    <w:rsid w:val="00033A00"/>
    <w:rsid w:val="000357F2"/>
    <w:rsid w:val="000403FE"/>
    <w:rsid w:val="00044663"/>
    <w:rsid w:val="00045C5C"/>
    <w:rsid w:val="00051C27"/>
    <w:rsid w:val="000546C6"/>
    <w:rsid w:val="00082941"/>
    <w:rsid w:val="00082CCF"/>
    <w:rsid w:val="00084C53"/>
    <w:rsid w:val="00085625"/>
    <w:rsid w:val="0009682C"/>
    <w:rsid w:val="000A5F71"/>
    <w:rsid w:val="000B48BB"/>
    <w:rsid w:val="000B4DE7"/>
    <w:rsid w:val="000C05B3"/>
    <w:rsid w:val="000D3D5C"/>
    <w:rsid w:val="000D56F5"/>
    <w:rsid w:val="000F333A"/>
    <w:rsid w:val="001244DB"/>
    <w:rsid w:val="00130F9C"/>
    <w:rsid w:val="0013298E"/>
    <w:rsid w:val="00140AD5"/>
    <w:rsid w:val="001501AA"/>
    <w:rsid w:val="00150F6A"/>
    <w:rsid w:val="00151BDA"/>
    <w:rsid w:val="00157FBC"/>
    <w:rsid w:val="00161BE9"/>
    <w:rsid w:val="00163374"/>
    <w:rsid w:val="001A1257"/>
    <w:rsid w:val="001A35E2"/>
    <w:rsid w:val="001A410A"/>
    <w:rsid w:val="001A533E"/>
    <w:rsid w:val="001D2AD0"/>
    <w:rsid w:val="001D5439"/>
    <w:rsid w:val="00200347"/>
    <w:rsid w:val="00214ECE"/>
    <w:rsid w:val="00221ADF"/>
    <w:rsid w:val="002261DE"/>
    <w:rsid w:val="00241859"/>
    <w:rsid w:val="0024523F"/>
    <w:rsid w:val="002511D2"/>
    <w:rsid w:val="002520F6"/>
    <w:rsid w:val="0025723C"/>
    <w:rsid w:val="00257BFD"/>
    <w:rsid w:val="00261237"/>
    <w:rsid w:val="00271740"/>
    <w:rsid w:val="00290BD7"/>
    <w:rsid w:val="002932DB"/>
    <w:rsid w:val="00297566"/>
    <w:rsid w:val="002A0B8D"/>
    <w:rsid w:val="002A3652"/>
    <w:rsid w:val="002A4E52"/>
    <w:rsid w:val="002B188A"/>
    <w:rsid w:val="002B20B3"/>
    <w:rsid w:val="002B576E"/>
    <w:rsid w:val="002C53E2"/>
    <w:rsid w:val="002C7539"/>
    <w:rsid w:val="002D3B90"/>
    <w:rsid w:val="002D3E16"/>
    <w:rsid w:val="002D6609"/>
    <w:rsid w:val="002F490F"/>
    <w:rsid w:val="0030505B"/>
    <w:rsid w:val="00315B44"/>
    <w:rsid w:val="00323597"/>
    <w:rsid w:val="00324121"/>
    <w:rsid w:val="00334DA1"/>
    <w:rsid w:val="00347FCD"/>
    <w:rsid w:val="00361996"/>
    <w:rsid w:val="003640C6"/>
    <w:rsid w:val="0038676C"/>
    <w:rsid w:val="0039505E"/>
    <w:rsid w:val="00395D0B"/>
    <w:rsid w:val="00397D9F"/>
    <w:rsid w:val="003A07EA"/>
    <w:rsid w:val="003B1055"/>
    <w:rsid w:val="003B1129"/>
    <w:rsid w:val="003B7D23"/>
    <w:rsid w:val="003C2DBA"/>
    <w:rsid w:val="003C62B0"/>
    <w:rsid w:val="003C72FB"/>
    <w:rsid w:val="003D2654"/>
    <w:rsid w:val="003E2193"/>
    <w:rsid w:val="003E4B1C"/>
    <w:rsid w:val="003E67A3"/>
    <w:rsid w:val="003F2BF4"/>
    <w:rsid w:val="003F6C45"/>
    <w:rsid w:val="004021D9"/>
    <w:rsid w:val="00402C1D"/>
    <w:rsid w:val="00406B7F"/>
    <w:rsid w:val="00407239"/>
    <w:rsid w:val="00413375"/>
    <w:rsid w:val="00432E03"/>
    <w:rsid w:val="00441B41"/>
    <w:rsid w:val="00452CE0"/>
    <w:rsid w:val="00460211"/>
    <w:rsid w:val="004606A9"/>
    <w:rsid w:val="00462335"/>
    <w:rsid w:val="00475181"/>
    <w:rsid w:val="004851A8"/>
    <w:rsid w:val="0048612F"/>
    <w:rsid w:val="004A4174"/>
    <w:rsid w:val="004A4669"/>
    <w:rsid w:val="004A4840"/>
    <w:rsid w:val="004A5A6F"/>
    <w:rsid w:val="004A6A78"/>
    <w:rsid w:val="004C2730"/>
    <w:rsid w:val="004C5ABE"/>
    <w:rsid w:val="004C6EE0"/>
    <w:rsid w:val="004D2DAB"/>
    <w:rsid w:val="004E0912"/>
    <w:rsid w:val="004F38CF"/>
    <w:rsid w:val="004F5484"/>
    <w:rsid w:val="004F6808"/>
    <w:rsid w:val="00504DF0"/>
    <w:rsid w:val="00505C30"/>
    <w:rsid w:val="00506066"/>
    <w:rsid w:val="00512D95"/>
    <w:rsid w:val="005130D6"/>
    <w:rsid w:val="0051646F"/>
    <w:rsid w:val="005210D6"/>
    <w:rsid w:val="00524546"/>
    <w:rsid w:val="00526A8E"/>
    <w:rsid w:val="005277DF"/>
    <w:rsid w:val="00535F0D"/>
    <w:rsid w:val="005402E6"/>
    <w:rsid w:val="005472BD"/>
    <w:rsid w:val="00550624"/>
    <w:rsid w:val="00553B1A"/>
    <w:rsid w:val="005779F5"/>
    <w:rsid w:val="00596469"/>
    <w:rsid w:val="005967C2"/>
    <w:rsid w:val="005A3911"/>
    <w:rsid w:val="005B27AB"/>
    <w:rsid w:val="005B6C86"/>
    <w:rsid w:val="005C665D"/>
    <w:rsid w:val="005C7D37"/>
    <w:rsid w:val="005D68BB"/>
    <w:rsid w:val="005D7EB4"/>
    <w:rsid w:val="005E3E96"/>
    <w:rsid w:val="0060043B"/>
    <w:rsid w:val="0060537C"/>
    <w:rsid w:val="00606A3A"/>
    <w:rsid w:val="00622177"/>
    <w:rsid w:val="0063439F"/>
    <w:rsid w:val="00636E17"/>
    <w:rsid w:val="00660EB7"/>
    <w:rsid w:val="0066206B"/>
    <w:rsid w:val="0066247C"/>
    <w:rsid w:val="006633CF"/>
    <w:rsid w:val="006661E5"/>
    <w:rsid w:val="00680324"/>
    <w:rsid w:val="00681C81"/>
    <w:rsid w:val="00684E36"/>
    <w:rsid w:val="0068634F"/>
    <w:rsid w:val="00694620"/>
    <w:rsid w:val="006946FB"/>
    <w:rsid w:val="00694F62"/>
    <w:rsid w:val="006A398E"/>
    <w:rsid w:val="006A572E"/>
    <w:rsid w:val="006B1CEE"/>
    <w:rsid w:val="006B3EFD"/>
    <w:rsid w:val="006B49F1"/>
    <w:rsid w:val="006C0B8B"/>
    <w:rsid w:val="006D3AB3"/>
    <w:rsid w:val="006E1EFF"/>
    <w:rsid w:val="006E7CF8"/>
    <w:rsid w:val="0072693D"/>
    <w:rsid w:val="00735993"/>
    <w:rsid w:val="00767B5C"/>
    <w:rsid w:val="0077138E"/>
    <w:rsid w:val="00771F25"/>
    <w:rsid w:val="00773E12"/>
    <w:rsid w:val="00780A5A"/>
    <w:rsid w:val="00783C9F"/>
    <w:rsid w:val="00786565"/>
    <w:rsid w:val="00786DEF"/>
    <w:rsid w:val="00792BAD"/>
    <w:rsid w:val="007A5A44"/>
    <w:rsid w:val="007A65C1"/>
    <w:rsid w:val="007A7BB2"/>
    <w:rsid w:val="007C4392"/>
    <w:rsid w:val="007C73AA"/>
    <w:rsid w:val="007E05CB"/>
    <w:rsid w:val="007E550A"/>
    <w:rsid w:val="007E585F"/>
    <w:rsid w:val="007F55AB"/>
    <w:rsid w:val="00801909"/>
    <w:rsid w:val="00802AB3"/>
    <w:rsid w:val="00803670"/>
    <w:rsid w:val="008064E2"/>
    <w:rsid w:val="0081025F"/>
    <w:rsid w:val="00826823"/>
    <w:rsid w:val="008273D1"/>
    <w:rsid w:val="00830DDA"/>
    <w:rsid w:val="008311FF"/>
    <w:rsid w:val="008425FA"/>
    <w:rsid w:val="00855BD5"/>
    <w:rsid w:val="008613DB"/>
    <w:rsid w:val="00862A20"/>
    <w:rsid w:val="00882CC0"/>
    <w:rsid w:val="008936CC"/>
    <w:rsid w:val="008A2260"/>
    <w:rsid w:val="008B20BE"/>
    <w:rsid w:val="008B2957"/>
    <w:rsid w:val="008D0880"/>
    <w:rsid w:val="008D4845"/>
    <w:rsid w:val="008F58EB"/>
    <w:rsid w:val="008F6292"/>
    <w:rsid w:val="0090531A"/>
    <w:rsid w:val="00910E30"/>
    <w:rsid w:val="0091220A"/>
    <w:rsid w:val="00934304"/>
    <w:rsid w:val="00934781"/>
    <w:rsid w:val="00952EE5"/>
    <w:rsid w:val="009543B8"/>
    <w:rsid w:val="00972A27"/>
    <w:rsid w:val="009743A7"/>
    <w:rsid w:val="00981B3C"/>
    <w:rsid w:val="00981F17"/>
    <w:rsid w:val="00982DFB"/>
    <w:rsid w:val="00982FDB"/>
    <w:rsid w:val="00984ADC"/>
    <w:rsid w:val="00987589"/>
    <w:rsid w:val="009900D7"/>
    <w:rsid w:val="009A1673"/>
    <w:rsid w:val="009A4BDE"/>
    <w:rsid w:val="009A5892"/>
    <w:rsid w:val="009A5CE7"/>
    <w:rsid w:val="009A7AF0"/>
    <w:rsid w:val="009B2D5B"/>
    <w:rsid w:val="009B6D99"/>
    <w:rsid w:val="009D1FB0"/>
    <w:rsid w:val="009F435D"/>
    <w:rsid w:val="00A0406C"/>
    <w:rsid w:val="00A053CC"/>
    <w:rsid w:val="00A05415"/>
    <w:rsid w:val="00A0590B"/>
    <w:rsid w:val="00A11062"/>
    <w:rsid w:val="00A13892"/>
    <w:rsid w:val="00A16C2A"/>
    <w:rsid w:val="00A317AD"/>
    <w:rsid w:val="00A332ED"/>
    <w:rsid w:val="00A355AC"/>
    <w:rsid w:val="00A40185"/>
    <w:rsid w:val="00A52B68"/>
    <w:rsid w:val="00A54643"/>
    <w:rsid w:val="00A611B7"/>
    <w:rsid w:val="00A63B93"/>
    <w:rsid w:val="00A63E52"/>
    <w:rsid w:val="00A71F41"/>
    <w:rsid w:val="00A83480"/>
    <w:rsid w:val="00A83787"/>
    <w:rsid w:val="00A91128"/>
    <w:rsid w:val="00A970FE"/>
    <w:rsid w:val="00AA0A2E"/>
    <w:rsid w:val="00AA3A5B"/>
    <w:rsid w:val="00AA773C"/>
    <w:rsid w:val="00AC52A8"/>
    <w:rsid w:val="00AC56DB"/>
    <w:rsid w:val="00AC58D9"/>
    <w:rsid w:val="00AC66AA"/>
    <w:rsid w:val="00AC68A5"/>
    <w:rsid w:val="00AC7676"/>
    <w:rsid w:val="00AD5E56"/>
    <w:rsid w:val="00AE20A9"/>
    <w:rsid w:val="00AE40B5"/>
    <w:rsid w:val="00AF23C1"/>
    <w:rsid w:val="00AF5BFC"/>
    <w:rsid w:val="00AF614E"/>
    <w:rsid w:val="00B05999"/>
    <w:rsid w:val="00B07664"/>
    <w:rsid w:val="00B16523"/>
    <w:rsid w:val="00B2659D"/>
    <w:rsid w:val="00B62123"/>
    <w:rsid w:val="00B6468B"/>
    <w:rsid w:val="00B73072"/>
    <w:rsid w:val="00B75CA5"/>
    <w:rsid w:val="00B904DC"/>
    <w:rsid w:val="00B90591"/>
    <w:rsid w:val="00BB613B"/>
    <w:rsid w:val="00BC1414"/>
    <w:rsid w:val="00BC29E4"/>
    <w:rsid w:val="00BC6D75"/>
    <w:rsid w:val="00BD31E5"/>
    <w:rsid w:val="00BD4FF7"/>
    <w:rsid w:val="00BE219A"/>
    <w:rsid w:val="00BE48A0"/>
    <w:rsid w:val="00BE672D"/>
    <w:rsid w:val="00BF0AF1"/>
    <w:rsid w:val="00BF0EAA"/>
    <w:rsid w:val="00C10F66"/>
    <w:rsid w:val="00C25A5E"/>
    <w:rsid w:val="00C36118"/>
    <w:rsid w:val="00C44781"/>
    <w:rsid w:val="00C463CA"/>
    <w:rsid w:val="00C53DF1"/>
    <w:rsid w:val="00C53EA2"/>
    <w:rsid w:val="00C557F9"/>
    <w:rsid w:val="00C63305"/>
    <w:rsid w:val="00C66D2B"/>
    <w:rsid w:val="00C71788"/>
    <w:rsid w:val="00C820B7"/>
    <w:rsid w:val="00C92200"/>
    <w:rsid w:val="00C92A01"/>
    <w:rsid w:val="00C93AEA"/>
    <w:rsid w:val="00C9503A"/>
    <w:rsid w:val="00CA7E73"/>
    <w:rsid w:val="00CB0BB6"/>
    <w:rsid w:val="00CB1D43"/>
    <w:rsid w:val="00CC3B39"/>
    <w:rsid w:val="00CC726A"/>
    <w:rsid w:val="00CD39D7"/>
    <w:rsid w:val="00CD3A3C"/>
    <w:rsid w:val="00CE3BA6"/>
    <w:rsid w:val="00CE761D"/>
    <w:rsid w:val="00CF038C"/>
    <w:rsid w:val="00CF2E38"/>
    <w:rsid w:val="00CF4952"/>
    <w:rsid w:val="00D154F6"/>
    <w:rsid w:val="00D244B1"/>
    <w:rsid w:val="00D32ECD"/>
    <w:rsid w:val="00D351D0"/>
    <w:rsid w:val="00D445CB"/>
    <w:rsid w:val="00D4741B"/>
    <w:rsid w:val="00D5333D"/>
    <w:rsid w:val="00D53417"/>
    <w:rsid w:val="00D56801"/>
    <w:rsid w:val="00D57105"/>
    <w:rsid w:val="00D60BD8"/>
    <w:rsid w:val="00D610D3"/>
    <w:rsid w:val="00D6560A"/>
    <w:rsid w:val="00D73C2E"/>
    <w:rsid w:val="00D84D8B"/>
    <w:rsid w:val="00D928FF"/>
    <w:rsid w:val="00D92D6A"/>
    <w:rsid w:val="00D93001"/>
    <w:rsid w:val="00DA0FD1"/>
    <w:rsid w:val="00DA0FFC"/>
    <w:rsid w:val="00DA2619"/>
    <w:rsid w:val="00DB0D89"/>
    <w:rsid w:val="00DB0D9C"/>
    <w:rsid w:val="00DC3ABA"/>
    <w:rsid w:val="00DE70A0"/>
    <w:rsid w:val="00DF3482"/>
    <w:rsid w:val="00DF4922"/>
    <w:rsid w:val="00DF5175"/>
    <w:rsid w:val="00DF6E13"/>
    <w:rsid w:val="00E03217"/>
    <w:rsid w:val="00E03A9A"/>
    <w:rsid w:val="00E067E1"/>
    <w:rsid w:val="00E06D8D"/>
    <w:rsid w:val="00E2021A"/>
    <w:rsid w:val="00E2266D"/>
    <w:rsid w:val="00E24B0F"/>
    <w:rsid w:val="00E2608B"/>
    <w:rsid w:val="00E4394E"/>
    <w:rsid w:val="00E460A2"/>
    <w:rsid w:val="00E461B9"/>
    <w:rsid w:val="00E5357F"/>
    <w:rsid w:val="00E6105E"/>
    <w:rsid w:val="00E72941"/>
    <w:rsid w:val="00E87CC9"/>
    <w:rsid w:val="00E96160"/>
    <w:rsid w:val="00EA00A3"/>
    <w:rsid w:val="00EB74AD"/>
    <w:rsid w:val="00EB7DC7"/>
    <w:rsid w:val="00EC05B3"/>
    <w:rsid w:val="00EC1B19"/>
    <w:rsid w:val="00ED15D6"/>
    <w:rsid w:val="00EF0D58"/>
    <w:rsid w:val="00F0576B"/>
    <w:rsid w:val="00F05D14"/>
    <w:rsid w:val="00F10B26"/>
    <w:rsid w:val="00F1272D"/>
    <w:rsid w:val="00F40179"/>
    <w:rsid w:val="00F40F16"/>
    <w:rsid w:val="00F63EC0"/>
    <w:rsid w:val="00F8604F"/>
    <w:rsid w:val="00FA193F"/>
    <w:rsid w:val="00FB78EA"/>
    <w:rsid w:val="00FD5552"/>
    <w:rsid w:val="00FD6C97"/>
    <w:rsid w:val="00FD7F75"/>
    <w:rsid w:val="00FE0163"/>
    <w:rsid w:val="00FE1363"/>
    <w:rsid w:val="00FE5D4F"/>
    <w:rsid w:val="00FF1C40"/>
    <w:rsid w:val="00FF6CE8"/>
    <w:rsid w:val="00FF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8DC9"/>
  <w15:chartTrackingRefBased/>
  <w15:docId w15:val="{D9F38090-60D3-DA43-8962-07310E5F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5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5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58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58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8758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8758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758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758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758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5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5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58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5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75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75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75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75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75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75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58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5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875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7589"/>
    <w:rPr>
      <w:i/>
      <w:iCs/>
      <w:color w:val="404040" w:themeColor="text1" w:themeTint="BF"/>
    </w:rPr>
  </w:style>
  <w:style w:type="paragraph" w:styleId="ListParagraph">
    <w:name w:val="List Paragraph"/>
    <w:basedOn w:val="Normal"/>
    <w:uiPriority w:val="34"/>
    <w:qFormat/>
    <w:rsid w:val="00987589"/>
    <w:pPr>
      <w:ind w:left="720"/>
      <w:contextualSpacing/>
    </w:pPr>
  </w:style>
  <w:style w:type="character" w:styleId="IntenseEmphasis">
    <w:name w:val="Intense Emphasis"/>
    <w:basedOn w:val="DefaultParagraphFont"/>
    <w:uiPriority w:val="21"/>
    <w:qFormat/>
    <w:rsid w:val="00987589"/>
    <w:rPr>
      <w:i/>
      <w:iCs/>
      <w:color w:val="0F4761" w:themeColor="accent1" w:themeShade="BF"/>
    </w:rPr>
  </w:style>
  <w:style w:type="paragraph" w:styleId="IntenseQuote">
    <w:name w:val="Intense Quote"/>
    <w:basedOn w:val="Normal"/>
    <w:next w:val="Normal"/>
    <w:link w:val="IntenseQuoteChar"/>
    <w:uiPriority w:val="30"/>
    <w:qFormat/>
    <w:rsid w:val="009875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589"/>
    <w:rPr>
      <w:i/>
      <w:iCs/>
      <w:color w:val="0F4761" w:themeColor="accent1" w:themeShade="BF"/>
    </w:rPr>
  </w:style>
  <w:style w:type="character" w:styleId="IntenseReference">
    <w:name w:val="Intense Reference"/>
    <w:basedOn w:val="DefaultParagraphFont"/>
    <w:uiPriority w:val="32"/>
    <w:qFormat/>
    <w:rsid w:val="00987589"/>
    <w:rPr>
      <w:b/>
      <w:bCs/>
      <w:smallCaps/>
      <w:color w:val="0F4761" w:themeColor="accent1" w:themeShade="BF"/>
      <w:spacing w:val="5"/>
    </w:rPr>
  </w:style>
  <w:style w:type="table" w:styleId="TableGrid">
    <w:name w:val="Table Grid"/>
    <w:basedOn w:val="TableNormal"/>
    <w:uiPriority w:val="39"/>
    <w:rsid w:val="00C6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1909"/>
    <w:rPr>
      <w:sz w:val="16"/>
      <w:szCs w:val="16"/>
    </w:rPr>
  </w:style>
  <w:style w:type="paragraph" w:styleId="CommentText">
    <w:name w:val="annotation text"/>
    <w:basedOn w:val="Normal"/>
    <w:link w:val="CommentTextChar"/>
    <w:uiPriority w:val="99"/>
    <w:semiHidden/>
    <w:unhideWhenUsed/>
    <w:rsid w:val="00801909"/>
    <w:rPr>
      <w:sz w:val="20"/>
      <w:szCs w:val="20"/>
    </w:rPr>
  </w:style>
  <w:style w:type="character" w:customStyle="1" w:styleId="CommentTextChar">
    <w:name w:val="Comment Text Char"/>
    <w:basedOn w:val="DefaultParagraphFont"/>
    <w:link w:val="CommentText"/>
    <w:uiPriority w:val="99"/>
    <w:semiHidden/>
    <w:rsid w:val="00801909"/>
    <w:rPr>
      <w:sz w:val="20"/>
      <w:szCs w:val="20"/>
    </w:rPr>
  </w:style>
  <w:style w:type="paragraph" w:styleId="CommentSubject">
    <w:name w:val="annotation subject"/>
    <w:basedOn w:val="CommentText"/>
    <w:next w:val="CommentText"/>
    <w:link w:val="CommentSubjectChar"/>
    <w:uiPriority w:val="99"/>
    <w:semiHidden/>
    <w:unhideWhenUsed/>
    <w:rsid w:val="00801909"/>
    <w:rPr>
      <w:b/>
      <w:bCs/>
    </w:rPr>
  </w:style>
  <w:style w:type="character" w:customStyle="1" w:styleId="CommentSubjectChar">
    <w:name w:val="Comment Subject Char"/>
    <w:basedOn w:val="CommentTextChar"/>
    <w:link w:val="CommentSubject"/>
    <w:uiPriority w:val="99"/>
    <w:semiHidden/>
    <w:rsid w:val="00801909"/>
    <w:rPr>
      <w:b/>
      <w:bCs/>
      <w:sz w:val="20"/>
      <w:szCs w:val="20"/>
    </w:rPr>
  </w:style>
  <w:style w:type="paragraph" w:customStyle="1" w:styleId="SCD1">
    <w:name w:val="SCD 1"/>
    <w:basedOn w:val="Heading1"/>
    <w:autoRedefine/>
    <w:qFormat/>
    <w:rsid w:val="00DA0FFC"/>
    <w:rPr>
      <w:rFonts w:ascii="Segoe UI" w:hAnsi="Segoe UI"/>
    </w:rPr>
  </w:style>
  <w:style w:type="paragraph" w:customStyle="1" w:styleId="SCD2">
    <w:name w:val="SCD 2"/>
    <w:basedOn w:val="Heading2"/>
    <w:autoRedefine/>
    <w:qFormat/>
    <w:rsid w:val="004C6EE0"/>
    <w:rPr>
      <w:rFonts w:ascii="Segoe UI Semilight" w:hAnsi="Segoe UI Semilight"/>
    </w:rPr>
  </w:style>
  <w:style w:type="paragraph" w:styleId="TOC1">
    <w:name w:val="toc 1"/>
    <w:basedOn w:val="Normal"/>
    <w:next w:val="Normal"/>
    <w:autoRedefine/>
    <w:uiPriority w:val="39"/>
    <w:unhideWhenUsed/>
    <w:rsid w:val="00B6468B"/>
    <w:pPr>
      <w:spacing w:after="100"/>
    </w:pPr>
  </w:style>
  <w:style w:type="paragraph" w:styleId="TOC2">
    <w:name w:val="toc 2"/>
    <w:basedOn w:val="Normal"/>
    <w:next w:val="Normal"/>
    <w:autoRedefine/>
    <w:uiPriority w:val="39"/>
    <w:unhideWhenUsed/>
    <w:rsid w:val="00B6468B"/>
    <w:pPr>
      <w:spacing w:after="100"/>
      <w:ind w:left="240"/>
    </w:pPr>
  </w:style>
  <w:style w:type="character" w:styleId="Hyperlink">
    <w:name w:val="Hyperlink"/>
    <w:basedOn w:val="DefaultParagraphFont"/>
    <w:uiPriority w:val="99"/>
    <w:unhideWhenUsed/>
    <w:rsid w:val="00B6468B"/>
    <w:rPr>
      <w:color w:val="467886" w:themeColor="hyperlink"/>
      <w:u w:val="single"/>
    </w:rPr>
  </w:style>
  <w:style w:type="paragraph" w:styleId="Header">
    <w:name w:val="header"/>
    <w:basedOn w:val="Normal"/>
    <w:link w:val="HeaderChar"/>
    <w:uiPriority w:val="99"/>
    <w:unhideWhenUsed/>
    <w:rsid w:val="00D57105"/>
    <w:pPr>
      <w:tabs>
        <w:tab w:val="center" w:pos="4680"/>
        <w:tab w:val="right" w:pos="9360"/>
      </w:tabs>
    </w:pPr>
  </w:style>
  <w:style w:type="character" w:customStyle="1" w:styleId="HeaderChar">
    <w:name w:val="Header Char"/>
    <w:basedOn w:val="DefaultParagraphFont"/>
    <w:link w:val="Header"/>
    <w:uiPriority w:val="99"/>
    <w:rsid w:val="00D57105"/>
  </w:style>
  <w:style w:type="paragraph" w:styleId="Footer">
    <w:name w:val="footer"/>
    <w:basedOn w:val="Normal"/>
    <w:link w:val="FooterChar"/>
    <w:uiPriority w:val="99"/>
    <w:unhideWhenUsed/>
    <w:rsid w:val="00D57105"/>
    <w:pPr>
      <w:tabs>
        <w:tab w:val="center" w:pos="4680"/>
        <w:tab w:val="right" w:pos="9360"/>
      </w:tabs>
    </w:pPr>
  </w:style>
  <w:style w:type="character" w:customStyle="1" w:styleId="FooterChar">
    <w:name w:val="Footer Char"/>
    <w:basedOn w:val="DefaultParagraphFont"/>
    <w:link w:val="Footer"/>
    <w:uiPriority w:val="99"/>
    <w:rsid w:val="00D57105"/>
  </w:style>
  <w:style w:type="paragraph" w:styleId="Revision">
    <w:name w:val="Revision"/>
    <w:hidden/>
    <w:uiPriority w:val="99"/>
    <w:semiHidden/>
    <w:rsid w:val="000546C6"/>
  </w:style>
  <w:style w:type="character" w:styleId="LineNumber">
    <w:name w:val="line number"/>
    <w:basedOn w:val="DefaultParagraphFont"/>
    <w:uiPriority w:val="99"/>
    <w:semiHidden/>
    <w:unhideWhenUsed/>
    <w:rsid w:val="004D2DAB"/>
  </w:style>
  <w:style w:type="paragraph" w:customStyle="1" w:styleId="pdq2pgselectionanchorcontainer">
    <w:name w:val="pdq2pg_selectionanchorcontainer"/>
    <w:basedOn w:val="Normal"/>
    <w:rsid w:val="004A5A6F"/>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A5A6F"/>
    <w:rPr>
      <w:b/>
      <w:bCs/>
    </w:rPr>
  </w:style>
  <w:style w:type="paragraph" w:styleId="NormalWeb">
    <w:name w:val="Normal (Web)"/>
    <w:basedOn w:val="Normal"/>
    <w:uiPriority w:val="99"/>
    <w:semiHidden/>
    <w:unhideWhenUsed/>
    <w:rsid w:val="004A5A6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8B476-F913-C74F-B432-65923F761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3578</Words>
  <Characters>20396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Ryker Steglich</dc:creator>
  <cp:keywords/>
  <dc:description/>
  <cp:lastModifiedBy>Dave Oxman</cp:lastModifiedBy>
  <cp:revision>8</cp:revision>
  <cp:lastPrinted>2026-03-03T17:14:00Z</cp:lastPrinted>
  <dcterms:created xsi:type="dcterms:W3CDTF">2026-06-30T18:43:00Z</dcterms:created>
  <dcterms:modified xsi:type="dcterms:W3CDTF">2026-08-05T17:33:00Z</dcterms:modified>
  <cp:category/>
</cp:coreProperties>
</file>