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DF7BE" w14:textId="1B89F20E" w:rsidR="003E7276" w:rsidRDefault="003E7276" w:rsidP="003E7276">
      <w:pPr>
        <w:pStyle w:val="CenterBold"/>
      </w:pPr>
      <w:r>
        <w:t>JOINT CONSENT OF SOLE MEMBER AND MANAGER</w:t>
      </w:r>
      <w:r>
        <w:br/>
        <w:t>OF</w:t>
      </w:r>
      <w:r>
        <w:br/>
      </w:r>
      <w:r w:rsidR="00833753">
        <w:t>TENTH EAST SENIOR CENTER, LLC</w:t>
      </w:r>
    </w:p>
    <w:p w14:paraId="70262F6D" w14:textId="2619EB9E" w:rsidR="003E7276" w:rsidRDefault="003E7276" w:rsidP="003E7276">
      <w:pPr>
        <w:pStyle w:val="BodyText"/>
      </w:pPr>
      <w:r>
        <w:t>Pursuant to the Utah Revised Limited Liability Company Act, Salt Lake County NMTC, Inc</w:t>
      </w:r>
      <w:r w:rsidR="000D1D2C">
        <w:t>.</w:t>
      </w:r>
      <w:r>
        <w:t>, a Utah nonprofit corporation (the “</w:t>
      </w:r>
      <w:r w:rsidRPr="000D1D2C">
        <w:rPr>
          <w:b/>
          <w:bCs/>
        </w:rPr>
        <w:t>Corporation</w:t>
      </w:r>
      <w:r>
        <w:t>”), being the sole member and the sole manager of</w:t>
      </w:r>
      <w:r w:rsidR="00833753">
        <w:t xml:space="preserve"> Tenth East Senior Center, LLC</w:t>
      </w:r>
      <w:r>
        <w:t>, a Utah limited liability company (the “</w:t>
      </w:r>
      <w:r w:rsidRPr="000D1D2C">
        <w:rPr>
          <w:b/>
          <w:bCs/>
        </w:rPr>
        <w:t>Company</w:t>
      </w:r>
      <w:r>
        <w:t>”), hereby adopts the following resolutions:</w:t>
      </w:r>
    </w:p>
    <w:p w14:paraId="03F66F06" w14:textId="6F3086B2" w:rsidR="003E7276" w:rsidRDefault="003E7276" w:rsidP="003E7276">
      <w:pPr>
        <w:pStyle w:val="BodyText"/>
      </w:pPr>
      <w:proofErr w:type="gramStart"/>
      <w:r>
        <w:t>WHEREAS,</w:t>
      </w:r>
      <w:proofErr w:type="gramEnd"/>
      <w:r>
        <w:t xml:space="preserve"> Salt Lake </w:t>
      </w:r>
      <w:r w:rsidR="00833753">
        <w:t>City Corporation, a Utah municipal corporation (“</w:t>
      </w:r>
      <w:r w:rsidR="00833753" w:rsidRPr="000D1D2C">
        <w:rPr>
          <w:b/>
          <w:bCs/>
        </w:rPr>
        <w:t>City</w:t>
      </w:r>
      <w:r w:rsidR="00833753">
        <w:t xml:space="preserve">”) </w:t>
      </w:r>
      <w:r>
        <w:t xml:space="preserve">owns certain real property located at </w:t>
      </w:r>
      <w:r w:rsidR="00833753">
        <w:t xml:space="preserve">237 South 1000 East, Salt Lake City, Utah </w:t>
      </w:r>
      <w:r>
        <w:t>(the “</w:t>
      </w:r>
      <w:r w:rsidRPr="000D1D2C">
        <w:rPr>
          <w:b/>
          <w:bCs/>
        </w:rPr>
        <w:t>Pr</w:t>
      </w:r>
      <w:r w:rsidR="00833753" w:rsidRPr="000D1D2C">
        <w:rPr>
          <w:b/>
          <w:bCs/>
        </w:rPr>
        <w:t>operty</w:t>
      </w:r>
      <w:r>
        <w:t xml:space="preserve">”); </w:t>
      </w:r>
    </w:p>
    <w:p w14:paraId="26AB0852" w14:textId="451D86B0" w:rsidR="00181349" w:rsidRDefault="002C1E00" w:rsidP="003E7276">
      <w:pPr>
        <w:pStyle w:val="BodyText"/>
      </w:pPr>
      <w:r>
        <w:t xml:space="preserve">WHEREAS, </w:t>
      </w:r>
      <w:r w:rsidR="00181349">
        <w:t xml:space="preserve">the City and the </w:t>
      </w:r>
      <w:r w:rsidR="00CA1DED">
        <w:t>Salt Lake County, a body corporate and political state of Utah (the “</w:t>
      </w:r>
      <w:r w:rsidR="00CA1DED" w:rsidRPr="00BA68DA">
        <w:rPr>
          <w:b/>
          <w:bCs/>
        </w:rPr>
        <w:t>County</w:t>
      </w:r>
      <w:r w:rsidR="00CA1DED">
        <w:t>”)</w:t>
      </w:r>
      <w:r w:rsidR="00181349">
        <w:t xml:space="preserve"> entered into that certain Ground Lease Agreement, dated December 27, 2000, pursuant to which the Corporation </w:t>
      </w:r>
      <w:r w:rsidR="009C6BAE">
        <w:t>leases the Property from the City (the “</w:t>
      </w:r>
      <w:r w:rsidR="009C6BAE" w:rsidRPr="000D1D2C">
        <w:rPr>
          <w:b/>
          <w:bCs/>
        </w:rPr>
        <w:t>Ground Lease</w:t>
      </w:r>
      <w:r w:rsidR="009C6BAE">
        <w:t xml:space="preserve">”); </w:t>
      </w:r>
    </w:p>
    <w:p w14:paraId="26D0D387" w14:textId="1AB5C7DD" w:rsidR="002C1E00" w:rsidRDefault="00181349" w:rsidP="003E7276">
      <w:pPr>
        <w:pStyle w:val="BodyText"/>
      </w:pPr>
      <w:proofErr w:type="gramStart"/>
      <w:r>
        <w:t>WHEREAS,</w:t>
      </w:r>
      <w:proofErr w:type="gramEnd"/>
      <w:r>
        <w:t xml:space="preserve"> </w:t>
      </w:r>
      <w:r w:rsidR="002C1E00">
        <w:t>the Co</w:t>
      </w:r>
      <w:r w:rsidR="00CA1DED">
        <w:t>unty</w:t>
      </w:r>
      <w:r w:rsidR="002C1E00">
        <w:t xml:space="preserve"> owns that certain building commonly known as the Tenth East Senior Citizens Center, located on the Property (the “</w:t>
      </w:r>
      <w:r w:rsidR="002C1E00" w:rsidRPr="000D1D2C">
        <w:rPr>
          <w:b/>
          <w:bCs/>
        </w:rPr>
        <w:t>Building</w:t>
      </w:r>
      <w:r w:rsidR="002C1E00">
        <w:t xml:space="preserve">”); </w:t>
      </w:r>
    </w:p>
    <w:p w14:paraId="200DE790" w14:textId="77DBDF4E" w:rsidR="003E7276" w:rsidRDefault="003E7276" w:rsidP="003E7276">
      <w:pPr>
        <w:pStyle w:val="BodyText"/>
      </w:pPr>
      <w:proofErr w:type="gramStart"/>
      <w:r>
        <w:t>WHEREAS,</w:t>
      </w:r>
      <w:proofErr w:type="gramEnd"/>
      <w:r>
        <w:t xml:space="preserve"> </w:t>
      </w:r>
      <w:r w:rsidR="002C1E00">
        <w:t>the Corporation desire</w:t>
      </w:r>
      <w:r w:rsidR="009C6BAE">
        <w:t>s</w:t>
      </w:r>
      <w:r w:rsidR="002C1E00">
        <w:t xml:space="preserve"> to have the Company remodel and rehabilitate the </w:t>
      </w:r>
      <w:proofErr w:type="gramStart"/>
      <w:r w:rsidR="002C1E00">
        <w:t>Building</w:t>
      </w:r>
      <w:proofErr w:type="gramEnd"/>
      <w:r w:rsidR="002C1E00">
        <w:t xml:space="preserve"> (the “</w:t>
      </w:r>
      <w:r w:rsidR="002C1E00" w:rsidRPr="000D1D2C">
        <w:rPr>
          <w:b/>
          <w:bCs/>
        </w:rPr>
        <w:t>Project</w:t>
      </w:r>
      <w:r w:rsidR="002C1E00">
        <w:t xml:space="preserve">”); </w:t>
      </w:r>
    </w:p>
    <w:p w14:paraId="571F4437" w14:textId="2E83C844" w:rsidR="003E7276" w:rsidRDefault="003E7276" w:rsidP="003E7276">
      <w:pPr>
        <w:pStyle w:val="BodyText"/>
      </w:pPr>
      <w:proofErr w:type="gramStart"/>
      <w:r>
        <w:t>WHEREAS,</w:t>
      </w:r>
      <w:proofErr w:type="gramEnd"/>
      <w:r>
        <w:t xml:space="preserve"> a portion of the cost of the Project is eligible to be financed using federal New Markets Tax Credits (a “</w:t>
      </w:r>
      <w:r w:rsidRPr="000D1D2C">
        <w:rPr>
          <w:b/>
          <w:bCs/>
        </w:rPr>
        <w:t>NMTC Financing</w:t>
      </w:r>
      <w:r>
        <w:t>”) pursuant to Section 45D of the Internal Revenue Code (the “</w:t>
      </w:r>
      <w:r w:rsidRPr="000D1D2C">
        <w:rPr>
          <w:b/>
          <w:bCs/>
        </w:rPr>
        <w:t>NMTC Law</w:t>
      </w:r>
      <w:r>
        <w:t>”);</w:t>
      </w:r>
    </w:p>
    <w:p w14:paraId="6588CD17" w14:textId="3BAE177E" w:rsidR="003E7276" w:rsidRDefault="003E7276" w:rsidP="003E7276">
      <w:pPr>
        <w:pStyle w:val="BodyText"/>
      </w:pPr>
      <w:r>
        <w:t>WHEREAS, to participate in the NMTC Financing, the Corporation formed the Company, which will act as a “qualified active low-income community business” as defined in the NMTC Law (a “</w:t>
      </w:r>
      <w:r w:rsidRPr="00010CE6">
        <w:rPr>
          <w:b/>
          <w:bCs/>
        </w:rPr>
        <w:t>QALICB</w:t>
      </w:r>
      <w:r>
        <w:t>”), and as a portion of the Corporation’s business in compliance with the “portion of the business” rules set forth in the Treasury Regulations promulgated pursuant to the NMTC Law;</w:t>
      </w:r>
    </w:p>
    <w:p w14:paraId="460978F9" w14:textId="4809FDC9" w:rsidR="00010CE6" w:rsidRDefault="003E7276" w:rsidP="00AB0E2A">
      <w:pPr>
        <w:pStyle w:val="BodyText"/>
      </w:pPr>
      <w:proofErr w:type="gramStart"/>
      <w:r>
        <w:t>WHEREAS,</w:t>
      </w:r>
      <w:proofErr w:type="gramEnd"/>
      <w:r>
        <w:t xml:space="preserve"> the </w:t>
      </w:r>
      <w:r w:rsidR="00010CE6">
        <w:t xml:space="preserve">County </w:t>
      </w:r>
      <w:r>
        <w:t xml:space="preserve">and </w:t>
      </w:r>
      <w:r w:rsidR="00AB0E2A">
        <w:t xml:space="preserve">the City </w:t>
      </w:r>
      <w:r>
        <w:t xml:space="preserve">will </w:t>
      </w:r>
      <w:proofErr w:type="gramStart"/>
      <w:r>
        <w:t>enter into</w:t>
      </w:r>
      <w:proofErr w:type="gramEnd"/>
      <w:r>
        <w:t xml:space="preserve"> a</w:t>
      </w:r>
      <w:r w:rsidR="00AB0E2A">
        <w:t xml:space="preserve"> Fourth Amendment to </w:t>
      </w:r>
      <w:r w:rsidR="00411A99">
        <w:t xml:space="preserve">the Ground </w:t>
      </w:r>
      <w:r w:rsidR="00AB0E2A">
        <w:t xml:space="preserve">Lease </w:t>
      </w:r>
      <w:r>
        <w:t>(the “</w:t>
      </w:r>
      <w:r w:rsidRPr="00010CE6">
        <w:rPr>
          <w:b/>
          <w:bCs/>
        </w:rPr>
        <w:t>Ground Lease</w:t>
      </w:r>
      <w:r w:rsidR="00AB0E2A" w:rsidRPr="00010CE6">
        <w:rPr>
          <w:b/>
          <w:bCs/>
        </w:rPr>
        <w:t xml:space="preserve"> Amendment</w:t>
      </w:r>
      <w:r>
        <w:t>”)</w:t>
      </w:r>
      <w:r w:rsidR="00E91DDA">
        <w:t xml:space="preserve"> which will permit the Project, including the NMTC Financing and the Lease Assignment (defined below)</w:t>
      </w:r>
      <w:r w:rsidR="00CA1DED">
        <w:t xml:space="preserve">; </w:t>
      </w:r>
    </w:p>
    <w:p w14:paraId="0B11A6E7" w14:textId="2C7A1370" w:rsidR="003E7276" w:rsidRDefault="003E7276" w:rsidP="00AB0E2A">
      <w:pPr>
        <w:pStyle w:val="BodyText"/>
      </w:pPr>
      <w:r>
        <w:t xml:space="preserve"> </w:t>
      </w:r>
      <w:r w:rsidR="00010CE6">
        <w:t>WHEREAS,</w:t>
      </w:r>
      <w:r>
        <w:t xml:space="preserve"> pursuant to an </w:t>
      </w:r>
      <w:r w:rsidR="00EA7340" w:rsidRPr="00EA7340">
        <w:t>Assignment and Assumption of Ground Lease</w:t>
      </w:r>
      <w:r w:rsidR="00EA7340">
        <w:t xml:space="preserve"> </w:t>
      </w:r>
      <w:r>
        <w:t xml:space="preserve">agreement between the </w:t>
      </w:r>
      <w:r w:rsidR="00010CE6">
        <w:t xml:space="preserve">County </w:t>
      </w:r>
      <w:r>
        <w:t>and the Company (the “</w:t>
      </w:r>
      <w:r w:rsidR="00EA7340" w:rsidRPr="00EA7340">
        <w:rPr>
          <w:b/>
          <w:bCs/>
        </w:rPr>
        <w:t>Lease</w:t>
      </w:r>
      <w:r w:rsidR="00EA7340">
        <w:t xml:space="preserve"> </w:t>
      </w:r>
      <w:r w:rsidRPr="00010CE6">
        <w:rPr>
          <w:b/>
          <w:bCs/>
        </w:rPr>
        <w:t>Assignment</w:t>
      </w:r>
      <w:r>
        <w:t xml:space="preserve">”), the </w:t>
      </w:r>
      <w:r w:rsidR="00010CE6">
        <w:t xml:space="preserve">County </w:t>
      </w:r>
      <w:r>
        <w:t>will assign its leasehold rights under the Ground Lease</w:t>
      </w:r>
      <w:r w:rsidR="00010CE6">
        <w:t xml:space="preserve"> to the Company</w:t>
      </w:r>
      <w:r>
        <w:t>, and the Company will assume all of the Corporation’s obligations under the Ground Lease</w:t>
      </w:r>
      <w:r w:rsidR="00010CE6">
        <w:t xml:space="preserve">, for the purpose of </w:t>
      </w:r>
      <w:r>
        <w:t>complet</w:t>
      </w:r>
      <w:r w:rsidR="00010CE6">
        <w:t>ing</w:t>
      </w:r>
      <w:r>
        <w:t xml:space="preserve"> the Project;</w:t>
      </w:r>
    </w:p>
    <w:p w14:paraId="1557B386" w14:textId="57262FB6" w:rsidR="00382860" w:rsidRDefault="00382860" w:rsidP="00AB0E2A">
      <w:pPr>
        <w:pStyle w:val="BodyText"/>
      </w:pPr>
      <w:r>
        <w:t xml:space="preserve">WHEREAS, concurrently with </w:t>
      </w:r>
      <w:r w:rsidR="00EA7340">
        <w:t xml:space="preserve">the Lease </w:t>
      </w:r>
      <w:r>
        <w:t xml:space="preserve">Assignment, the </w:t>
      </w:r>
      <w:r w:rsidR="00EA7340">
        <w:t>County</w:t>
      </w:r>
      <w:r>
        <w:t xml:space="preserve"> will grant a leasehold interest in and to the Building to the Company (the “</w:t>
      </w:r>
      <w:r w:rsidRPr="00EA7340">
        <w:rPr>
          <w:b/>
          <w:bCs/>
        </w:rPr>
        <w:t>Building Lease</w:t>
      </w:r>
      <w:r>
        <w:t xml:space="preserve">”); </w:t>
      </w:r>
    </w:p>
    <w:p w14:paraId="3F3C9A26" w14:textId="33AC4B48" w:rsidR="003E7276" w:rsidRDefault="003E7276" w:rsidP="003E7276">
      <w:pPr>
        <w:pStyle w:val="BodyText"/>
      </w:pPr>
      <w:r>
        <w:t xml:space="preserve">WHEREAS, </w:t>
      </w:r>
      <w:r w:rsidR="00EA7340">
        <w:t xml:space="preserve">upon completion of the Project, </w:t>
      </w:r>
      <w:r>
        <w:t xml:space="preserve">the Company will enter into a </w:t>
      </w:r>
      <w:r w:rsidR="00EA7340">
        <w:t>3</w:t>
      </w:r>
      <w:r>
        <w:t>0</w:t>
      </w:r>
      <w:r w:rsidR="00BA68DA">
        <w:t>-</w:t>
      </w:r>
      <w:r>
        <w:t xml:space="preserve">year </w:t>
      </w:r>
      <w:r w:rsidR="00382860">
        <w:t>sub</w:t>
      </w:r>
      <w:r>
        <w:t>lease</w:t>
      </w:r>
      <w:r w:rsidR="00EA7340">
        <w:t xml:space="preserve"> with the County</w:t>
      </w:r>
      <w:r>
        <w:t xml:space="preserve">, with </w:t>
      </w:r>
      <w:r w:rsidR="00EA7340">
        <w:t>one</w:t>
      </w:r>
      <w:r w:rsidR="00382860">
        <w:t xml:space="preserve"> </w:t>
      </w:r>
      <w:r>
        <w:t>option to renew at fair market rental value (the “</w:t>
      </w:r>
      <w:r w:rsidR="00382860" w:rsidRPr="00EA7340">
        <w:rPr>
          <w:b/>
          <w:bCs/>
        </w:rPr>
        <w:t xml:space="preserve">Operating </w:t>
      </w:r>
      <w:r w:rsidR="00EA7340" w:rsidRPr="00EA7340">
        <w:rPr>
          <w:b/>
          <w:bCs/>
        </w:rPr>
        <w:t>Sublease</w:t>
      </w:r>
      <w:r>
        <w:t>”),</w:t>
      </w:r>
      <w:r w:rsidR="00E91DDA">
        <w:t xml:space="preserve"> </w:t>
      </w:r>
      <w:r w:rsidR="00EA7340">
        <w:t xml:space="preserve">pursuant to which the County will be granted the rights to operate the senior center </w:t>
      </w:r>
      <w:r w:rsidR="00EA7340">
        <w:lastRenderedPageBreak/>
        <w:t xml:space="preserve">and continue providing programming services to the aging and adult community from the </w:t>
      </w:r>
      <w:proofErr w:type="gramStart"/>
      <w:r w:rsidR="00EA7340">
        <w:t>Building</w:t>
      </w:r>
      <w:proofErr w:type="gramEnd"/>
      <w:r>
        <w:t>;</w:t>
      </w:r>
    </w:p>
    <w:p w14:paraId="1D3F25CD" w14:textId="4CD155BA" w:rsidR="003E7276" w:rsidRDefault="003E7276" w:rsidP="009D0A2C">
      <w:pPr>
        <w:pStyle w:val="BodyText"/>
      </w:pPr>
      <w:r>
        <w:t xml:space="preserve">WHEREAS, </w:t>
      </w:r>
      <w:r w:rsidR="005971A3">
        <w:t xml:space="preserve">Alliance Finance Fund 11, LLC, a Utah limited liability company </w:t>
      </w:r>
      <w:r w:rsidR="009D0A2C" w:rsidRPr="005971A3">
        <w:t>(“</w:t>
      </w:r>
      <w:r w:rsidR="009D0A2C" w:rsidRPr="005971A3">
        <w:rPr>
          <w:b/>
          <w:bCs/>
        </w:rPr>
        <w:t>NMTC Lender</w:t>
      </w:r>
      <w:r w:rsidR="009D0A2C" w:rsidRPr="005971A3">
        <w:t>”) and the Company will enter into a loan agreement, pursuant to which the NMTC Lender will allocate the NMTC Financing to the Company (the “</w:t>
      </w:r>
      <w:r w:rsidR="009D0A2C" w:rsidRPr="005971A3">
        <w:rPr>
          <w:b/>
          <w:bCs/>
        </w:rPr>
        <w:t>Loan Agreement</w:t>
      </w:r>
      <w:r w:rsidR="009D0A2C" w:rsidRPr="005971A3">
        <w:t xml:space="preserve">”) </w:t>
      </w:r>
      <w:r w:rsidRPr="005971A3">
        <w:t>the proceeds of which will be used to pay for a portion of the cost of the Project</w:t>
      </w:r>
      <w:r>
        <w:t>;</w:t>
      </w:r>
    </w:p>
    <w:p w14:paraId="1EEE8339" w14:textId="2323B4EE" w:rsidR="003E7276" w:rsidRDefault="003E7276" w:rsidP="003E7276">
      <w:pPr>
        <w:pStyle w:val="BodyText"/>
      </w:pPr>
      <w:r>
        <w:t xml:space="preserve">WHEREAS, </w:t>
      </w:r>
      <w:proofErr w:type="gramStart"/>
      <w:r>
        <w:t>in order to</w:t>
      </w:r>
      <w:proofErr w:type="gramEnd"/>
      <w:r>
        <w:t xml:space="preserve"> complete the Project, the Company will enter into an agreement (the “</w:t>
      </w:r>
      <w:r w:rsidRPr="009F3AAD">
        <w:rPr>
          <w:b/>
          <w:bCs/>
        </w:rPr>
        <w:t>Development Services Agreement</w:t>
      </w:r>
      <w:r>
        <w:t>”) with</w:t>
      </w:r>
      <w:r w:rsidR="00550604">
        <w:t xml:space="preserve"> the </w:t>
      </w:r>
      <w:r w:rsidR="009F3AAD">
        <w:t>County</w:t>
      </w:r>
      <w:r>
        <w:t xml:space="preserve">, pursuant to which </w:t>
      </w:r>
      <w:r w:rsidR="00550604">
        <w:t xml:space="preserve">the </w:t>
      </w:r>
      <w:r w:rsidR="009F3AAD">
        <w:t>County</w:t>
      </w:r>
      <w:r w:rsidR="00550604">
        <w:t xml:space="preserve"> </w:t>
      </w:r>
      <w:r>
        <w:t>will provide certain construction services to the Company, to be paid by the Company as provided therein;</w:t>
      </w:r>
    </w:p>
    <w:p w14:paraId="3F2CE79E" w14:textId="606A17B7" w:rsidR="003E7276" w:rsidRDefault="003E7276" w:rsidP="003E7276">
      <w:pPr>
        <w:pStyle w:val="BodyText"/>
      </w:pPr>
      <w:r>
        <w:t xml:space="preserve">NOW, THEREFORE, BE IT RESOLVED, </w:t>
      </w:r>
      <w:r w:rsidR="009F3AAD">
        <w:t xml:space="preserve">(1) </w:t>
      </w:r>
      <w:r>
        <w:t>that the Company’s participation in the NMTC Financing</w:t>
      </w:r>
      <w:r w:rsidR="009F3AAD">
        <w:t>, (2) the Loan Agreement, and any ancillary documents, (3) the Development Services Agreement and all related and ancillary documents, and (4) any documents reasonably related to the NMTC Financing and the Project,</w:t>
      </w:r>
      <w:r>
        <w:t xml:space="preserve"> be, and hereby </w:t>
      </w:r>
      <w:r w:rsidR="009F3AAD">
        <w:t>are</w:t>
      </w:r>
      <w:r>
        <w:t>, approved as presented to the Company;</w:t>
      </w:r>
    </w:p>
    <w:p w14:paraId="2DAC2F66" w14:textId="3528D302" w:rsidR="003E7276" w:rsidRDefault="003E7276" w:rsidP="00853376">
      <w:pPr>
        <w:pStyle w:val="BodyText"/>
      </w:pPr>
      <w:r>
        <w:t>RESOLVED FURTHER, that the Manager of the Company be, and hereby is, authorized and directed on behalf of the Company to (1) negotiate the terms of the</w:t>
      </w:r>
      <w:r w:rsidR="005971A3">
        <w:t xml:space="preserve"> </w:t>
      </w:r>
      <w:r>
        <w:t xml:space="preserve">Ground Lease </w:t>
      </w:r>
      <w:r w:rsidR="005971A3">
        <w:t xml:space="preserve">Amendment, </w:t>
      </w:r>
      <w:r w:rsidR="00E54B21">
        <w:t xml:space="preserve">Lease </w:t>
      </w:r>
      <w:r>
        <w:t>Assignment</w:t>
      </w:r>
      <w:r w:rsidR="005971A3">
        <w:t xml:space="preserve">, </w:t>
      </w:r>
      <w:r w:rsidR="00681BB1">
        <w:t>Building Lease, Operating Sublease, Development Services Agreement</w:t>
      </w:r>
      <w:r>
        <w:t>,</w:t>
      </w:r>
      <w:r w:rsidR="00681BB1">
        <w:t xml:space="preserve"> and all documents evidencing and securing the Loan Agreement </w:t>
      </w:r>
      <w:r w:rsidR="00681BB1" w:rsidRPr="00681BB1">
        <w:t>(together with such other assignments, deeds of trust, financing statements, documents and instruments as may be required by the other participants in the NMTC Financing, the “</w:t>
      </w:r>
      <w:r w:rsidR="00681BB1" w:rsidRPr="00BA68DA">
        <w:rPr>
          <w:b/>
          <w:bCs/>
        </w:rPr>
        <w:t>Transaction Documents</w:t>
      </w:r>
      <w:r w:rsidR="00681BB1" w:rsidRPr="00681BB1">
        <w:t>”)</w:t>
      </w:r>
      <w:r w:rsidR="00681BB1">
        <w:t>,</w:t>
      </w:r>
      <w:r>
        <w:t xml:space="preserve"> (2) execute </w:t>
      </w:r>
      <w:r w:rsidR="00681BB1">
        <w:t>on behalf of the Company the Transaction Documents</w:t>
      </w:r>
      <w:r>
        <w:t xml:space="preserve">, and (3) take all such actions, and to prepare, execute and deliver any and all such additional agreements, instruments and documents involving the NMTC Financing </w:t>
      </w:r>
      <w:r w:rsidR="00681BB1">
        <w:t xml:space="preserve">and the Transaction Documents </w:t>
      </w:r>
      <w:r>
        <w:t>which the Manager may deem necessary or advisable to carry out the intent of these resolutions;</w:t>
      </w:r>
    </w:p>
    <w:p w14:paraId="41F9FFFD" w14:textId="77777777" w:rsidR="003E7276" w:rsidRDefault="003E7276" w:rsidP="003E7276">
      <w:pPr>
        <w:pStyle w:val="BodyText"/>
      </w:pPr>
      <w:r>
        <w:t>RESOLVED FURTHER, that the Manager be, and hereby is, authorized and directed on behalf of the Company to open such bank accounts with such financial institutions as required under the Transaction Documents or which the Manager may deem necessary or advisable to carry out the intent of these resolutions, and to take all such other actions, including without limitation approving resolutions required by such financial institutions in connection therewith, which the Manager may deem necessary or advisable to carry out the intent of these resolutions;</w:t>
      </w:r>
    </w:p>
    <w:p w14:paraId="2EDE5764" w14:textId="77777777" w:rsidR="003E7276" w:rsidRDefault="003E7276" w:rsidP="003E7276">
      <w:pPr>
        <w:pStyle w:val="BodyText"/>
      </w:pPr>
      <w:r>
        <w:t>RESOLVED FURTHER, that the Manager be, and hereby is, authorized and directed on behalf of the Company to take all such actions, and to prepare, execute, and deliver any and all such additional agreements, instruments and documents involving the Project which the Manager may deem necessary or advisable to carry out the intent of these resolutions; and</w:t>
      </w:r>
    </w:p>
    <w:p w14:paraId="22CB5FF0" w14:textId="77777777" w:rsidR="003E7276" w:rsidRDefault="003E7276" w:rsidP="003E7276">
      <w:pPr>
        <w:pStyle w:val="BodyText"/>
      </w:pPr>
      <w:proofErr w:type="gramStart"/>
      <w:r>
        <w:t>RESOLVED FURTHER, that</w:t>
      </w:r>
      <w:proofErr w:type="gramEnd"/>
      <w:r>
        <w:t xml:space="preserve"> the authority given hereunder shall be deemed retroactive, such that </w:t>
      </w:r>
      <w:proofErr w:type="gramStart"/>
      <w:r>
        <w:t>any and all</w:t>
      </w:r>
      <w:proofErr w:type="gramEnd"/>
      <w:r>
        <w:t xml:space="preserve"> acts authorized by these resolutions but performed prior to their adoption are ratified and approved.</w:t>
      </w:r>
    </w:p>
    <w:p w14:paraId="6DB1322D" w14:textId="77777777" w:rsidR="003E7276" w:rsidRDefault="003E7276" w:rsidP="003E7276">
      <w:pPr>
        <w:jc w:val="center"/>
        <w:rPr>
          <w:sz w:val="20"/>
          <w:szCs w:val="20"/>
        </w:rPr>
      </w:pPr>
    </w:p>
    <w:p w14:paraId="1D4A750B" w14:textId="77777777" w:rsidR="003E7276" w:rsidRDefault="003E7276" w:rsidP="003E7276">
      <w:pPr>
        <w:jc w:val="center"/>
        <w:rPr>
          <w:sz w:val="20"/>
          <w:szCs w:val="20"/>
        </w:rPr>
      </w:pPr>
    </w:p>
    <w:p w14:paraId="6F2C2E09" w14:textId="41DED97D" w:rsidR="003E7276" w:rsidRPr="003E7276" w:rsidRDefault="003E7276" w:rsidP="003E7276">
      <w:pPr>
        <w:jc w:val="center"/>
        <w:rPr>
          <w:sz w:val="20"/>
          <w:szCs w:val="20"/>
        </w:rPr>
      </w:pPr>
      <w:r w:rsidRPr="003E7276">
        <w:rPr>
          <w:sz w:val="20"/>
          <w:szCs w:val="20"/>
        </w:rPr>
        <w:lastRenderedPageBreak/>
        <w:t>[REMAINDER OF PAGE IS INTENTIONALLY BLANK</w:t>
      </w:r>
      <w:r>
        <w:rPr>
          <w:sz w:val="20"/>
          <w:szCs w:val="20"/>
        </w:rPr>
        <w:t xml:space="preserve"> </w:t>
      </w:r>
      <w:r w:rsidRPr="003E7276">
        <w:rPr>
          <w:sz w:val="20"/>
          <w:szCs w:val="20"/>
        </w:rPr>
        <w:t>-</w:t>
      </w:r>
      <w:r>
        <w:rPr>
          <w:sz w:val="20"/>
          <w:szCs w:val="20"/>
        </w:rPr>
        <w:t xml:space="preserve"> </w:t>
      </w:r>
      <w:r w:rsidRPr="003E7276">
        <w:rPr>
          <w:sz w:val="20"/>
          <w:szCs w:val="20"/>
        </w:rPr>
        <w:t>SIGNATURE PAGE TO FOLLOW]</w:t>
      </w:r>
    </w:p>
    <w:p w14:paraId="067F0479" w14:textId="77777777" w:rsidR="003E7276" w:rsidRDefault="003E7276" w:rsidP="003E7276"/>
    <w:p w14:paraId="01F5688A" w14:textId="77777777" w:rsidR="003E7276" w:rsidRDefault="003E7276">
      <w:pPr>
        <w:jc w:val="left"/>
      </w:pPr>
      <w:r>
        <w:br w:type="page"/>
      </w:r>
    </w:p>
    <w:p w14:paraId="695C05DF" w14:textId="7B29CE05" w:rsidR="003E7276" w:rsidRDefault="003E7276" w:rsidP="003E7276">
      <w:pPr>
        <w:pStyle w:val="BodyText"/>
      </w:pPr>
      <w:r>
        <w:lastRenderedPageBreak/>
        <w:t xml:space="preserve">IN WITNESS WHEREOF, this instrument has been executed on this ____ day of </w:t>
      </w:r>
      <w:r w:rsidR="00E54B21">
        <w:t>__________</w:t>
      </w:r>
      <w:r>
        <w:t>, 20</w:t>
      </w:r>
      <w:r w:rsidR="00E54B21">
        <w:t>26</w:t>
      </w:r>
      <w:r>
        <w:t>, to be effective as of such date.</w:t>
      </w:r>
    </w:p>
    <w:tbl>
      <w:tblPr>
        <w:tblStyle w:val="TableGrid"/>
        <w:tblW w:w="0" w:type="auto"/>
        <w:tblInd w:w="3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4675"/>
      </w:tblGrid>
      <w:tr w:rsidR="00E54B21" w14:paraId="1BE307ED" w14:textId="77777777" w:rsidTr="00E54B21">
        <w:tc>
          <w:tcPr>
            <w:tcW w:w="990" w:type="dxa"/>
          </w:tcPr>
          <w:p w14:paraId="2695FC90" w14:textId="77777777" w:rsidR="00E54B21" w:rsidRDefault="00E54B21" w:rsidP="00E54B21">
            <w:pPr>
              <w:pStyle w:val="BodyText"/>
              <w:ind w:firstLine="0"/>
            </w:pPr>
          </w:p>
        </w:tc>
        <w:tc>
          <w:tcPr>
            <w:tcW w:w="4675" w:type="dxa"/>
          </w:tcPr>
          <w:p w14:paraId="4E58A440" w14:textId="77777777" w:rsidR="00E54B21" w:rsidRDefault="00E54B21" w:rsidP="00E54B21">
            <w:pPr>
              <w:pStyle w:val="Signature"/>
              <w:ind w:left="0"/>
            </w:pPr>
            <w:r>
              <w:t>SALT LAKE COUNTY NMTC, INC.,</w:t>
            </w:r>
          </w:p>
          <w:p w14:paraId="39A20610" w14:textId="77777777" w:rsidR="00E54B21" w:rsidRDefault="00E54B21" w:rsidP="00E54B21">
            <w:pPr>
              <w:pStyle w:val="Signature"/>
              <w:ind w:left="0"/>
            </w:pPr>
            <w:r>
              <w:t>a Utah nonprofit corporation</w:t>
            </w:r>
          </w:p>
          <w:p w14:paraId="6306EDF0" w14:textId="77777777" w:rsidR="00E54B21" w:rsidRDefault="00E54B21" w:rsidP="00E54B21">
            <w:pPr>
              <w:pStyle w:val="BodyText"/>
              <w:ind w:firstLine="0"/>
            </w:pPr>
          </w:p>
        </w:tc>
      </w:tr>
      <w:tr w:rsidR="00E54B21" w14:paraId="042746A5" w14:textId="77777777" w:rsidTr="00E54B21">
        <w:tc>
          <w:tcPr>
            <w:tcW w:w="990" w:type="dxa"/>
          </w:tcPr>
          <w:p w14:paraId="6FB3CC9C" w14:textId="5856B810" w:rsidR="00E54B21" w:rsidRDefault="00E54B21" w:rsidP="00E54B21">
            <w:pPr>
              <w:pStyle w:val="BodyText"/>
              <w:ind w:firstLine="0"/>
            </w:pPr>
            <w:r>
              <w:t>By:</w:t>
            </w:r>
          </w:p>
        </w:tc>
        <w:tc>
          <w:tcPr>
            <w:tcW w:w="4675" w:type="dxa"/>
            <w:tcBorders>
              <w:bottom w:val="single" w:sz="4" w:space="0" w:color="auto"/>
            </w:tcBorders>
          </w:tcPr>
          <w:p w14:paraId="5FBD81BE" w14:textId="77777777" w:rsidR="00E54B21" w:rsidRDefault="00E54B21" w:rsidP="00E54B21">
            <w:pPr>
              <w:pStyle w:val="BodyText"/>
              <w:ind w:firstLine="0"/>
            </w:pPr>
          </w:p>
        </w:tc>
      </w:tr>
      <w:tr w:rsidR="00E54B21" w14:paraId="421C10A2" w14:textId="77777777" w:rsidTr="00E54B21">
        <w:tc>
          <w:tcPr>
            <w:tcW w:w="990" w:type="dxa"/>
          </w:tcPr>
          <w:p w14:paraId="71CDDBA4" w14:textId="1204A4E3" w:rsidR="00E54B21" w:rsidRDefault="00E54B21" w:rsidP="00E54B21">
            <w:pPr>
              <w:pStyle w:val="BodyText"/>
              <w:ind w:firstLine="0"/>
            </w:pPr>
            <w:r>
              <w:t>Name:</w:t>
            </w:r>
          </w:p>
        </w:tc>
        <w:tc>
          <w:tcPr>
            <w:tcW w:w="4675" w:type="dxa"/>
            <w:tcBorders>
              <w:top w:val="single" w:sz="4" w:space="0" w:color="auto"/>
              <w:bottom w:val="single" w:sz="4" w:space="0" w:color="auto"/>
            </w:tcBorders>
          </w:tcPr>
          <w:p w14:paraId="01700929" w14:textId="77777777" w:rsidR="00E54B21" w:rsidRDefault="00E54B21" w:rsidP="00E54B21">
            <w:pPr>
              <w:pStyle w:val="BodyText"/>
              <w:ind w:firstLine="0"/>
            </w:pPr>
          </w:p>
        </w:tc>
      </w:tr>
      <w:tr w:rsidR="00E54B21" w14:paraId="12039034" w14:textId="77777777" w:rsidTr="00E54B21">
        <w:tc>
          <w:tcPr>
            <w:tcW w:w="990" w:type="dxa"/>
          </w:tcPr>
          <w:p w14:paraId="49B6ED2B" w14:textId="27AEA5EC" w:rsidR="00E54B21" w:rsidRDefault="00E54B21" w:rsidP="00E54B21">
            <w:pPr>
              <w:pStyle w:val="BodyText"/>
              <w:ind w:firstLine="0"/>
            </w:pPr>
            <w:r>
              <w:t>Its:</w:t>
            </w:r>
          </w:p>
        </w:tc>
        <w:tc>
          <w:tcPr>
            <w:tcW w:w="4675" w:type="dxa"/>
            <w:tcBorders>
              <w:top w:val="single" w:sz="4" w:space="0" w:color="auto"/>
              <w:bottom w:val="single" w:sz="4" w:space="0" w:color="auto"/>
            </w:tcBorders>
          </w:tcPr>
          <w:p w14:paraId="09B57985" w14:textId="77777777" w:rsidR="00E54B21" w:rsidRDefault="00E54B21" w:rsidP="00E54B21">
            <w:pPr>
              <w:pStyle w:val="BodyText"/>
              <w:ind w:firstLine="0"/>
            </w:pPr>
          </w:p>
        </w:tc>
      </w:tr>
      <w:tr w:rsidR="00E54B21" w14:paraId="171577B4" w14:textId="77777777" w:rsidTr="00E54B21">
        <w:tc>
          <w:tcPr>
            <w:tcW w:w="990" w:type="dxa"/>
          </w:tcPr>
          <w:p w14:paraId="10418CB9" w14:textId="7836628B" w:rsidR="00E54B21" w:rsidRDefault="00E54B21" w:rsidP="00E54B21">
            <w:pPr>
              <w:pStyle w:val="BodyText"/>
              <w:ind w:firstLine="0"/>
            </w:pPr>
            <w:r>
              <w:t>Date:</w:t>
            </w:r>
          </w:p>
        </w:tc>
        <w:tc>
          <w:tcPr>
            <w:tcW w:w="4675" w:type="dxa"/>
            <w:tcBorders>
              <w:top w:val="single" w:sz="4" w:space="0" w:color="auto"/>
              <w:bottom w:val="single" w:sz="4" w:space="0" w:color="auto"/>
            </w:tcBorders>
          </w:tcPr>
          <w:p w14:paraId="3DC058A5" w14:textId="77777777" w:rsidR="00E54B21" w:rsidRDefault="00E54B21" w:rsidP="00E54B21">
            <w:pPr>
              <w:pStyle w:val="BodyText"/>
              <w:ind w:firstLine="0"/>
            </w:pPr>
          </w:p>
        </w:tc>
      </w:tr>
    </w:tbl>
    <w:p w14:paraId="0B5B6E70" w14:textId="77777777" w:rsidR="00E54B21" w:rsidRDefault="00E54B21" w:rsidP="00E54B21">
      <w:pPr>
        <w:pStyle w:val="BodyText"/>
        <w:ind w:firstLine="0"/>
      </w:pPr>
    </w:p>
    <w:p w14:paraId="5F102792" w14:textId="77777777" w:rsidR="003E7276" w:rsidRDefault="003E7276" w:rsidP="003E7276">
      <w:pPr>
        <w:pStyle w:val="Signature"/>
      </w:pPr>
    </w:p>
    <w:sectPr w:rsidR="003E727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1F5A3" w14:textId="77777777" w:rsidR="00E13A5A" w:rsidRDefault="00E13A5A">
      <w:r>
        <w:separator/>
      </w:r>
    </w:p>
  </w:endnote>
  <w:endnote w:type="continuationSeparator" w:id="0">
    <w:p w14:paraId="03A99E8C" w14:textId="77777777" w:rsidR="00E13A5A" w:rsidRDefault="00E1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35e21062-7dc7-48fa-a504-0a6f"/>
  <w:p w14:paraId="56F57BC6" w14:textId="77777777" w:rsidR="0059058D" w:rsidRDefault="0059058D">
    <w:pPr>
      <w:pStyle w:val="DocID"/>
    </w:pPr>
    <w:r>
      <w:fldChar w:fldCharType="begin"/>
    </w:r>
    <w:r>
      <w:instrText xml:space="preserve">  DOCPROPERTY "CUS_DocIDChunk0" </w:instrText>
    </w:r>
    <w:r>
      <w:fldChar w:fldCharType="separate"/>
    </w:r>
    <w:r>
      <w:rPr>
        <w:noProof/>
      </w:rPr>
      <w:t>4919-6873-0306.v5</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DADC" w14:textId="77777777" w:rsidR="0059058D" w:rsidRPr="00C32D41" w:rsidRDefault="0059058D" w:rsidP="00C32D41">
    <w:pPr>
      <w:pStyle w:val="Footer"/>
      <w:rPr>
        <w:rStyle w:val="PageNumber"/>
      </w:rPr>
    </w:pPr>
    <w:r>
      <w:t>JOINT CONSENT</w:t>
    </w:r>
    <w:r>
      <w:tab/>
    </w: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bookmarkStart w:id="1" w:name="_iDocIDField5856f4eb-bd9c-4cbd-8a40-5fd9"/>
  <w:p w14:paraId="294E0DE1" w14:textId="77777777" w:rsidR="0059058D" w:rsidRDefault="0059058D">
    <w:pPr>
      <w:pStyle w:val="DocID"/>
    </w:pPr>
    <w:r>
      <w:fldChar w:fldCharType="begin"/>
    </w:r>
    <w:r>
      <w:instrText xml:space="preserve">  DOCPROPERTY "CUS_DocIDChunk0" </w:instrText>
    </w:r>
    <w:r>
      <w:fldChar w:fldCharType="separate"/>
    </w:r>
    <w:r>
      <w:rPr>
        <w:noProof/>
      </w:rPr>
      <w:t>4919-6873-0306.v5</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854bd5c0-f4f5-4774-af67-59f3"/>
  <w:p w14:paraId="6D9B41D9" w14:textId="77777777" w:rsidR="0059058D" w:rsidRDefault="0059058D">
    <w:pPr>
      <w:pStyle w:val="DocID"/>
    </w:pPr>
    <w:r>
      <w:fldChar w:fldCharType="begin"/>
    </w:r>
    <w:r>
      <w:instrText xml:space="preserve">  DOCPROPERTY "CUS_DocIDChunk0" </w:instrText>
    </w:r>
    <w:r>
      <w:fldChar w:fldCharType="separate"/>
    </w:r>
    <w:r>
      <w:rPr>
        <w:noProof/>
      </w:rPr>
      <w:t>4919-6873-0306.v5</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CAFEC" w14:textId="77777777" w:rsidR="00E13A5A" w:rsidRDefault="00E13A5A">
      <w:r>
        <w:separator/>
      </w:r>
    </w:p>
  </w:footnote>
  <w:footnote w:type="continuationSeparator" w:id="0">
    <w:p w14:paraId="21ED1E1B" w14:textId="77777777" w:rsidR="00E13A5A" w:rsidRDefault="00E13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5216" w14:textId="77777777" w:rsidR="0043283F" w:rsidRDefault="004328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4BC8" w14:textId="77777777" w:rsidR="0043283F" w:rsidRDefault="004328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8F64" w14:textId="77777777" w:rsidR="0043283F" w:rsidRDefault="00432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F46C2"/>
    <w:multiLevelType w:val="hybridMultilevel"/>
    <w:tmpl w:val="0950B0DE"/>
    <w:lvl w:ilvl="0" w:tplc="A92ED114">
      <w:start w:val="1"/>
      <w:numFmt w:val="bullet"/>
      <w:pStyle w:val="Bullet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373242"/>
    <w:multiLevelType w:val="multilevel"/>
    <w:tmpl w:val="2FBE0B44"/>
    <w:lvl w:ilvl="0">
      <w:start w:val="1"/>
      <w:numFmt w:val="decimal"/>
      <w:pStyle w:val="Heading1"/>
      <w:lvlText w:val="%1."/>
      <w:lvlJc w:val="left"/>
      <w:pPr>
        <w:tabs>
          <w:tab w:val="num" w:pos="720"/>
        </w:tabs>
        <w:ind w:left="0" w:firstLine="720"/>
      </w:pPr>
      <w:rPr>
        <w:rFonts w:hint="default"/>
        <w:vanish w:val="0"/>
        <w:u w:val="none"/>
      </w:rPr>
    </w:lvl>
    <w:lvl w:ilvl="1">
      <w:start w:val="1"/>
      <w:numFmt w:val="lowerLetter"/>
      <w:pStyle w:val="Heading2"/>
      <w:lvlText w:val="%2."/>
      <w:lvlJc w:val="left"/>
      <w:pPr>
        <w:tabs>
          <w:tab w:val="num" w:pos="1440"/>
        </w:tabs>
        <w:ind w:left="0" w:firstLine="1440"/>
      </w:pPr>
      <w:rPr>
        <w:rFonts w:hint="default"/>
        <w:vanish w:val="0"/>
        <w:u w:val="none"/>
      </w:rPr>
    </w:lvl>
    <w:lvl w:ilvl="2">
      <w:start w:val="1"/>
      <w:numFmt w:val="lowerRoman"/>
      <w:pStyle w:val="Heading3"/>
      <w:lvlText w:val="%3."/>
      <w:lvlJc w:val="left"/>
      <w:pPr>
        <w:tabs>
          <w:tab w:val="num" w:pos="2160"/>
        </w:tabs>
        <w:ind w:left="0" w:firstLine="2160"/>
      </w:pPr>
      <w:rPr>
        <w:rFonts w:hint="default"/>
        <w:vanish w:val="0"/>
        <w:u w:val="none"/>
      </w:rPr>
    </w:lvl>
    <w:lvl w:ilvl="3">
      <w:start w:val="1"/>
      <w:numFmt w:val="lowerLetter"/>
      <w:pStyle w:val="Heading4"/>
      <w:lvlText w:val="(%4)"/>
      <w:lvlJc w:val="left"/>
      <w:pPr>
        <w:tabs>
          <w:tab w:val="num" w:pos="2880"/>
        </w:tabs>
        <w:ind w:left="0" w:firstLine="2880"/>
      </w:pPr>
      <w:rPr>
        <w:rFonts w:hint="default"/>
        <w:vanish w:val="0"/>
        <w:u w:val="none"/>
      </w:rPr>
    </w:lvl>
    <w:lvl w:ilvl="4">
      <w:start w:val="1"/>
      <w:numFmt w:val="lowerRoman"/>
      <w:pStyle w:val="Heading5"/>
      <w:lvlText w:val="(%5)"/>
      <w:lvlJc w:val="left"/>
      <w:pPr>
        <w:tabs>
          <w:tab w:val="num" w:pos="3600"/>
        </w:tabs>
        <w:ind w:left="0" w:firstLine="3600"/>
      </w:pPr>
      <w:rPr>
        <w:rFonts w:hint="default"/>
        <w:vanish w:val="0"/>
        <w:u w:val="none"/>
      </w:rPr>
    </w:lvl>
    <w:lvl w:ilvl="5">
      <w:start w:val="1"/>
      <w:numFmt w:val="lowerLetter"/>
      <w:lvlRestart w:val="0"/>
      <w:pStyle w:val="Heading6"/>
      <w:lvlText w:val="(%6)"/>
      <w:lvlJc w:val="left"/>
      <w:pPr>
        <w:tabs>
          <w:tab w:val="num" w:pos="4320"/>
        </w:tabs>
        <w:ind w:left="3600" w:firstLine="720"/>
      </w:pPr>
      <w:rPr>
        <w:rFonts w:hint="default"/>
        <w:vanish w:val="0"/>
        <w:u w:val="none"/>
      </w:rPr>
    </w:lvl>
    <w:lvl w:ilvl="6">
      <w:start w:val="1"/>
      <w:numFmt w:val="upperRoman"/>
      <w:pStyle w:val="Heading7"/>
      <w:lvlText w:val="%7."/>
      <w:lvlJc w:val="left"/>
      <w:pPr>
        <w:tabs>
          <w:tab w:val="num" w:pos="5040"/>
        </w:tabs>
        <w:ind w:left="4320" w:firstLine="720"/>
      </w:pPr>
      <w:rPr>
        <w:rFonts w:hint="default"/>
        <w:vanish w:val="0"/>
        <w:u w:val="none"/>
      </w:rPr>
    </w:lvl>
    <w:lvl w:ilvl="7">
      <w:start w:val="1"/>
      <w:numFmt w:val="upperLetter"/>
      <w:pStyle w:val="Heading8"/>
      <w:lvlText w:val="%8."/>
      <w:lvlJc w:val="left"/>
      <w:pPr>
        <w:tabs>
          <w:tab w:val="num" w:pos="5760"/>
        </w:tabs>
        <w:ind w:left="5040" w:firstLine="720"/>
      </w:pPr>
      <w:rPr>
        <w:rFonts w:hint="default"/>
        <w:vanish w:val="0"/>
        <w:u w:val="none"/>
      </w:rPr>
    </w:lvl>
    <w:lvl w:ilvl="8">
      <w:start w:val="1"/>
      <w:numFmt w:val="decimal"/>
      <w:pStyle w:val="Heading9"/>
      <w:lvlText w:val="%9."/>
      <w:lvlJc w:val="left"/>
      <w:pPr>
        <w:tabs>
          <w:tab w:val="num" w:pos="6480"/>
        </w:tabs>
        <w:ind w:left="5760" w:firstLine="720"/>
      </w:pPr>
      <w:rPr>
        <w:rFonts w:hint="default"/>
        <w:vanish w:val="0"/>
        <w:u w:val="none"/>
      </w:rPr>
    </w:lvl>
  </w:abstractNum>
  <w:abstractNum w:abstractNumId="2" w15:restartNumberingAfterBreak="0">
    <w:nsid w:val="3D1223EC"/>
    <w:multiLevelType w:val="hybridMultilevel"/>
    <w:tmpl w:val="37C4DC7C"/>
    <w:lvl w:ilvl="0" w:tplc="01A0C74E">
      <w:start w:val="1"/>
      <w:numFmt w:val="bullet"/>
      <w:pStyle w:val="Bullet2"/>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71011531">
    <w:abstractNumId w:val="0"/>
  </w:num>
  <w:num w:numId="2" w16cid:durableId="1236279043">
    <w:abstractNumId w:val="2"/>
  </w:num>
  <w:num w:numId="3" w16cid:durableId="16912541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7F05" w:allStyles="1"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Formattin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76"/>
    <w:rsid w:val="00010CE6"/>
    <w:rsid w:val="00053624"/>
    <w:rsid w:val="000963B2"/>
    <w:rsid w:val="000D1D2C"/>
    <w:rsid w:val="000D58CD"/>
    <w:rsid w:val="001671A8"/>
    <w:rsid w:val="00181349"/>
    <w:rsid w:val="00262734"/>
    <w:rsid w:val="00292D77"/>
    <w:rsid w:val="002C1E00"/>
    <w:rsid w:val="00310C2E"/>
    <w:rsid w:val="00353BBC"/>
    <w:rsid w:val="00382860"/>
    <w:rsid w:val="003E7276"/>
    <w:rsid w:val="00411A99"/>
    <w:rsid w:val="0043283F"/>
    <w:rsid w:val="004A4C73"/>
    <w:rsid w:val="00550604"/>
    <w:rsid w:val="0057746E"/>
    <w:rsid w:val="0059058D"/>
    <w:rsid w:val="005971A3"/>
    <w:rsid w:val="005A566C"/>
    <w:rsid w:val="005D12F0"/>
    <w:rsid w:val="005F0E6F"/>
    <w:rsid w:val="00624433"/>
    <w:rsid w:val="006579C2"/>
    <w:rsid w:val="006712AF"/>
    <w:rsid w:val="00681BB1"/>
    <w:rsid w:val="006A2C75"/>
    <w:rsid w:val="006C14B2"/>
    <w:rsid w:val="007C5E5C"/>
    <w:rsid w:val="007F23AB"/>
    <w:rsid w:val="00833753"/>
    <w:rsid w:val="00853376"/>
    <w:rsid w:val="00890B16"/>
    <w:rsid w:val="008F4A5E"/>
    <w:rsid w:val="00904879"/>
    <w:rsid w:val="0094644A"/>
    <w:rsid w:val="009C6BAE"/>
    <w:rsid w:val="009D0A2C"/>
    <w:rsid w:val="009F1DB4"/>
    <w:rsid w:val="009F3AAD"/>
    <w:rsid w:val="00A43D7D"/>
    <w:rsid w:val="00A6141C"/>
    <w:rsid w:val="00AB0E2A"/>
    <w:rsid w:val="00AB7783"/>
    <w:rsid w:val="00B4450C"/>
    <w:rsid w:val="00BA337F"/>
    <w:rsid w:val="00BA68DA"/>
    <w:rsid w:val="00BB62DF"/>
    <w:rsid w:val="00C0511E"/>
    <w:rsid w:val="00C40A35"/>
    <w:rsid w:val="00C840A6"/>
    <w:rsid w:val="00CA1DED"/>
    <w:rsid w:val="00D26617"/>
    <w:rsid w:val="00D44952"/>
    <w:rsid w:val="00D52EEB"/>
    <w:rsid w:val="00D639C8"/>
    <w:rsid w:val="00D65094"/>
    <w:rsid w:val="00D901B3"/>
    <w:rsid w:val="00DB0833"/>
    <w:rsid w:val="00E13A5A"/>
    <w:rsid w:val="00E37776"/>
    <w:rsid w:val="00E54106"/>
    <w:rsid w:val="00E54B21"/>
    <w:rsid w:val="00E57277"/>
    <w:rsid w:val="00E91DDA"/>
    <w:rsid w:val="00E95DAC"/>
    <w:rsid w:val="00EA7340"/>
    <w:rsid w:val="00EF0410"/>
    <w:rsid w:val="00F037C6"/>
    <w:rsid w:val="00F1146E"/>
    <w:rsid w:val="00F11E16"/>
    <w:rsid w:val="00F140CF"/>
    <w:rsid w:val="00F85773"/>
    <w:rsid w:val="00F924DC"/>
    <w:rsid w:val="00FE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5C423"/>
  <w15:docId w15:val="{4F154EF0-E369-48EF-B144-CB0E3D46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
    <w:qFormat/>
    <w:rsid w:val="0043283F"/>
    <w:pPr>
      <w:jc w:val="both"/>
    </w:pPr>
    <w:rPr>
      <w:sz w:val="24"/>
      <w:szCs w:val="24"/>
    </w:rPr>
  </w:style>
  <w:style w:type="paragraph" w:styleId="Heading1">
    <w:name w:val="heading 1"/>
    <w:aliases w:val="h1"/>
    <w:basedOn w:val="Normal"/>
    <w:rsid w:val="0043283F"/>
    <w:pPr>
      <w:numPr>
        <w:numId w:val="3"/>
      </w:numPr>
      <w:spacing w:after="240"/>
      <w:outlineLvl w:val="0"/>
    </w:pPr>
    <w:rPr>
      <w:szCs w:val="20"/>
    </w:rPr>
  </w:style>
  <w:style w:type="paragraph" w:styleId="Heading2">
    <w:name w:val="heading 2"/>
    <w:aliases w:val="h2"/>
    <w:basedOn w:val="Normal"/>
    <w:rsid w:val="0043283F"/>
    <w:pPr>
      <w:numPr>
        <w:ilvl w:val="1"/>
        <w:numId w:val="3"/>
      </w:numPr>
      <w:spacing w:after="240"/>
      <w:outlineLvl w:val="1"/>
    </w:pPr>
    <w:rPr>
      <w:szCs w:val="20"/>
    </w:rPr>
  </w:style>
  <w:style w:type="paragraph" w:styleId="Heading3">
    <w:name w:val="heading 3"/>
    <w:aliases w:val="h3"/>
    <w:basedOn w:val="Normal"/>
    <w:rsid w:val="0043283F"/>
    <w:pPr>
      <w:numPr>
        <w:ilvl w:val="2"/>
        <w:numId w:val="3"/>
      </w:numPr>
      <w:spacing w:after="240"/>
      <w:outlineLvl w:val="2"/>
    </w:pPr>
    <w:rPr>
      <w:szCs w:val="20"/>
    </w:rPr>
  </w:style>
  <w:style w:type="paragraph" w:styleId="Heading4">
    <w:name w:val="heading 4"/>
    <w:aliases w:val="h4"/>
    <w:basedOn w:val="Normal"/>
    <w:rsid w:val="0043283F"/>
    <w:pPr>
      <w:numPr>
        <w:ilvl w:val="3"/>
        <w:numId w:val="3"/>
      </w:numPr>
      <w:spacing w:before="240"/>
      <w:outlineLvl w:val="3"/>
    </w:pPr>
    <w:rPr>
      <w:szCs w:val="20"/>
    </w:rPr>
  </w:style>
  <w:style w:type="paragraph" w:styleId="Heading5">
    <w:name w:val="heading 5"/>
    <w:aliases w:val="h5"/>
    <w:basedOn w:val="Normal"/>
    <w:rsid w:val="0043283F"/>
    <w:pPr>
      <w:numPr>
        <w:ilvl w:val="4"/>
        <w:numId w:val="3"/>
      </w:numPr>
      <w:spacing w:before="240"/>
      <w:outlineLvl w:val="4"/>
    </w:pPr>
    <w:rPr>
      <w:szCs w:val="20"/>
    </w:rPr>
  </w:style>
  <w:style w:type="paragraph" w:styleId="Heading6">
    <w:name w:val="heading 6"/>
    <w:aliases w:val="h6"/>
    <w:basedOn w:val="Normal"/>
    <w:next w:val="Normal"/>
    <w:rsid w:val="0043283F"/>
    <w:pPr>
      <w:numPr>
        <w:ilvl w:val="5"/>
        <w:numId w:val="3"/>
      </w:numPr>
      <w:spacing w:before="240"/>
      <w:outlineLvl w:val="5"/>
    </w:pPr>
    <w:rPr>
      <w:szCs w:val="20"/>
    </w:rPr>
  </w:style>
  <w:style w:type="paragraph" w:styleId="Heading7">
    <w:name w:val="heading 7"/>
    <w:aliases w:val="h7"/>
    <w:basedOn w:val="Normal"/>
    <w:next w:val="Normal"/>
    <w:rsid w:val="0043283F"/>
    <w:pPr>
      <w:numPr>
        <w:ilvl w:val="6"/>
        <w:numId w:val="3"/>
      </w:numPr>
      <w:spacing w:before="240"/>
      <w:outlineLvl w:val="6"/>
    </w:pPr>
    <w:rPr>
      <w:szCs w:val="20"/>
    </w:rPr>
  </w:style>
  <w:style w:type="paragraph" w:styleId="Heading8">
    <w:name w:val="heading 8"/>
    <w:aliases w:val="h8"/>
    <w:basedOn w:val="Normal"/>
    <w:next w:val="Normal"/>
    <w:rsid w:val="0043283F"/>
    <w:pPr>
      <w:numPr>
        <w:ilvl w:val="7"/>
        <w:numId w:val="3"/>
      </w:numPr>
      <w:spacing w:before="240"/>
      <w:outlineLvl w:val="7"/>
    </w:pPr>
    <w:rPr>
      <w:szCs w:val="20"/>
    </w:rPr>
  </w:style>
  <w:style w:type="paragraph" w:styleId="Heading9">
    <w:name w:val="heading 9"/>
    <w:aliases w:val="h9"/>
    <w:basedOn w:val="Normal"/>
    <w:next w:val="Normal"/>
    <w:rsid w:val="0043283F"/>
    <w:pPr>
      <w:numPr>
        <w:ilvl w:val="8"/>
        <w:numId w:val="3"/>
      </w:numPr>
      <w:spacing w:before="24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qFormat/>
    <w:rsid w:val="0043283F"/>
    <w:pPr>
      <w:spacing w:after="240"/>
      <w:ind w:firstLine="720"/>
    </w:pPr>
  </w:style>
  <w:style w:type="paragraph" w:styleId="FootnoteText">
    <w:name w:val="footnote text"/>
    <w:aliases w:val="ft"/>
    <w:basedOn w:val="Normal"/>
    <w:link w:val="FootnoteTextChar"/>
    <w:unhideWhenUsed/>
    <w:rsid w:val="0043283F"/>
    <w:pPr>
      <w:spacing w:before="120"/>
    </w:pPr>
    <w:rPr>
      <w:sz w:val="20"/>
      <w:szCs w:val="20"/>
    </w:rPr>
  </w:style>
  <w:style w:type="paragraph" w:customStyle="1" w:styleId="Heading">
    <w:name w:val="Heading"/>
    <w:basedOn w:val="Normal"/>
    <w:rsid w:val="0043283F"/>
    <w:pPr>
      <w:spacing w:before="240"/>
    </w:pPr>
    <w:rPr>
      <w:szCs w:val="20"/>
    </w:rPr>
  </w:style>
  <w:style w:type="character" w:customStyle="1" w:styleId="FootnoteTextChar">
    <w:name w:val="Footnote Text Char"/>
    <w:aliases w:val="ft Char"/>
    <w:basedOn w:val="DefaultParagraphFont"/>
    <w:link w:val="FootnoteText"/>
    <w:rsid w:val="0043283F"/>
  </w:style>
  <w:style w:type="paragraph" w:styleId="Quote">
    <w:name w:val="Quote"/>
    <w:aliases w:val="qu"/>
    <w:basedOn w:val="Normal"/>
    <w:next w:val="BodyTextContinued"/>
    <w:link w:val="QuoteChar"/>
    <w:qFormat/>
    <w:rsid w:val="0043283F"/>
    <w:pPr>
      <w:spacing w:after="240"/>
      <w:ind w:left="1440" w:right="1440"/>
    </w:pPr>
  </w:style>
  <w:style w:type="character" w:customStyle="1" w:styleId="QuoteChar">
    <w:name w:val="Quote Char"/>
    <w:aliases w:val="qu Char"/>
    <w:basedOn w:val="DefaultParagraphFont"/>
    <w:link w:val="Quote"/>
    <w:rsid w:val="0043283F"/>
    <w:rPr>
      <w:sz w:val="24"/>
      <w:szCs w:val="24"/>
    </w:rPr>
  </w:style>
  <w:style w:type="paragraph" w:styleId="Signature">
    <w:name w:val="Signature"/>
    <w:basedOn w:val="Normal"/>
    <w:link w:val="SignatureChar"/>
    <w:semiHidden/>
    <w:qFormat/>
    <w:rsid w:val="0043283F"/>
    <w:pPr>
      <w:ind w:left="4320"/>
    </w:pPr>
  </w:style>
  <w:style w:type="character" w:customStyle="1" w:styleId="SignatureChar">
    <w:name w:val="Signature Char"/>
    <w:basedOn w:val="DefaultParagraphFont"/>
    <w:link w:val="Signature"/>
    <w:semiHidden/>
    <w:rsid w:val="0043283F"/>
    <w:rPr>
      <w:sz w:val="24"/>
      <w:szCs w:val="24"/>
    </w:rPr>
  </w:style>
  <w:style w:type="paragraph" w:styleId="Title">
    <w:name w:val="Title"/>
    <w:basedOn w:val="Normal"/>
    <w:next w:val="Normal"/>
    <w:link w:val="TitleChar"/>
    <w:uiPriority w:val="1"/>
    <w:rsid w:val="0043283F"/>
    <w:pPr>
      <w:spacing w:after="240"/>
      <w:contextualSpacing/>
      <w:jc w:val="center"/>
    </w:pPr>
    <w:rPr>
      <w:rFonts w:eastAsiaTheme="majorEastAsia" w:cstheme="majorBidi"/>
      <w:b/>
      <w:sz w:val="28"/>
      <w:szCs w:val="52"/>
    </w:rPr>
  </w:style>
  <w:style w:type="character" w:customStyle="1" w:styleId="TitleChar">
    <w:name w:val="Title Char"/>
    <w:basedOn w:val="DefaultParagraphFont"/>
    <w:link w:val="Title"/>
    <w:uiPriority w:val="1"/>
    <w:rsid w:val="0043283F"/>
    <w:rPr>
      <w:rFonts w:eastAsiaTheme="majorEastAsia" w:cstheme="majorBidi"/>
      <w:b/>
      <w:sz w:val="28"/>
      <w:szCs w:val="52"/>
    </w:rPr>
  </w:style>
  <w:style w:type="paragraph" w:styleId="TOC1">
    <w:name w:val="toc 1"/>
    <w:aliases w:val="tc1"/>
    <w:basedOn w:val="Normal"/>
    <w:next w:val="Normal"/>
    <w:autoRedefine/>
    <w:uiPriority w:val="39"/>
    <w:rsid w:val="0043283F"/>
    <w:pPr>
      <w:keepNext/>
      <w:tabs>
        <w:tab w:val="right" w:leader="dot" w:pos="9350"/>
      </w:tabs>
      <w:spacing w:after="240"/>
      <w:ind w:left="720" w:right="720" w:hanging="720"/>
      <w:jc w:val="left"/>
    </w:pPr>
    <w:rPr>
      <w:rFonts w:eastAsiaTheme="majorEastAsia"/>
      <w:caps/>
      <w:noProof/>
    </w:rPr>
  </w:style>
  <w:style w:type="paragraph" w:styleId="ListParagraph">
    <w:name w:val="List Paragraph"/>
    <w:basedOn w:val="Normal"/>
    <w:uiPriority w:val="34"/>
    <w:rsid w:val="0043283F"/>
    <w:pPr>
      <w:ind w:left="720"/>
      <w:contextualSpacing/>
    </w:pPr>
  </w:style>
  <w:style w:type="paragraph" w:styleId="TOC2">
    <w:name w:val="toc 2"/>
    <w:aliases w:val="tc2"/>
    <w:basedOn w:val="Normal"/>
    <w:next w:val="Normal"/>
    <w:autoRedefine/>
    <w:uiPriority w:val="39"/>
    <w:rsid w:val="0043283F"/>
    <w:pPr>
      <w:tabs>
        <w:tab w:val="right" w:leader="dot" w:pos="9350"/>
      </w:tabs>
      <w:spacing w:after="240"/>
      <w:ind w:left="1440" w:right="720" w:hanging="720"/>
      <w:jc w:val="left"/>
    </w:pPr>
    <w:rPr>
      <w:noProof/>
    </w:rPr>
  </w:style>
  <w:style w:type="paragraph" w:styleId="TOC3">
    <w:name w:val="toc 3"/>
    <w:aliases w:val="tc3"/>
    <w:basedOn w:val="Normal"/>
    <w:next w:val="Normal"/>
    <w:autoRedefine/>
    <w:uiPriority w:val="39"/>
    <w:rsid w:val="0043283F"/>
    <w:pPr>
      <w:tabs>
        <w:tab w:val="right" w:leader="dot" w:pos="9350"/>
      </w:tabs>
      <w:spacing w:after="240"/>
      <w:ind w:left="2160" w:right="720" w:hanging="720"/>
      <w:jc w:val="left"/>
    </w:pPr>
    <w:rPr>
      <w:rFonts w:eastAsiaTheme="majorEastAsia"/>
      <w:noProof/>
    </w:rPr>
  </w:style>
  <w:style w:type="paragraph" w:styleId="Header">
    <w:name w:val="header"/>
    <w:aliases w:val="hdr"/>
    <w:basedOn w:val="Normal"/>
    <w:rsid w:val="0043283F"/>
    <w:pPr>
      <w:tabs>
        <w:tab w:val="center" w:pos="4320"/>
        <w:tab w:val="right" w:pos="8640"/>
      </w:tabs>
    </w:pPr>
  </w:style>
  <w:style w:type="paragraph" w:styleId="Footer">
    <w:name w:val="footer"/>
    <w:aliases w:val="foot"/>
    <w:basedOn w:val="Normal"/>
    <w:unhideWhenUsed/>
    <w:rsid w:val="0043283F"/>
    <w:pPr>
      <w:tabs>
        <w:tab w:val="center" w:pos="4680"/>
        <w:tab w:val="right" w:pos="9360"/>
      </w:tabs>
    </w:pPr>
    <w:rPr>
      <w:sz w:val="20"/>
    </w:rPr>
  </w:style>
  <w:style w:type="character" w:styleId="PageNumber">
    <w:name w:val="page number"/>
    <w:aliases w:val="pn"/>
    <w:basedOn w:val="DefaultParagraphFont"/>
    <w:rsid w:val="0043283F"/>
    <w:rPr>
      <w:rFonts w:ascii="Times New Roman" w:hAnsi="Times New Roman"/>
      <w:sz w:val="24"/>
    </w:rPr>
  </w:style>
  <w:style w:type="paragraph" w:customStyle="1" w:styleId="BodyTextDouble">
    <w:name w:val="Body Text Double"/>
    <w:aliases w:val="btd"/>
    <w:basedOn w:val="BodyText"/>
    <w:qFormat/>
    <w:rsid w:val="0043283F"/>
    <w:pPr>
      <w:spacing w:after="0" w:line="480" w:lineRule="auto"/>
    </w:pPr>
  </w:style>
  <w:style w:type="character" w:customStyle="1" w:styleId="BodyTextChar">
    <w:name w:val="Body Text Char"/>
    <w:aliases w:val="bt Char"/>
    <w:basedOn w:val="DefaultParagraphFont"/>
    <w:link w:val="BodyText"/>
    <w:rsid w:val="0043283F"/>
    <w:rPr>
      <w:sz w:val="24"/>
      <w:szCs w:val="24"/>
    </w:rPr>
  </w:style>
  <w:style w:type="paragraph" w:customStyle="1" w:styleId="CenterBold">
    <w:name w:val="Center Bold"/>
    <w:aliases w:val="cb"/>
    <w:basedOn w:val="Normal"/>
    <w:next w:val="BodyText"/>
    <w:qFormat/>
    <w:rsid w:val="0043283F"/>
    <w:pPr>
      <w:keepNext/>
      <w:spacing w:after="240"/>
      <w:jc w:val="center"/>
    </w:pPr>
    <w:rPr>
      <w:b/>
      <w:caps/>
    </w:rPr>
  </w:style>
  <w:style w:type="paragraph" w:customStyle="1" w:styleId="CenteredBoldLower">
    <w:name w:val="Centered Bold Lower"/>
    <w:aliases w:val="CBL"/>
    <w:basedOn w:val="Normal"/>
    <w:next w:val="Normal"/>
    <w:qFormat/>
    <w:rsid w:val="0043283F"/>
    <w:pPr>
      <w:keepNext/>
      <w:spacing w:after="240"/>
      <w:jc w:val="center"/>
    </w:pPr>
    <w:rPr>
      <w:b/>
      <w:u w:val="single"/>
    </w:rPr>
  </w:style>
  <w:style w:type="paragraph" w:styleId="BlockText">
    <w:name w:val="Block Text"/>
    <w:basedOn w:val="Normal"/>
    <w:qFormat/>
    <w:rsid w:val="0043283F"/>
    <w:pPr>
      <w:spacing w:after="240"/>
      <w:ind w:left="720" w:right="720"/>
    </w:pPr>
    <w:rPr>
      <w:rFonts w:eastAsiaTheme="minorEastAsia" w:cstheme="minorBidi"/>
      <w:iCs/>
    </w:rPr>
  </w:style>
  <w:style w:type="paragraph" w:styleId="Subtitle">
    <w:name w:val="Subtitle"/>
    <w:basedOn w:val="Normal"/>
    <w:next w:val="Normal"/>
    <w:link w:val="SubtitleChar"/>
    <w:rsid w:val="0043283F"/>
    <w:pPr>
      <w:numPr>
        <w:ilvl w:val="1"/>
      </w:numPr>
      <w:spacing w:after="240"/>
    </w:pPr>
    <w:rPr>
      <w:rFonts w:eastAsiaTheme="majorEastAsia" w:cstheme="majorBidi"/>
      <w:iCs/>
      <w:smallCaps/>
    </w:rPr>
  </w:style>
  <w:style w:type="character" w:customStyle="1" w:styleId="SubtitleChar">
    <w:name w:val="Subtitle Char"/>
    <w:basedOn w:val="DefaultParagraphFont"/>
    <w:link w:val="Subtitle"/>
    <w:rsid w:val="0043283F"/>
    <w:rPr>
      <w:rFonts w:eastAsiaTheme="majorEastAsia" w:cstheme="majorBidi"/>
      <w:iCs/>
      <w:smallCaps/>
      <w:sz w:val="24"/>
      <w:szCs w:val="24"/>
    </w:rPr>
  </w:style>
  <w:style w:type="paragraph" w:styleId="BodyTextIndent">
    <w:name w:val="Body Text Indent"/>
    <w:basedOn w:val="Normal"/>
    <w:link w:val="BodyTextIndentChar"/>
    <w:semiHidden/>
    <w:rsid w:val="0043283F"/>
    <w:pPr>
      <w:spacing w:after="120"/>
      <w:ind w:left="360"/>
    </w:pPr>
  </w:style>
  <w:style w:type="character" w:customStyle="1" w:styleId="BodyTextIndentChar">
    <w:name w:val="Body Text Indent Char"/>
    <w:basedOn w:val="DefaultParagraphFont"/>
    <w:link w:val="BodyTextIndent"/>
    <w:semiHidden/>
    <w:rsid w:val="0043283F"/>
    <w:rPr>
      <w:sz w:val="24"/>
      <w:szCs w:val="24"/>
    </w:rPr>
  </w:style>
  <w:style w:type="paragraph" w:customStyle="1" w:styleId="BodyTextContinued">
    <w:name w:val="Body Text Continued"/>
    <w:aliases w:val="btc"/>
    <w:basedOn w:val="BodyText"/>
    <w:qFormat/>
    <w:rsid w:val="0043283F"/>
    <w:pPr>
      <w:ind w:firstLine="0"/>
    </w:pPr>
  </w:style>
  <w:style w:type="paragraph" w:customStyle="1" w:styleId="BodyTextDoubleContinued">
    <w:name w:val="Body Text Double Continued"/>
    <w:aliases w:val="btdc"/>
    <w:basedOn w:val="BodyTextDouble"/>
    <w:qFormat/>
    <w:rsid w:val="0043283F"/>
    <w:pPr>
      <w:ind w:firstLine="0"/>
    </w:pPr>
  </w:style>
  <w:style w:type="paragraph" w:customStyle="1" w:styleId="CenterBoldUnderline">
    <w:name w:val="Center Bold Underline"/>
    <w:aliases w:val="cbu"/>
    <w:basedOn w:val="CenterBold"/>
    <w:qFormat/>
    <w:rsid w:val="0043283F"/>
    <w:rPr>
      <w:u w:val="single"/>
    </w:rPr>
  </w:style>
  <w:style w:type="paragraph" w:customStyle="1" w:styleId="Bullet1">
    <w:name w:val="Bullet 1"/>
    <w:aliases w:val="b1"/>
    <w:basedOn w:val="BodyText"/>
    <w:rsid w:val="0043283F"/>
    <w:pPr>
      <w:numPr>
        <w:numId w:val="1"/>
      </w:numPr>
    </w:pPr>
  </w:style>
  <w:style w:type="paragraph" w:customStyle="1" w:styleId="Bullet2">
    <w:name w:val="Bullet 2"/>
    <w:aliases w:val="b2"/>
    <w:basedOn w:val="BodyText"/>
    <w:rsid w:val="0043283F"/>
    <w:pPr>
      <w:numPr>
        <w:numId w:val="2"/>
      </w:numPr>
    </w:pPr>
  </w:style>
  <w:style w:type="paragraph" w:customStyle="1" w:styleId="Cause1">
    <w:name w:val="Cause 1"/>
    <w:aliases w:val="c1"/>
    <w:basedOn w:val="CenterBoldUnderline"/>
    <w:next w:val="Normal"/>
    <w:rsid w:val="0043283F"/>
    <w:pPr>
      <w:spacing w:after="0"/>
    </w:pPr>
  </w:style>
  <w:style w:type="paragraph" w:customStyle="1" w:styleId="Cause2">
    <w:name w:val="Cause 2"/>
    <w:aliases w:val="c2"/>
    <w:basedOn w:val="CenterBold"/>
    <w:next w:val="BodyTextDouble"/>
    <w:rsid w:val="0043283F"/>
    <w:rPr>
      <w:caps w:val="0"/>
    </w:rPr>
  </w:style>
  <w:style w:type="paragraph" w:customStyle="1" w:styleId="CenterBoldLower">
    <w:name w:val="Center Bold Lower"/>
    <w:aliases w:val="cbl"/>
    <w:basedOn w:val="Normal"/>
    <w:next w:val="Normal"/>
    <w:rsid w:val="0043283F"/>
    <w:pPr>
      <w:keepNext/>
      <w:spacing w:after="240"/>
      <w:jc w:val="center"/>
    </w:pPr>
    <w:rPr>
      <w:b/>
      <w:u w:val="single"/>
    </w:rPr>
  </w:style>
  <w:style w:type="paragraph" w:customStyle="1" w:styleId="CenterRegular">
    <w:name w:val="Center Regular"/>
    <w:aliases w:val="cr"/>
    <w:basedOn w:val="CenterBoldLower"/>
    <w:rsid w:val="0043283F"/>
    <w:rPr>
      <w:b w:val="0"/>
      <w:u w:val="none"/>
    </w:rPr>
  </w:style>
  <w:style w:type="paragraph" w:customStyle="1" w:styleId="Claim1">
    <w:name w:val="Claim 1"/>
    <w:aliases w:val="cl1"/>
    <w:basedOn w:val="CenterBoldUnderline"/>
    <w:rsid w:val="0043283F"/>
    <w:pPr>
      <w:spacing w:after="0"/>
    </w:pPr>
  </w:style>
  <w:style w:type="paragraph" w:customStyle="1" w:styleId="Claim2">
    <w:name w:val="Claim 2"/>
    <w:aliases w:val="cl2"/>
    <w:basedOn w:val="CenterBold"/>
    <w:next w:val="BodyTextDouble"/>
    <w:rsid w:val="0043283F"/>
    <w:rPr>
      <w:caps w:val="0"/>
    </w:rPr>
  </w:style>
  <w:style w:type="paragraph" w:customStyle="1" w:styleId="LeftHead">
    <w:name w:val="Left Head"/>
    <w:aliases w:val="lh"/>
    <w:basedOn w:val="Normal"/>
    <w:rsid w:val="0043283F"/>
    <w:pPr>
      <w:keepNext/>
      <w:spacing w:after="240"/>
      <w:jc w:val="left"/>
    </w:pPr>
    <w:rPr>
      <w:b/>
      <w:i/>
      <w:iCs/>
    </w:rPr>
  </w:style>
  <w:style w:type="paragraph" w:customStyle="1" w:styleId="Non-TOC-CB">
    <w:name w:val="Non-TOC-CB"/>
    <w:aliases w:val="non1"/>
    <w:basedOn w:val="CenterBold"/>
    <w:rsid w:val="0043283F"/>
  </w:style>
  <w:style w:type="paragraph" w:customStyle="1" w:styleId="Non-TOC-CBU">
    <w:name w:val="Non-TOC-CBU"/>
    <w:aliases w:val="non2"/>
    <w:basedOn w:val="CenterBoldUnderline"/>
    <w:rsid w:val="0043283F"/>
  </w:style>
  <w:style w:type="paragraph" w:customStyle="1" w:styleId="DocID">
    <w:name w:val="DocID"/>
    <w:basedOn w:val="Footer"/>
    <w:next w:val="Footer"/>
    <w:link w:val="DocIDChar"/>
    <w:rsid w:val="00BA337F"/>
    <w:pPr>
      <w:tabs>
        <w:tab w:val="clear" w:pos="4680"/>
        <w:tab w:val="clear" w:pos="9360"/>
      </w:tabs>
      <w:jc w:val="left"/>
    </w:pPr>
    <w:rPr>
      <w:sz w:val="18"/>
      <w:szCs w:val="20"/>
    </w:rPr>
  </w:style>
  <w:style w:type="character" w:customStyle="1" w:styleId="DocIDChar">
    <w:name w:val="DocID Char"/>
    <w:basedOn w:val="BodyTextChar"/>
    <w:link w:val="DocID"/>
    <w:rsid w:val="00BA337F"/>
    <w:rPr>
      <w:sz w:val="18"/>
      <w:szCs w:val="24"/>
      <w:lang w:val="en-US" w:eastAsia="en-US"/>
    </w:rPr>
  </w:style>
  <w:style w:type="paragraph" w:styleId="Revision">
    <w:name w:val="Revision"/>
    <w:hidden/>
    <w:uiPriority w:val="99"/>
    <w:semiHidden/>
    <w:rsid w:val="00833753"/>
    <w:rPr>
      <w:sz w:val="24"/>
      <w:szCs w:val="24"/>
    </w:rPr>
  </w:style>
  <w:style w:type="character" w:styleId="CommentReference">
    <w:name w:val="annotation reference"/>
    <w:basedOn w:val="DefaultParagraphFont"/>
    <w:semiHidden/>
    <w:unhideWhenUsed/>
    <w:rsid w:val="00853376"/>
    <w:rPr>
      <w:sz w:val="16"/>
      <w:szCs w:val="16"/>
    </w:rPr>
  </w:style>
  <w:style w:type="paragraph" w:styleId="CommentText">
    <w:name w:val="annotation text"/>
    <w:basedOn w:val="Normal"/>
    <w:link w:val="CommentTextChar"/>
    <w:unhideWhenUsed/>
    <w:rsid w:val="00853376"/>
    <w:rPr>
      <w:sz w:val="20"/>
      <w:szCs w:val="20"/>
    </w:rPr>
  </w:style>
  <w:style w:type="character" w:customStyle="1" w:styleId="CommentTextChar">
    <w:name w:val="Comment Text Char"/>
    <w:basedOn w:val="DefaultParagraphFont"/>
    <w:link w:val="CommentText"/>
    <w:rsid w:val="00853376"/>
  </w:style>
  <w:style w:type="paragraph" w:styleId="CommentSubject">
    <w:name w:val="annotation subject"/>
    <w:basedOn w:val="CommentText"/>
    <w:next w:val="CommentText"/>
    <w:link w:val="CommentSubjectChar"/>
    <w:semiHidden/>
    <w:unhideWhenUsed/>
    <w:rsid w:val="00853376"/>
    <w:rPr>
      <w:b/>
      <w:bCs/>
    </w:rPr>
  </w:style>
  <w:style w:type="character" w:customStyle="1" w:styleId="CommentSubjectChar">
    <w:name w:val="Comment Subject Char"/>
    <w:basedOn w:val="CommentTextChar"/>
    <w:link w:val="CommentSubject"/>
    <w:semiHidden/>
    <w:rsid w:val="00853376"/>
    <w:rPr>
      <w:b/>
      <w:bCs/>
    </w:rPr>
  </w:style>
  <w:style w:type="table" w:styleId="TableGrid">
    <w:name w:val="Table Grid"/>
    <w:basedOn w:val="TableNormal"/>
    <w:rsid w:val="00E54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895</Words>
  <Characters>5105</Characters>
  <Application>Microsoft Office Word</Application>
  <DocSecurity>4</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Folta</dc:creator>
  <cp:lastModifiedBy>Greg Folta</cp:lastModifiedBy>
  <cp:revision>2</cp:revision>
  <dcterms:created xsi:type="dcterms:W3CDTF">2026-07-31T14:21:00Z</dcterms:created>
  <dcterms:modified xsi:type="dcterms:W3CDTF">2026-07-31T14:21:00Z</dcterms:modified>
</cp:coreProperties>
</file>