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A680F" w14:textId="77777777" w:rsidR="00BC4137" w:rsidRPr="00DE7C6D" w:rsidRDefault="00BC4137" w:rsidP="00BC4137">
      <w:pPr>
        <w:rPr>
          <w:rFonts w:ascii="Calibri" w:hAnsi="Calibri" w:cs="Calibri"/>
          <w:sz w:val="28"/>
          <w:szCs w:val="28"/>
        </w:rPr>
      </w:pPr>
      <w:r w:rsidRPr="00DE7C6D">
        <w:rPr>
          <w:rFonts w:ascii="Calibri" w:eastAsia="Calibri" w:hAnsi="Calibri" w:cs="Calibri"/>
          <w:b/>
          <w:bCs/>
          <w:sz w:val="28"/>
          <w:szCs w:val="28"/>
        </w:rPr>
        <w:t xml:space="preserve">OPEB Board Meeting  </w:t>
      </w:r>
    </w:p>
    <w:p w14:paraId="5C86E3D6" w14:textId="37E17C7C" w:rsidR="00BC4137" w:rsidRPr="00DE7C6D" w:rsidRDefault="008359BD" w:rsidP="00BC4137">
      <w:pPr>
        <w:rPr>
          <w:rFonts w:cs="Calibri"/>
        </w:rPr>
      </w:pPr>
      <w:r w:rsidRPr="00DE7C6D">
        <w:rPr>
          <w:rFonts w:eastAsia="Calibri" w:cs="Calibri"/>
        </w:rPr>
        <w:t xml:space="preserve">Tuesday, April 28, 2026 </w:t>
      </w:r>
      <w:r w:rsidR="00BC4137" w:rsidRPr="00DE7C6D">
        <w:rPr>
          <w:rFonts w:eastAsia="Calibri" w:cs="Calibri"/>
        </w:rPr>
        <w:t>– 1</w:t>
      </w:r>
      <w:r w:rsidRPr="00DE7C6D">
        <w:rPr>
          <w:rFonts w:eastAsia="Calibri" w:cs="Calibri"/>
        </w:rPr>
        <w:t>0</w:t>
      </w:r>
      <w:r w:rsidR="00BC4137" w:rsidRPr="00DE7C6D">
        <w:rPr>
          <w:rFonts w:eastAsia="Calibri" w:cs="Calibri"/>
        </w:rPr>
        <w:t xml:space="preserve">:30 </w:t>
      </w:r>
      <w:r w:rsidRPr="00DE7C6D">
        <w:rPr>
          <w:rFonts w:eastAsia="Calibri" w:cs="Calibri"/>
        </w:rPr>
        <w:t>A</w:t>
      </w:r>
      <w:r w:rsidR="00BC4137" w:rsidRPr="00DE7C6D">
        <w:rPr>
          <w:rFonts w:eastAsia="Calibri" w:cs="Calibri"/>
        </w:rPr>
        <w:t xml:space="preserve">M </w:t>
      </w:r>
    </w:p>
    <w:p w14:paraId="327B3894" w14:textId="5367D54D" w:rsidR="00BC4137" w:rsidRPr="00DE7C6D" w:rsidRDefault="00BC4137" w:rsidP="00BC4137">
      <w:pPr>
        <w:rPr>
          <w:rFonts w:eastAsia="Calibri" w:cs="Calibri"/>
        </w:rPr>
      </w:pPr>
      <w:r w:rsidRPr="00DE7C6D">
        <w:rPr>
          <w:rFonts w:eastAsia="Calibri" w:cs="Calibri"/>
        </w:rPr>
        <w:t>In Person – 2001 S State St, N4-</w:t>
      </w:r>
      <w:r w:rsidR="00F47996" w:rsidRPr="00DE7C6D">
        <w:rPr>
          <w:rFonts w:eastAsia="Calibri" w:cs="Calibri"/>
        </w:rPr>
        <w:t>229</w:t>
      </w:r>
    </w:p>
    <w:p w14:paraId="3DDF6128" w14:textId="6C8B2E47" w:rsidR="00BC4137" w:rsidRPr="00DE7C6D" w:rsidRDefault="00BC4137" w:rsidP="00BC4137">
      <w:pPr>
        <w:rPr>
          <w:rFonts w:eastAsia="Calibri" w:cs="Calibri"/>
        </w:rPr>
      </w:pPr>
      <w:proofErr w:type="spellStart"/>
      <w:r w:rsidRPr="00DE7C6D">
        <w:rPr>
          <w:rFonts w:eastAsia="Calibri" w:cs="Calibri"/>
        </w:rPr>
        <w:t>WebEx</w:t>
      </w:r>
      <w:proofErr w:type="spellEnd"/>
      <w:r w:rsidRPr="00DE7C6D">
        <w:rPr>
          <w:rFonts w:eastAsia="Calibri" w:cs="Calibri"/>
        </w:rPr>
        <w:t xml:space="preserve"> – Electronic Meeting</w:t>
      </w:r>
    </w:p>
    <w:p w14:paraId="3D9F2242" w14:textId="00A369CB" w:rsidR="00BC4137" w:rsidRPr="00DE7C6D" w:rsidRDefault="00BC4137" w:rsidP="00BC4137">
      <w:pPr>
        <w:rPr>
          <w:rFonts w:cs="Calibri"/>
          <w:i/>
          <w:iCs/>
        </w:rPr>
      </w:pPr>
      <w:hyperlink r:id="rId5" w:history="1">
        <w:r w:rsidRPr="00DE7C6D">
          <w:rPr>
            <w:rStyle w:val="Hyperlink"/>
            <w:rFonts w:cs="Calibri"/>
          </w:rPr>
          <w:t>Meeting video/audio</w:t>
        </w:r>
      </w:hyperlink>
      <w:r w:rsidRPr="00DE7C6D">
        <w:rPr>
          <w:rStyle w:val="Hyperlink"/>
          <w:rFonts w:cs="Calibri"/>
        </w:rPr>
        <w:t xml:space="preserve"> </w:t>
      </w:r>
      <w:r w:rsidRPr="00DE7C6D">
        <w:rPr>
          <w:rFonts w:cs="Calibri"/>
          <w:i/>
          <w:iCs/>
        </w:rPr>
        <w:t>(log in first)</w:t>
      </w:r>
    </w:p>
    <w:p w14:paraId="1CF218F1" w14:textId="77777777" w:rsidR="00BC4137" w:rsidRPr="00DE7C6D" w:rsidRDefault="00BC4137" w:rsidP="00BC4137">
      <w:pPr>
        <w:rPr>
          <w:rFonts w:cs="Calibri"/>
        </w:rPr>
      </w:pPr>
    </w:p>
    <w:p w14:paraId="0EB39CA9" w14:textId="77777777" w:rsidR="00BC4137" w:rsidRPr="00DE7C6D" w:rsidRDefault="00BC4137" w:rsidP="00BC4137">
      <w:pPr>
        <w:pStyle w:val="ListParagraph"/>
        <w:numPr>
          <w:ilvl w:val="0"/>
          <w:numId w:val="1"/>
        </w:numPr>
        <w:rPr>
          <w:rFonts w:cs="Calibri"/>
          <w:b/>
          <w:bCs/>
        </w:rPr>
      </w:pPr>
      <w:r w:rsidRPr="00DE7C6D">
        <w:rPr>
          <w:rFonts w:eastAsia="Calibri" w:cs="Calibri"/>
          <w:b/>
          <w:bCs/>
        </w:rPr>
        <w:t>Roll Call – Darrin Casper</w:t>
      </w:r>
    </w:p>
    <w:p w14:paraId="1B8DC155" w14:textId="77777777" w:rsidR="00BC4137" w:rsidRPr="00DE7C6D" w:rsidRDefault="00BC4137" w:rsidP="00BC4137">
      <w:pPr>
        <w:ind w:left="720" w:hanging="720"/>
        <w:rPr>
          <w:rFonts w:eastAsia="Calibri" w:cs="Calibri"/>
          <w:u w:val="single"/>
        </w:rPr>
      </w:pPr>
      <w:r w:rsidRPr="00DE7C6D">
        <w:rPr>
          <w:rFonts w:eastAsia="Calibri" w:cs="Calibri"/>
          <w:u w:val="single"/>
        </w:rPr>
        <w:t>Trustees Present:</w:t>
      </w:r>
    </w:p>
    <w:p w14:paraId="283EADBA" w14:textId="091F8F2C" w:rsidR="00BC4137" w:rsidRPr="00C805A2" w:rsidRDefault="00BC4137" w:rsidP="00C805A2">
      <w:pPr>
        <w:ind w:left="720" w:hanging="720"/>
      </w:pPr>
      <w:r w:rsidRPr="00DE7C6D">
        <w:rPr>
          <w:rFonts w:cs="Calibri"/>
        </w:rPr>
        <w:t xml:space="preserve">Darrin Casper, </w:t>
      </w:r>
      <w:r w:rsidR="00C805A2">
        <w:t>Deputy Mayor of Finance and Administration/Chief Financial Officer</w:t>
      </w:r>
    </w:p>
    <w:p w14:paraId="079B75DE" w14:textId="521DEA8E" w:rsidR="00BC4137" w:rsidRPr="00DE7C6D" w:rsidRDefault="008359BD" w:rsidP="00BC4137">
      <w:pPr>
        <w:ind w:left="720" w:hanging="720"/>
        <w:rPr>
          <w:rFonts w:cs="Calibri"/>
        </w:rPr>
      </w:pPr>
      <w:r w:rsidRPr="00DE7C6D">
        <w:rPr>
          <w:rFonts w:cs="Calibri"/>
        </w:rPr>
        <w:t>Sheila Srivastava</w:t>
      </w:r>
      <w:r w:rsidR="00BC4137" w:rsidRPr="00DE7C6D">
        <w:rPr>
          <w:rFonts w:cs="Calibri"/>
        </w:rPr>
        <w:t>, County Treasurer</w:t>
      </w:r>
    </w:p>
    <w:p w14:paraId="72056916" w14:textId="77777777" w:rsidR="00BC4137" w:rsidRPr="00DE7C6D" w:rsidRDefault="00BC4137" w:rsidP="00BC4137">
      <w:pPr>
        <w:ind w:left="720" w:hanging="720"/>
        <w:rPr>
          <w:rFonts w:cs="Calibri"/>
        </w:rPr>
      </w:pPr>
      <w:r w:rsidRPr="00DE7C6D">
        <w:rPr>
          <w:rFonts w:cs="Calibri"/>
        </w:rPr>
        <w:t>Lori Okino, Fiscal Administrator, Community Services</w:t>
      </w:r>
    </w:p>
    <w:p w14:paraId="549D6DF9" w14:textId="77777777" w:rsidR="00BC4137" w:rsidRPr="00DE7C6D" w:rsidRDefault="00BC4137" w:rsidP="00BC4137">
      <w:pPr>
        <w:ind w:left="720" w:hanging="720"/>
        <w:rPr>
          <w:rFonts w:cs="Calibri"/>
        </w:rPr>
      </w:pPr>
      <w:r w:rsidRPr="00DE7C6D">
        <w:rPr>
          <w:rFonts w:cs="Calibri"/>
        </w:rPr>
        <w:t xml:space="preserve">David Delquadro, Council Fiscal Manager </w:t>
      </w:r>
    </w:p>
    <w:p w14:paraId="3690C266" w14:textId="77777777" w:rsidR="00BC4137" w:rsidRPr="00DE7C6D" w:rsidRDefault="00BC4137" w:rsidP="00BC4137">
      <w:pPr>
        <w:ind w:left="720" w:hanging="720"/>
        <w:rPr>
          <w:rFonts w:eastAsia="Calibri" w:cs="Calibri"/>
          <w:u w:val="single"/>
        </w:rPr>
      </w:pPr>
      <w:r w:rsidRPr="00DE7C6D">
        <w:rPr>
          <w:rFonts w:eastAsia="Calibri" w:cs="Calibri"/>
          <w:u w:val="single"/>
        </w:rPr>
        <w:t>Other Attendees:</w:t>
      </w:r>
    </w:p>
    <w:p w14:paraId="0B8F9C0D" w14:textId="77777777" w:rsidR="008359BD" w:rsidRPr="00DE7C6D" w:rsidRDefault="008359BD" w:rsidP="008359BD">
      <w:pPr>
        <w:ind w:left="720" w:hanging="720"/>
        <w:rPr>
          <w:rFonts w:cs="Calibri"/>
        </w:rPr>
      </w:pPr>
      <w:r w:rsidRPr="00DE7C6D">
        <w:rPr>
          <w:rFonts w:cs="Calibri"/>
        </w:rPr>
        <w:t>Brad Townley, Deputy Treasurer</w:t>
      </w:r>
    </w:p>
    <w:p w14:paraId="6A7E8DD5" w14:textId="5A7A97C8" w:rsidR="00BC4137" w:rsidRPr="00DE7C6D" w:rsidRDefault="00BC4137" w:rsidP="00BC4137">
      <w:pPr>
        <w:ind w:left="720" w:hanging="720"/>
        <w:rPr>
          <w:rFonts w:cs="Calibri"/>
        </w:rPr>
      </w:pPr>
      <w:r w:rsidRPr="00DE7C6D">
        <w:rPr>
          <w:rFonts w:cs="Calibri"/>
        </w:rPr>
        <w:t>Shanell Beecher, Director of Accounting, Mayor’s Financial Administration</w:t>
      </w:r>
    </w:p>
    <w:p w14:paraId="141408DC" w14:textId="631580E1" w:rsidR="00BC4137" w:rsidRPr="00DE7C6D" w:rsidRDefault="00991D56" w:rsidP="00BC4137">
      <w:pPr>
        <w:rPr>
          <w:rFonts w:cs="Calibri"/>
        </w:rPr>
      </w:pPr>
      <w:r w:rsidRPr="00DE7C6D">
        <w:rPr>
          <w:rFonts w:cs="Calibri"/>
        </w:rPr>
        <w:t>Becky Timothy</w:t>
      </w:r>
      <w:r w:rsidR="00BC4137" w:rsidRPr="00DE7C6D">
        <w:rPr>
          <w:rFonts w:cs="Calibri"/>
        </w:rPr>
        <w:t xml:space="preserve">, </w:t>
      </w:r>
      <w:r w:rsidR="007E7783" w:rsidRPr="00DE7C6D">
        <w:rPr>
          <w:rFonts w:cs="Calibri"/>
        </w:rPr>
        <w:t>Benefits Budget Administrator</w:t>
      </w:r>
      <w:r w:rsidR="00BC4137" w:rsidRPr="00DE7C6D">
        <w:rPr>
          <w:rFonts w:cs="Calibri"/>
        </w:rPr>
        <w:t>, Mayor’s Financial Administration</w:t>
      </w:r>
    </w:p>
    <w:p w14:paraId="5FA4A9A6" w14:textId="52850B0B" w:rsidR="00BC4137" w:rsidRPr="00DE7C6D" w:rsidRDefault="00BC4137" w:rsidP="00BC4137">
      <w:pPr>
        <w:ind w:left="720" w:hanging="720"/>
        <w:rPr>
          <w:rFonts w:cs="Calibri"/>
        </w:rPr>
      </w:pPr>
      <w:r w:rsidRPr="00DE7C6D">
        <w:rPr>
          <w:rFonts w:cs="Calibri"/>
        </w:rPr>
        <w:t xml:space="preserve">Greg Folta, </w:t>
      </w:r>
      <w:r w:rsidR="007E7783" w:rsidRPr="00DE7C6D">
        <w:rPr>
          <w:rFonts w:cs="Calibri"/>
        </w:rPr>
        <w:t xml:space="preserve">Director of </w:t>
      </w:r>
      <w:r w:rsidRPr="00DE7C6D">
        <w:rPr>
          <w:rFonts w:cs="Calibri"/>
        </w:rPr>
        <w:t>Finance and Payroll, Mayor’s Financial Administration</w:t>
      </w:r>
    </w:p>
    <w:p w14:paraId="6DD7C4B0" w14:textId="15701F00" w:rsidR="00E12DA2" w:rsidRPr="00DE7C6D" w:rsidRDefault="00E12DA2" w:rsidP="00E12DA2">
      <w:pPr>
        <w:ind w:left="720" w:hanging="720"/>
        <w:rPr>
          <w:rFonts w:cs="Calibri"/>
          <w:u w:val="single"/>
        </w:rPr>
      </w:pPr>
      <w:r w:rsidRPr="00DE7C6D">
        <w:rPr>
          <w:rFonts w:cs="Calibri"/>
        </w:rPr>
        <w:t>Zachary Lancaster, Civil Senior Attorney, District Attorney</w:t>
      </w:r>
      <w:r w:rsidR="00C805A2">
        <w:rPr>
          <w:rFonts w:cs="Calibri"/>
        </w:rPr>
        <w:t>’s Office</w:t>
      </w:r>
    </w:p>
    <w:p w14:paraId="6F751F59" w14:textId="77777777" w:rsidR="00991D56" w:rsidRPr="00DE7C6D" w:rsidRDefault="00991D56" w:rsidP="00991D56">
      <w:pPr>
        <w:ind w:left="720" w:hanging="720"/>
        <w:rPr>
          <w:rFonts w:cs="Calibri"/>
        </w:rPr>
      </w:pPr>
      <w:r w:rsidRPr="00DE7C6D">
        <w:rPr>
          <w:rFonts w:cs="Calibri"/>
        </w:rPr>
        <w:t>Krystalyn Jensen, Internal Services Manager, Mayor’s Financial Administration</w:t>
      </w:r>
    </w:p>
    <w:p w14:paraId="03BD2B88" w14:textId="13BE616F" w:rsidR="00E10A2D" w:rsidRPr="00DE7C6D" w:rsidRDefault="00E10A2D" w:rsidP="00991D56">
      <w:pPr>
        <w:ind w:left="720" w:hanging="720"/>
        <w:rPr>
          <w:rFonts w:cs="Calibri"/>
        </w:rPr>
      </w:pPr>
      <w:r w:rsidRPr="00DE7C6D">
        <w:rPr>
          <w:rFonts w:cs="Calibri"/>
        </w:rPr>
        <w:t xml:space="preserve">Jason Williams, President, </w:t>
      </w:r>
      <w:r w:rsidR="008359BD" w:rsidRPr="00DE7C6D">
        <w:rPr>
          <w:rFonts w:cs="Calibri"/>
        </w:rPr>
        <w:t>Mee</w:t>
      </w:r>
      <w:r w:rsidR="00770F02" w:rsidRPr="00DE7C6D">
        <w:rPr>
          <w:rFonts w:cs="Calibri"/>
        </w:rPr>
        <w:t>de</w:t>
      </w:r>
      <w:r w:rsidR="008359BD" w:rsidRPr="00DE7C6D">
        <w:rPr>
          <w:rFonts w:cs="Calibri"/>
        </w:rPr>
        <w:t xml:space="preserve">r </w:t>
      </w:r>
      <w:r w:rsidR="00770F02" w:rsidRPr="00DE7C6D">
        <w:rPr>
          <w:rFonts w:cs="Calibri"/>
        </w:rPr>
        <w:t>Public Funds (formally Moreton Asset Management)</w:t>
      </w:r>
    </w:p>
    <w:p w14:paraId="4D588B90" w14:textId="77777777" w:rsidR="00BC4137" w:rsidRPr="00DE7C6D" w:rsidRDefault="00BC4137" w:rsidP="00BC4137">
      <w:pPr>
        <w:ind w:left="720" w:hanging="720"/>
        <w:rPr>
          <w:rFonts w:eastAsia="Calibri" w:cs="Calibri"/>
          <w:u w:val="single"/>
        </w:rPr>
      </w:pPr>
      <w:r w:rsidRPr="00DE7C6D">
        <w:rPr>
          <w:rFonts w:eastAsia="Calibri" w:cs="Calibri"/>
          <w:u w:val="single"/>
        </w:rPr>
        <w:t xml:space="preserve">Absent: </w:t>
      </w:r>
    </w:p>
    <w:p w14:paraId="58EEF1A5" w14:textId="77777777" w:rsidR="00BC4137" w:rsidRPr="00DE7C6D" w:rsidRDefault="00BC4137" w:rsidP="00BC4137">
      <w:pPr>
        <w:rPr>
          <w:rFonts w:eastAsia="Calibri" w:cs="Calibri"/>
        </w:rPr>
      </w:pPr>
      <w:r w:rsidRPr="00DE7C6D">
        <w:rPr>
          <w:rFonts w:eastAsia="Calibri" w:cs="Calibri"/>
        </w:rPr>
        <w:t>No members of the public attended.</w:t>
      </w:r>
    </w:p>
    <w:p w14:paraId="6B67CC3E" w14:textId="3CFDB80B" w:rsidR="007C2F7A" w:rsidRPr="00DE7C6D" w:rsidRDefault="007C2F7A" w:rsidP="007C2F7A">
      <w:pPr>
        <w:pStyle w:val="ListParagraph"/>
        <w:numPr>
          <w:ilvl w:val="0"/>
          <w:numId w:val="1"/>
        </w:numPr>
        <w:rPr>
          <w:rFonts w:cs="Calibri"/>
          <w:b/>
          <w:bCs/>
        </w:rPr>
      </w:pPr>
      <w:r w:rsidRPr="00DE7C6D">
        <w:rPr>
          <w:rFonts w:cs="Calibri"/>
          <w:b/>
          <w:bCs/>
        </w:rPr>
        <w:t>Approve Prior Meeting Minutes</w:t>
      </w:r>
      <w:r w:rsidR="00E10A2D" w:rsidRPr="00DE7C6D">
        <w:rPr>
          <w:rFonts w:cs="Calibri"/>
          <w:b/>
          <w:bCs/>
        </w:rPr>
        <w:t xml:space="preserve"> – Darrin Casper</w:t>
      </w:r>
    </w:p>
    <w:p w14:paraId="6A7FF08B" w14:textId="6F00CEA5" w:rsidR="007C2F7A" w:rsidRPr="00DE7C6D" w:rsidRDefault="00784AB4">
      <w:pPr>
        <w:rPr>
          <w:rFonts w:cs="Calibri"/>
        </w:rPr>
      </w:pPr>
      <w:r w:rsidRPr="00DE7C6D">
        <w:rPr>
          <w:rFonts w:cs="Calibri"/>
        </w:rPr>
        <w:t>Motion by Ms. Okino to approve prior meeting minutes. Mr. Delquadro seconds the motion. Motion passes unanimously.</w:t>
      </w:r>
    </w:p>
    <w:p w14:paraId="43B7E472" w14:textId="5A21400B" w:rsidR="007C2F7A" w:rsidRPr="00DE7C6D" w:rsidRDefault="00784AB4" w:rsidP="007C2F7A">
      <w:pPr>
        <w:pStyle w:val="ListParagraph"/>
        <w:numPr>
          <w:ilvl w:val="0"/>
          <w:numId w:val="1"/>
        </w:numPr>
        <w:rPr>
          <w:rFonts w:cs="Calibri"/>
          <w:b/>
          <w:bCs/>
        </w:rPr>
      </w:pPr>
      <w:r w:rsidRPr="00DE7C6D">
        <w:rPr>
          <w:rFonts w:cs="Calibri"/>
          <w:b/>
          <w:bCs/>
        </w:rPr>
        <w:t>Review 2024 OPEB Trust Report – Becky Timothy, Shanell Beecher</w:t>
      </w:r>
    </w:p>
    <w:p w14:paraId="13825349" w14:textId="09C1C335" w:rsidR="00616105" w:rsidRPr="00DE7C6D" w:rsidRDefault="00784AB4" w:rsidP="00616105">
      <w:pPr>
        <w:rPr>
          <w:rFonts w:cs="Calibri"/>
        </w:rPr>
      </w:pPr>
      <w:r w:rsidRPr="00DE7C6D">
        <w:rPr>
          <w:rFonts w:cs="Calibri"/>
        </w:rPr>
        <w:t>Ms. Beecher states the draft was sent and the only comments were from Mr. Delquadro to add some language to the summary on the last page before the appendixes. “Due to current economic conditions, a recommendation was made to the County policy</w:t>
      </w:r>
      <w:r w:rsidR="006720A3" w:rsidRPr="00DE7C6D">
        <w:rPr>
          <w:rFonts w:cs="Calibri"/>
        </w:rPr>
        <w:t xml:space="preserve"> </w:t>
      </w:r>
      <w:r w:rsidRPr="00DE7C6D">
        <w:rPr>
          <w:rFonts w:cs="Calibri"/>
        </w:rPr>
        <w:t>makers - Mayor and Council, to decrease the total OPEB charge to County organizations during</w:t>
      </w:r>
      <w:r w:rsidR="006720A3" w:rsidRPr="00DE7C6D">
        <w:rPr>
          <w:rFonts w:cs="Calibri"/>
        </w:rPr>
        <w:t xml:space="preserve"> </w:t>
      </w:r>
      <w:r w:rsidRPr="00DE7C6D">
        <w:rPr>
          <w:rFonts w:cs="Calibri"/>
        </w:rPr>
        <w:t xml:space="preserve">the Fall budget re-opening in 2025 </w:t>
      </w:r>
      <w:r w:rsidRPr="00DE7C6D">
        <w:rPr>
          <w:rFonts w:cs="Calibri"/>
        </w:rPr>
        <w:lastRenderedPageBreak/>
        <w:t xml:space="preserve">by $2.5M. The policy makers agreed with this recommendation. This reduction was subsequently reversed for the 2026 budget.” Mr. Casper confirmed this was in fact reversed and implemented. </w:t>
      </w:r>
      <w:r w:rsidR="00F47996" w:rsidRPr="00DE7C6D">
        <w:rPr>
          <w:rFonts w:cs="Calibri"/>
        </w:rPr>
        <w:t>He also wanted to go over the goal of the OBEP Board of Trustees and what they are trying to accomplish with the investments and savings for the benefit of those who are unaware.</w:t>
      </w:r>
    </w:p>
    <w:p w14:paraId="34812D76" w14:textId="113055DA" w:rsidR="00616105" w:rsidRPr="00DE7C6D" w:rsidRDefault="00616105" w:rsidP="00616105">
      <w:pPr>
        <w:rPr>
          <w:rFonts w:cs="Calibri"/>
        </w:rPr>
      </w:pPr>
      <w:r w:rsidRPr="00DE7C6D">
        <w:rPr>
          <w:rFonts w:cs="Calibri"/>
        </w:rPr>
        <w:t xml:space="preserve">Ms. Beecher explains the Salt Lake County OPEB Trust Annual Report. The first paragraph states when it was established and why it was authorized. </w:t>
      </w:r>
      <w:r w:rsidR="00C805A2">
        <w:rPr>
          <w:rFonts w:cs="Calibri"/>
        </w:rPr>
        <w:t>S</w:t>
      </w:r>
      <w:r w:rsidRPr="00DE7C6D">
        <w:rPr>
          <w:rFonts w:cs="Calibri"/>
        </w:rPr>
        <w:t xml:space="preserve">ection IV, Summary of Current Year Administration provides the investment strategy. </w:t>
      </w:r>
    </w:p>
    <w:p w14:paraId="4AC945A1" w14:textId="09335F1E" w:rsidR="00616105" w:rsidRPr="00DE7C6D" w:rsidRDefault="00616105" w:rsidP="00616105">
      <w:pPr>
        <w:rPr>
          <w:rFonts w:cs="Calibri"/>
        </w:rPr>
      </w:pPr>
      <w:r w:rsidRPr="00DE7C6D">
        <w:rPr>
          <w:rFonts w:cs="Calibri"/>
        </w:rPr>
        <w:t xml:space="preserve">Mr. Casper states there is an unfunded </w:t>
      </w:r>
      <w:r w:rsidR="00CE1339" w:rsidRPr="00DE7C6D">
        <w:rPr>
          <w:rFonts w:cs="Calibri"/>
        </w:rPr>
        <w:t xml:space="preserve">actuarial </w:t>
      </w:r>
      <w:r w:rsidRPr="00DE7C6D">
        <w:rPr>
          <w:rFonts w:cs="Calibri"/>
        </w:rPr>
        <w:t>liability that is roughly $100M</w:t>
      </w:r>
      <w:r w:rsidR="00CE1339" w:rsidRPr="00DE7C6D">
        <w:rPr>
          <w:rFonts w:cs="Calibri"/>
        </w:rPr>
        <w:t xml:space="preserve"> and we have </w:t>
      </w:r>
      <w:r w:rsidR="00C805A2">
        <w:rPr>
          <w:rFonts w:cs="Calibri"/>
        </w:rPr>
        <w:t>saved</w:t>
      </w:r>
      <w:r w:rsidR="00CE1339" w:rsidRPr="00DE7C6D">
        <w:rPr>
          <w:rFonts w:cs="Calibri"/>
        </w:rPr>
        <w:t xml:space="preserve"> roughly $23M toward that liability. Every other year an actuary is hired to determine what the actuarial determined contribution (ADC) is to this liability. That amount of money is what the actuary believes will be the normalized annual cost of the liability. The actual cost is different, and as of now, is lower than the ADC. </w:t>
      </w:r>
    </w:p>
    <w:p w14:paraId="7CC4DB17" w14:textId="6B3A5A4A" w:rsidR="00BA7E05" w:rsidRPr="00DE7C6D" w:rsidRDefault="00CE1339" w:rsidP="00616105">
      <w:pPr>
        <w:rPr>
          <w:rFonts w:cs="Calibri"/>
        </w:rPr>
      </w:pPr>
      <w:r w:rsidRPr="00DE7C6D">
        <w:rPr>
          <w:rFonts w:cs="Calibri"/>
        </w:rPr>
        <w:t xml:space="preserve">When the fund was created and </w:t>
      </w:r>
      <w:r w:rsidR="00BA7E05" w:rsidRPr="00DE7C6D">
        <w:rPr>
          <w:rFonts w:cs="Calibri"/>
        </w:rPr>
        <w:t>the Governmental Accounting Standards Board (</w:t>
      </w:r>
      <w:r w:rsidRPr="00DE7C6D">
        <w:rPr>
          <w:rFonts w:cs="Calibri"/>
        </w:rPr>
        <w:t>GASB</w:t>
      </w:r>
      <w:r w:rsidR="00BA7E05" w:rsidRPr="00DE7C6D">
        <w:rPr>
          <w:rFonts w:cs="Calibri"/>
        </w:rPr>
        <w:t>)</w:t>
      </w:r>
      <w:r w:rsidRPr="00DE7C6D">
        <w:rPr>
          <w:rFonts w:cs="Calibri"/>
        </w:rPr>
        <w:t xml:space="preserve"> </w:t>
      </w:r>
      <w:r w:rsidR="00BA7E05" w:rsidRPr="00DE7C6D">
        <w:rPr>
          <w:rFonts w:cs="Calibri"/>
        </w:rPr>
        <w:t>established</w:t>
      </w:r>
      <w:r w:rsidRPr="00DE7C6D">
        <w:rPr>
          <w:rFonts w:cs="Calibri"/>
        </w:rPr>
        <w:t xml:space="preserve"> the accounting standards </w:t>
      </w:r>
      <w:r w:rsidR="00BA7E05" w:rsidRPr="00DE7C6D">
        <w:rPr>
          <w:rFonts w:cs="Calibri"/>
        </w:rPr>
        <w:t xml:space="preserve">governing </w:t>
      </w:r>
      <w:r w:rsidRPr="00DE7C6D">
        <w:rPr>
          <w:rFonts w:cs="Calibri"/>
        </w:rPr>
        <w:t xml:space="preserve">it, </w:t>
      </w:r>
      <w:r w:rsidR="00BA7E05" w:rsidRPr="00DE7C6D">
        <w:rPr>
          <w:rFonts w:cs="Calibri"/>
        </w:rPr>
        <w:t>unfunded liabilities were a significant issue in the public sector, although they weren’t a major concern for Salt Lake County. However, some other counties faced liabilities in the billions of dollars and needed to take action to address them. The goal of this board was to include structural revenues, meaning they are built into the tax policy, through the fees to the individuals that utilize the benefit or by an OPEB charge through the budget process to organizations in the county that have employees. Between those two revenue sources then it will solve the OPEB problem.</w:t>
      </w:r>
    </w:p>
    <w:p w14:paraId="54F7728B" w14:textId="41D8BCBE" w:rsidR="00BA7E05" w:rsidRPr="00DE7C6D" w:rsidRDefault="00BA7E05" w:rsidP="00616105">
      <w:pPr>
        <w:rPr>
          <w:rFonts w:cs="Calibri"/>
        </w:rPr>
      </w:pPr>
      <w:r w:rsidRPr="00DE7C6D">
        <w:rPr>
          <w:rFonts w:cs="Calibri"/>
        </w:rPr>
        <w:t xml:space="preserve">What that means is that to the extent that the revenues exceed the actual expenditures, the difference would be accumulated in what’s essentially the OPEB fun, or savings account, invested at a proper return on investment which is utilized by the actuary to determine. The savings would accumulate until the </w:t>
      </w:r>
      <w:r w:rsidR="00840D82" w:rsidRPr="00DE7C6D">
        <w:rPr>
          <w:rFonts w:cs="Calibri"/>
        </w:rPr>
        <w:t xml:space="preserve">expenditure exceeded the amount of revenue collected and then OPEB funds would start to be drawn down to pay the expenditures. Mr. Casper acknowledged it’s </w:t>
      </w:r>
      <w:r w:rsidR="004956A1" w:rsidRPr="00DE7C6D">
        <w:rPr>
          <w:rFonts w:cs="Calibri"/>
        </w:rPr>
        <w:t>complicated,</w:t>
      </w:r>
      <w:r w:rsidR="00840D82" w:rsidRPr="00DE7C6D">
        <w:rPr>
          <w:rFonts w:cs="Calibri"/>
        </w:rPr>
        <w:t xml:space="preserve"> but </w:t>
      </w:r>
      <w:proofErr w:type="gramStart"/>
      <w:r w:rsidR="00C805A2">
        <w:rPr>
          <w:rFonts w:cs="Calibri"/>
        </w:rPr>
        <w:t xml:space="preserve">the </w:t>
      </w:r>
      <w:r w:rsidR="00B64072" w:rsidRPr="00DE7C6D">
        <w:rPr>
          <w:rFonts w:cs="Calibri"/>
        </w:rPr>
        <w:t>math</w:t>
      </w:r>
      <w:proofErr w:type="gramEnd"/>
      <w:r w:rsidR="00840D82" w:rsidRPr="00DE7C6D">
        <w:rPr>
          <w:rFonts w:cs="Calibri"/>
        </w:rPr>
        <w:t xml:space="preserve"> works and that’s the genesis behind the goal and why we do this. </w:t>
      </w:r>
    </w:p>
    <w:p w14:paraId="478F57F8" w14:textId="1C6577B8" w:rsidR="00840D82" w:rsidRPr="00DE7C6D" w:rsidRDefault="00840D82" w:rsidP="00616105">
      <w:pPr>
        <w:rPr>
          <w:rFonts w:cs="Calibri"/>
        </w:rPr>
      </w:pPr>
      <w:r w:rsidRPr="00DE7C6D">
        <w:rPr>
          <w:rFonts w:cs="Calibri"/>
        </w:rPr>
        <w:t xml:space="preserve">Mr. Delquadro stated the better the return </w:t>
      </w:r>
      <w:r w:rsidR="004956A1" w:rsidRPr="00DE7C6D">
        <w:rPr>
          <w:rFonts w:cs="Calibri"/>
        </w:rPr>
        <w:t>Mee</w:t>
      </w:r>
      <w:r w:rsidR="00770F02" w:rsidRPr="00DE7C6D">
        <w:rPr>
          <w:rFonts w:cs="Calibri"/>
        </w:rPr>
        <w:t>de</w:t>
      </w:r>
      <w:r w:rsidR="004956A1" w:rsidRPr="00DE7C6D">
        <w:rPr>
          <w:rFonts w:cs="Calibri"/>
        </w:rPr>
        <w:t xml:space="preserve">r can get, the better off the OPEB funds will be. </w:t>
      </w:r>
      <w:r w:rsidR="00973DF4" w:rsidRPr="00DE7C6D">
        <w:rPr>
          <w:rFonts w:cs="Calibri"/>
        </w:rPr>
        <w:t xml:space="preserve">Mr. Casper agrees that the higher the expected return that can be provided with the level of confidence to the actuarial firm that does the analysis, then the lower the liability because they discount it and if it’s discounted at a higher rate, then the liability is going to go down. </w:t>
      </w:r>
    </w:p>
    <w:p w14:paraId="72FCBD6E" w14:textId="756B1EEA" w:rsidR="00973DF4" w:rsidRPr="00DE7C6D" w:rsidRDefault="00973DF4" w:rsidP="00616105">
      <w:pPr>
        <w:rPr>
          <w:rFonts w:cs="Calibri"/>
        </w:rPr>
      </w:pPr>
      <w:r w:rsidRPr="00DE7C6D">
        <w:rPr>
          <w:rFonts w:cs="Calibri"/>
        </w:rPr>
        <w:t>Mr. Casper then ask</w:t>
      </w:r>
      <w:r w:rsidR="00B25EA5" w:rsidRPr="00DE7C6D">
        <w:rPr>
          <w:rFonts w:cs="Calibri"/>
        </w:rPr>
        <w:t>ed</w:t>
      </w:r>
      <w:r w:rsidRPr="00DE7C6D">
        <w:rPr>
          <w:rFonts w:cs="Calibri"/>
        </w:rPr>
        <w:t xml:space="preserve"> Ms. Beecher if we are looking to approve the 2024</w:t>
      </w:r>
      <w:r w:rsidR="00C805A2">
        <w:rPr>
          <w:rFonts w:cs="Calibri"/>
        </w:rPr>
        <w:t xml:space="preserve"> report</w:t>
      </w:r>
      <w:r w:rsidRPr="00DE7C6D">
        <w:rPr>
          <w:rFonts w:cs="Calibri"/>
        </w:rPr>
        <w:t xml:space="preserve">. Ms. Beecher states we need to get 2024 approved and then next quarter 2025 will be produced. Ms. Beecher clarifies </w:t>
      </w:r>
      <w:proofErr w:type="gramStart"/>
      <w:r w:rsidRPr="00DE7C6D">
        <w:rPr>
          <w:rFonts w:cs="Calibri"/>
        </w:rPr>
        <w:t>for</w:t>
      </w:r>
      <w:proofErr w:type="gramEnd"/>
      <w:r w:rsidRPr="00DE7C6D">
        <w:rPr>
          <w:rFonts w:cs="Calibri"/>
        </w:rPr>
        <w:t xml:space="preserve"> the new members that there are not a lot of changes</w:t>
      </w:r>
      <w:r w:rsidR="00D07339" w:rsidRPr="00DE7C6D">
        <w:rPr>
          <w:rFonts w:cs="Calibri"/>
        </w:rPr>
        <w:t xml:space="preserve"> each</w:t>
      </w:r>
      <w:r w:rsidRPr="00DE7C6D">
        <w:rPr>
          <w:rFonts w:cs="Calibri"/>
        </w:rPr>
        <w:t xml:space="preserve"> year</w:t>
      </w:r>
      <w:r w:rsidR="00D07339" w:rsidRPr="00DE7C6D">
        <w:rPr>
          <w:rFonts w:cs="Calibri"/>
        </w:rPr>
        <w:t xml:space="preserve">. The language stays very </w:t>
      </w:r>
      <w:r w:rsidR="00B25EA5" w:rsidRPr="00DE7C6D">
        <w:rPr>
          <w:rFonts w:cs="Calibri"/>
        </w:rPr>
        <w:t>similar,</w:t>
      </w:r>
      <w:r w:rsidR="00D07339" w:rsidRPr="00DE7C6D">
        <w:rPr>
          <w:rFonts w:cs="Calibri"/>
        </w:rPr>
        <w:t xml:space="preserve"> but they will go in and update the decisions that were made during the budget for what the OPEB charge is going to be, what the current liability is, and the current numbers for the year. </w:t>
      </w:r>
    </w:p>
    <w:p w14:paraId="28F33725" w14:textId="044D6652" w:rsidR="00D07339" w:rsidRPr="00DE7C6D" w:rsidRDefault="00D07339" w:rsidP="00616105">
      <w:pPr>
        <w:rPr>
          <w:rFonts w:cs="Calibri"/>
        </w:rPr>
      </w:pPr>
      <w:r w:rsidRPr="00DE7C6D">
        <w:rPr>
          <w:rFonts w:cs="Calibri"/>
        </w:rPr>
        <w:t>Mr. Casper states he will sign the report and give everyone a week</w:t>
      </w:r>
      <w:r w:rsidR="00B25EA5" w:rsidRPr="00DE7C6D">
        <w:rPr>
          <w:rFonts w:cs="Calibri"/>
        </w:rPr>
        <w:t xml:space="preserve"> to read it if there are any questions or additional comments to let him know. Mr. Delquadro points out that the date needs to be updated to 2026 for the signatures.</w:t>
      </w:r>
    </w:p>
    <w:p w14:paraId="46FD0AB0" w14:textId="1B5A7ED4" w:rsidR="00B25EA5" w:rsidRPr="00DE7C6D" w:rsidRDefault="00B25EA5" w:rsidP="00616105">
      <w:pPr>
        <w:rPr>
          <w:rFonts w:cs="Calibri"/>
        </w:rPr>
      </w:pPr>
      <w:r w:rsidRPr="00DE7C6D">
        <w:rPr>
          <w:rFonts w:cs="Calibri"/>
        </w:rPr>
        <w:t xml:space="preserve">Mr. Casper asked Ms. Beecher what the amount is in the OPEB fund and what the total revenues are vs. the ADC. Ms. Beecher verifies the amount in the fund is $23.5M and the ADC for 2025 is </w:t>
      </w:r>
      <w:r w:rsidRPr="00DE7C6D">
        <w:rPr>
          <w:rFonts w:cs="Calibri"/>
        </w:rPr>
        <w:lastRenderedPageBreak/>
        <w:t xml:space="preserve">$6.7M or $6.8M. Contributions were </w:t>
      </w:r>
      <w:r w:rsidR="004105CA" w:rsidRPr="00DE7C6D">
        <w:rPr>
          <w:rFonts w:cs="Calibri"/>
        </w:rPr>
        <w:t>$3.7M, which was the lowest year because 2025 was the year it was reduced by 2.5. For 2024, the ADC was $7.5M and contributions were $6.2M, so only short $1.3M. Anticipation for 2026 is to be closer to the ADC.</w:t>
      </w:r>
    </w:p>
    <w:p w14:paraId="63F88218" w14:textId="637972FD" w:rsidR="004105CA" w:rsidRPr="00DE7C6D" w:rsidRDefault="004105CA" w:rsidP="00616105">
      <w:pPr>
        <w:rPr>
          <w:rFonts w:cs="Calibri"/>
        </w:rPr>
      </w:pPr>
      <w:r w:rsidRPr="00DE7C6D">
        <w:rPr>
          <w:rFonts w:cs="Calibri"/>
        </w:rPr>
        <w:t xml:space="preserve">Mr. Casper stated that the solution is getting very close. Just as explained to the policymakers, slight changes upward on the OPEB adjustment, perhaps starting in June depending on the situation with the structural balance etc., can move this closer to resolution. Mr. Casper also stated for the </w:t>
      </w:r>
      <w:proofErr w:type="gramStart"/>
      <w:r w:rsidRPr="00DE7C6D">
        <w:rPr>
          <w:rFonts w:cs="Calibri"/>
        </w:rPr>
        <w:t>record,</w:t>
      </w:r>
      <w:proofErr w:type="gramEnd"/>
      <w:r w:rsidRPr="00DE7C6D">
        <w:rPr>
          <w:rFonts w:cs="Calibri"/>
        </w:rPr>
        <w:t xml:space="preserve"> that this is not a problem for Salt Lake County</w:t>
      </w:r>
      <w:r w:rsidR="008C0CBA" w:rsidRPr="00DE7C6D">
        <w:rPr>
          <w:rFonts w:cs="Calibri"/>
        </w:rPr>
        <w:t xml:space="preserve"> because action was taken when talking with the rating agencies and they are pleased that there is a plan being followed. </w:t>
      </w:r>
    </w:p>
    <w:p w14:paraId="08AC33AC" w14:textId="7FC6463F" w:rsidR="008E7CBF" w:rsidRPr="00DE7C6D" w:rsidRDefault="008E7CBF" w:rsidP="00616105">
      <w:pPr>
        <w:rPr>
          <w:rFonts w:cs="Calibri"/>
        </w:rPr>
      </w:pPr>
      <w:r w:rsidRPr="00DE7C6D">
        <w:rPr>
          <w:rFonts w:cs="Calibri"/>
        </w:rPr>
        <w:t>Mr. Delquadro asked if it makes sense to take both reports to the policy makers rather than taking 2024 and then shortly after taking 2025. Ms. Beecher stated that is possible, but it would be closer to August. Mr. Delquadro stated there may be questions as to why it took so long to produce 2024 but also just be diligent about getting 2025 produced.</w:t>
      </w:r>
    </w:p>
    <w:p w14:paraId="33921B89" w14:textId="7C59ED5C" w:rsidR="008E7CBF" w:rsidRPr="00DE7C6D" w:rsidRDefault="008E7CBF" w:rsidP="00616105">
      <w:pPr>
        <w:rPr>
          <w:rFonts w:cs="Calibri"/>
        </w:rPr>
      </w:pPr>
      <w:r w:rsidRPr="00DE7C6D">
        <w:rPr>
          <w:rFonts w:cs="Calibri"/>
        </w:rPr>
        <w:t>Mr. Folta asked if there needs to be a board meeting to approve the report before it’s released. Mr. Delquadro stated they can provide comment</w:t>
      </w:r>
      <w:r w:rsidR="009A4B86" w:rsidRPr="00DE7C6D">
        <w:rPr>
          <w:rFonts w:cs="Calibri"/>
        </w:rPr>
        <w:t>s when the draft report is available and if they do need to meet briefly, they can, otherwise, if everyone agrees then it can just be signed. Mr. Folta clarifies that this can be decided in July</w:t>
      </w:r>
      <w:r w:rsidR="00323E38" w:rsidRPr="00DE7C6D">
        <w:rPr>
          <w:rFonts w:cs="Calibri"/>
        </w:rPr>
        <w:t>,</w:t>
      </w:r>
      <w:r w:rsidR="009A4B86" w:rsidRPr="00DE7C6D">
        <w:rPr>
          <w:rFonts w:cs="Calibri"/>
        </w:rPr>
        <w:t xml:space="preserve"> it just needs to be remembered.</w:t>
      </w:r>
    </w:p>
    <w:p w14:paraId="48CCA5C0" w14:textId="22754076" w:rsidR="009A4B86" w:rsidRPr="00DE7C6D" w:rsidRDefault="009A4B86" w:rsidP="00616105">
      <w:pPr>
        <w:rPr>
          <w:rFonts w:cs="Calibri"/>
        </w:rPr>
      </w:pPr>
      <w:r w:rsidRPr="00DE7C6D">
        <w:rPr>
          <w:rFonts w:cs="Calibri"/>
        </w:rPr>
        <w:t xml:space="preserve">Mr. Casper stated this needs to be presented to County Council and hopefully put into perspective the small amount </w:t>
      </w:r>
      <w:r w:rsidR="00323E38" w:rsidRPr="00DE7C6D">
        <w:rPr>
          <w:rFonts w:cs="Calibri"/>
        </w:rPr>
        <w:t xml:space="preserve">of </w:t>
      </w:r>
      <w:r w:rsidRPr="00DE7C6D">
        <w:rPr>
          <w:rFonts w:cs="Calibri"/>
        </w:rPr>
        <w:t xml:space="preserve">work that needs to be done to achieve the goal </w:t>
      </w:r>
      <w:r w:rsidR="00323E38" w:rsidRPr="00DE7C6D">
        <w:rPr>
          <w:rFonts w:cs="Calibri"/>
        </w:rPr>
        <w:t>of the board. If the fund is going to be $1.1M short, it should be a policy consideration to increase the charge by that amount and have this resolved for 2027. Then it can be anticipated that the charges might go up each year with the cost of medical increases, but it could be manageable. Mr. Lancaster stated that if anything changes with the plan then there should be a meeting and a vote. Mr. Folta stated there could be another meeting in July or early August. Ms. Okino would like more time to go back through the current report to be sure the numbers are accurate. Ms. Beecher hoped the newest version was what got sent out to everyone and asked Ms. Okino to send over what she was looking at.</w:t>
      </w:r>
    </w:p>
    <w:p w14:paraId="0F667C59" w14:textId="450B4476" w:rsidR="00784AB4" w:rsidRPr="00DE7C6D" w:rsidRDefault="00E10A2D" w:rsidP="00784AB4">
      <w:pPr>
        <w:pStyle w:val="ListParagraph"/>
        <w:numPr>
          <w:ilvl w:val="0"/>
          <w:numId w:val="1"/>
        </w:numPr>
        <w:rPr>
          <w:rFonts w:cs="Calibri"/>
          <w:b/>
          <w:bCs/>
        </w:rPr>
      </w:pPr>
      <w:r w:rsidRPr="00DE7C6D">
        <w:rPr>
          <w:rFonts w:cs="Calibri"/>
          <w:b/>
          <w:bCs/>
        </w:rPr>
        <w:t>Update on OPEB Finances – Jason William</w:t>
      </w:r>
      <w:r w:rsidR="00784AB4" w:rsidRPr="00DE7C6D">
        <w:rPr>
          <w:rFonts w:cs="Calibri"/>
          <w:b/>
          <w:bCs/>
        </w:rPr>
        <w:t>s</w:t>
      </w:r>
    </w:p>
    <w:p w14:paraId="42618792" w14:textId="54AEC591" w:rsidR="00784AB4" w:rsidRPr="00DE7C6D" w:rsidRDefault="00323E38" w:rsidP="00D55F4A">
      <w:pPr>
        <w:rPr>
          <w:rFonts w:cs="Calibri"/>
        </w:rPr>
      </w:pPr>
      <w:r w:rsidRPr="00DE7C6D">
        <w:rPr>
          <w:rFonts w:cs="Calibri"/>
        </w:rPr>
        <w:t>Ms. Srivastava announced that Meeder has purchased Moreton, so they are in one group now and Mr. Williams is still supporting the OPEB accounts.</w:t>
      </w:r>
    </w:p>
    <w:p w14:paraId="2D72F61E" w14:textId="77777777" w:rsidR="00AB3B74" w:rsidRDefault="00AB3B74" w:rsidP="00D55F4A">
      <w:pPr>
        <w:rPr>
          <w:rFonts w:cs="Calibri"/>
        </w:rPr>
      </w:pPr>
      <w:r w:rsidRPr="00DE7C6D">
        <w:rPr>
          <w:rFonts w:cs="Calibri"/>
        </w:rPr>
        <w:t>Mr. Williams will begin by providing a brief update on the merger to ensure the committee is current. He will then transition into a discussion of the interest rate markets.</w:t>
      </w:r>
    </w:p>
    <w:p w14:paraId="4314A14D" w14:textId="6544B563" w:rsidR="00C805A2" w:rsidRPr="00DE7C6D" w:rsidRDefault="00C805A2" w:rsidP="00D55F4A">
      <w:pPr>
        <w:rPr>
          <w:rFonts w:cs="Calibri"/>
        </w:rPr>
      </w:pPr>
      <w:r w:rsidRPr="00C805A2">
        <w:rPr>
          <w:rFonts w:cs="Calibri"/>
        </w:rPr>
        <w:t>Effective April 2, 2026, Moreton Asset Management and Meeder Public Funds merged to form a single firm under the name Meeder Public Funds. The firm remains employee-owned, with the existing management team continuing in place along with several new additions. As a result of the merger, the County's account has been moved to a lower fee structure, resulting in cost savings.</w:t>
      </w:r>
    </w:p>
    <w:p w14:paraId="3D9EDC8F" w14:textId="77777777" w:rsidR="00AB3B74" w:rsidRPr="00DE7C6D" w:rsidRDefault="00AB3B74" w:rsidP="00D55F4A">
      <w:pPr>
        <w:rPr>
          <w:rFonts w:cs="Calibri"/>
        </w:rPr>
      </w:pPr>
      <w:r w:rsidRPr="00DE7C6D">
        <w:rPr>
          <w:rFonts w:cs="Calibri"/>
        </w:rPr>
        <w:t xml:space="preserve">When the decision was made to fund the OPEB trust, the objective was to take a conservative approach by using prudent actuarial assumptions while constructing a portfolio designed to generate higher long-term returns with a strong emphasis on mitigating risk. Mr. Williams will explain how this strategy has been implemented, particularly </w:t>
      </w:r>
      <w:proofErr w:type="gramStart"/>
      <w:r w:rsidRPr="00DE7C6D">
        <w:rPr>
          <w:rFonts w:cs="Calibri"/>
        </w:rPr>
        <w:t>in light of</w:t>
      </w:r>
      <w:proofErr w:type="gramEnd"/>
      <w:r w:rsidRPr="00DE7C6D">
        <w:rPr>
          <w:rFonts w:cs="Calibri"/>
        </w:rPr>
        <w:t xml:space="preserve"> the market volatility since his last presentation to the Board.</w:t>
      </w:r>
    </w:p>
    <w:p w14:paraId="265B3695" w14:textId="437DA775" w:rsidR="00AB3B74" w:rsidRPr="00DE7C6D" w:rsidRDefault="00AB3B74" w:rsidP="00106FE1">
      <w:pPr>
        <w:rPr>
          <w:rFonts w:cs="Calibri"/>
        </w:rPr>
      </w:pPr>
      <w:r w:rsidRPr="00DE7C6D">
        <w:rPr>
          <w:rFonts w:cs="Calibri"/>
          <w:b/>
          <w:bCs/>
        </w:rPr>
        <w:lastRenderedPageBreak/>
        <w:t>Page 4</w:t>
      </w:r>
      <w:r w:rsidRPr="00DE7C6D">
        <w:rPr>
          <w:rFonts w:cs="Calibri"/>
        </w:rPr>
        <w:t xml:space="preserve"> </w:t>
      </w:r>
      <w:r w:rsidR="00106FE1" w:rsidRPr="00106FE1">
        <w:rPr>
          <w:rFonts w:cs="Calibri"/>
        </w:rPr>
        <w:t xml:space="preserve">Reviews market conditions from year-end 2024 through April 24, 2026. Risk-free interest rates declined about 0.75% across the yield curve over the past 15 months. Despite volatility from inflation, tariffs, and the Iran conflict, markets remained strong and benefited the portfolio. Gold was the </w:t>
      </w:r>
      <w:proofErr w:type="gramStart"/>
      <w:r w:rsidR="00106FE1" w:rsidRPr="00106FE1">
        <w:rPr>
          <w:rFonts w:cs="Calibri"/>
        </w:rPr>
        <w:t>best-performing</w:t>
      </w:r>
      <w:proofErr w:type="gramEnd"/>
      <w:r w:rsidR="00106FE1" w:rsidRPr="00106FE1">
        <w:rPr>
          <w:rFonts w:cs="Calibri"/>
        </w:rPr>
        <w:t xml:space="preserve"> asset class over the past several years. About two years ago, the portfolio shifted to a more defensive allocation in anticipation of a recession, and that allocation has more than doubled.</w:t>
      </w:r>
    </w:p>
    <w:p w14:paraId="41BC332F" w14:textId="07EE3F19" w:rsidR="00256E2E" w:rsidRPr="00DE7C6D" w:rsidRDefault="00E40053" w:rsidP="00106FE1">
      <w:pPr>
        <w:rPr>
          <w:rFonts w:cs="Calibri"/>
        </w:rPr>
      </w:pPr>
      <w:r w:rsidRPr="00DE7C6D">
        <w:rPr>
          <w:rFonts w:cs="Calibri"/>
          <w:b/>
          <w:bCs/>
        </w:rPr>
        <w:t>Page 5</w:t>
      </w:r>
      <w:r w:rsidRPr="00DE7C6D">
        <w:rPr>
          <w:rFonts w:cs="Calibri"/>
        </w:rPr>
        <w:t xml:space="preserve"> </w:t>
      </w:r>
      <w:r w:rsidR="00106FE1" w:rsidRPr="00106FE1">
        <w:rPr>
          <w:rFonts w:cs="Calibri"/>
        </w:rPr>
        <w:t>Summarizes 2024 interest rates, with short-term rates near 5% and intermediate rates in the mid-4% range. The yield curve has since normalized, suggesting the economy has likely avoided a recession. Mr. Williams noted that Salt Lake County is a leader in proactively funding its OPEB liability, while many larger municipalities have not yet taken similar action.</w:t>
      </w:r>
    </w:p>
    <w:p w14:paraId="71BDD37E" w14:textId="7CD4B31D" w:rsidR="00953377" w:rsidRPr="00DE7C6D" w:rsidRDefault="00256E2E" w:rsidP="00D55F4A">
      <w:pPr>
        <w:rPr>
          <w:rFonts w:cs="Calibri"/>
        </w:rPr>
      </w:pPr>
      <w:r w:rsidRPr="00DE7C6D">
        <w:rPr>
          <w:rFonts w:cs="Calibri"/>
          <w:b/>
          <w:bCs/>
        </w:rPr>
        <w:t>P</w:t>
      </w:r>
      <w:r w:rsidR="00953377" w:rsidRPr="00DE7C6D">
        <w:rPr>
          <w:rFonts w:cs="Calibri"/>
          <w:b/>
          <w:bCs/>
        </w:rPr>
        <w:t>age 6</w:t>
      </w:r>
      <w:r w:rsidR="00953377" w:rsidRPr="00DE7C6D">
        <w:rPr>
          <w:rFonts w:cs="Calibri"/>
        </w:rPr>
        <w:t xml:space="preserve"> </w:t>
      </w:r>
      <w:r w:rsidR="00106FE1" w:rsidRPr="00106FE1">
        <w:rPr>
          <w:rFonts w:cs="Calibri"/>
        </w:rPr>
        <w:t>Shows the history of interest rates, from near-zero levels before and after COVID-19 to recent increases. Mr. Williams expects future rate-cutting cycles to stabilize in the low 3% range, creating a more favorable investment environment than existed before the pandemic.</w:t>
      </w:r>
    </w:p>
    <w:p w14:paraId="39D61BEF" w14:textId="52CB1376" w:rsidR="00B21C66" w:rsidRPr="00DE7C6D" w:rsidRDefault="00B21C66" w:rsidP="00D55F4A">
      <w:pPr>
        <w:rPr>
          <w:rFonts w:cs="Calibri"/>
        </w:rPr>
      </w:pPr>
      <w:r w:rsidRPr="00DE7C6D">
        <w:rPr>
          <w:rFonts w:cs="Calibri"/>
          <w:b/>
          <w:bCs/>
        </w:rPr>
        <w:t>Page 7</w:t>
      </w:r>
      <w:r w:rsidRPr="00DE7C6D">
        <w:rPr>
          <w:rFonts w:cs="Calibri"/>
        </w:rPr>
        <w:t xml:space="preserve"> </w:t>
      </w:r>
      <w:r w:rsidR="00106FE1" w:rsidRPr="00106FE1">
        <w:rPr>
          <w:rFonts w:cs="Calibri"/>
        </w:rPr>
        <w:t>Explains how the Iran conflict has influenced interest-rate expectations. The orange line reflects policymakers' desired rate path, while the red line shows current market expectations. If geopolitical conditions stabilize and oil supplies normalize, market rates are expected to move closer to policymakers' projections.</w:t>
      </w:r>
      <w:r w:rsidR="00256E2E" w:rsidRPr="00DE7C6D">
        <w:rPr>
          <w:rFonts w:cs="Calibri"/>
        </w:rPr>
        <w:t xml:space="preserve"> </w:t>
      </w:r>
    </w:p>
    <w:p w14:paraId="0173DAA8" w14:textId="77777777" w:rsidR="00256E2E" w:rsidRPr="00DE7C6D" w:rsidRDefault="00B21C66" w:rsidP="00D55F4A">
      <w:pPr>
        <w:rPr>
          <w:rFonts w:cs="Calibri"/>
        </w:rPr>
      </w:pPr>
      <w:r w:rsidRPr="00DE7C6D">
        <w:rPr>
          <w:rFonts w:cs="Calibri"/>
          <w:b/>
          <w:bCs/>
        </w:rPr>
        <w:t>Page 8</w:t>
      </w:r>
      <w:r w:rsidRPr="00DE7C6D">
        <w:rPr>
          <w:rFonts w:cs="Calibri"/>
        </w:rPr>
        <w:t xml:space="preserve"> </w:t>
      </w:r>
      <w:r w:rsidR="00256E2E" w:rsidRPr="00DE7C6D">
        <w:rPr>
          <w:rFonts w:cs="Calibri"/>
        </w:rPr>
        <w:t>provides the data supporting the charts presented on Page 7.</w:t>
      </w:r>
    </w:p>
    <w:p w14:paraId="383BD8A1" w14:textId="60AFFF6A" w:rsidR="00256E2E" w:rsidRPr="00DE7C6D" w:rsidRDefault="00256E2E" w:rsidP="00D55F4A">
      <w:pPr>
        <w:rPr>
          <w:rFonts w:cs="Calibri"/>
        </w:rPr>
      </w:pPr>
      <w:r w:rsidRPr="00DE7C6D">
        <w:rPr>
          <w:rFonts w:cs="Calibri"/>
          <w:b/>
          <w:bCs/>
        </w:rPr>
        <w:t>Page 9</w:t>
      </w:r>
      <w:r w:rsidRPr="00DE7C6D">
        <w:rPr>
          <w:rFonts w:cs="Calibri"/>
        </w:rPr>
        <w:t xml:space="preserve"> </w:t>
      </w:r>
      <w:r w:rsidR="00106FE1" w:rsidRPr="00106FE1">
        <w:rPr>
          <w:rFonts w:cs="Calibri"/>
        </w:rPr>
        <w:t>Highlights persistent core services inflation, particularly in housing, insurance, and healthcare. The Growth and Income strategy maintains a 50% equity / 50% fixed income target allocation. When established, interest rates were near zero, long-term return expectations were in the high single digits, and the actuarial assumed rate of return was 5.5%, increasing to 5.7% about one year ago. Mr. Williams reported that the portfolio is outperforming those assumptions, improving projected budgets for 2026–2028.</w:t>
      </w:r>
    </w:p>
    <w:p w14:paraId="2F25771A" w14:textId="53E7436D" w:rsidR="008913B1" w:rsidRPr="00DE7C6D" w:rsidRDefault="008913B1" w:rsidP="00106FE1">
      <w:pPr>
        <w:rPr>
          <w:rFonts w:cs="Calibri"/>
        </w:rPr>
      </w:pPr>
      <w:r w:rsidRPr="00DE7C6D">
        <w:rPr>
          <w:rFonts w:cs="Calibri"/>
          <w:b/>
          <w:bCs/>
        </w:rPr>
        <w:t>Page 10</w:t>
      </w:r>
      <w:r w:rsidRPr="00DE7C6D">
        <w:rPr>
          <w:rFonts w:cs="Calibri"/>
        </w:rPr>
        <w:t xml:space="preserve"> </w:t>
      </w:r>
      <w:r w:rsidR="00106FE1" w:rsidRPr="00106FE1">
        <w:rPr>
          <w:rFonts w:cs="Calibri"/>
        </w:rPr>
        <w:t>Reviews equity market volatility. Tariffs triggered a 25% S&amp;P 500 correction in March 2025, the outbreak of war caused a 10% correction in March 2026, and the market experienced an 8% correction in 2023. Mr. Williams emphasized that the portfolio is designed to participate in market gains while reducing volatility rather than tracking the S&amp;P 500 exclusively.</w:t>
      </w:r>
    </w:p>
    <w:p w14:paraId="4B56E2E8" w14:textId="049EDE05" w:rsidR="008913B1" w:rsidRPr="00DE7C6D" w:rsidRDefault="008913B1" w:rsidP="008913B1">
      <w:pPr>
        <w:rPr>
          <w:rFonts w:cs="Calibri"/>
        </w:rPr>
      </w:pPr>
      <w:r w:rsidRPr="00DE7C6D">
        <w:rPr>
          <w:rFonts w:cs="Calibri"/>
          <w:b/>
          <w:bCs/>
        </w:rPr>
        <w:t>Page 11</w:t>
      </w:r>
      <w:r w:rsidRPr="00DE7C6D">
        <w:rPr>
          <w:rFonts w:cs="Calibri"/>
        </w:rPr>
        <w:t xml:space="preserve"> </w:t>
      </w:r>
      <w:r w:rsidR="00106FE1" w:rsidRPr="00106FE1">
        <w:rPr>
          <w:rFonts w:cs="Calibri"/>
        </w:rPr>
        <w:t>Shows delinquency rates for credit cards, student loans, mortgages, and auto loans. Delinquencies rose late in 2024 but have since stabilized and declined, supporting a more favorable economic outlook for 2026–2027.</w:t>
      </w:r>
    </w:p>
    <w:p w14:paraId="663C39FE" w14:textId="3088A0C4" w:rsidR="00EF0349" w:rsidRPr="00DE7C6D" w:rsidRDefault="00EF0349" w:rsidP="00151D56">
      <w:pPr>
        <w:rPr>
          <w:rFonts w:cs="Calibri"/>
        </w:rPr>
      </w:pPr>
      <w:r w:rsidRPr="00DE7C6D">
        <w:rPr>
          <w:rFonts w:cs="Calibri"/>
          <w:b/>
          <w:bCs/>
        </w:rPr>
        <w:t xml:space="preserve">Page 12 </w:t>
      </w:r>
      <w:r w:rsidR="00151D56" w:rsidRPr="00151D56">
        <w:rPr>
          <w:rFonts w:cs="Calibri"/>
        </w:rPr>
        <w:t xml:space="preserve">Explains why a recession has not occurred. Fixed mortgage rates have risen back into </w:t>
      </w:r>
      <w:proofErr w:type="gramStart"/>
      <w:r w:rsidR="00151D56" w:rsidRPr="00151D56">
        <w:rPr>
          <w:rFonts w:cs="Calibri"/>
        </w:rPr>
        <w:t>the</w:t>
      </w:r>
      <w:proofErr w:type="gramEnd"/>
      <w:r w:rsidR="00151D56" w:rsidRPr="00151D56">
        <w:rPr>
          <w:rFonts w:cs="Calibri"/>
        </w:rPr>
        <w:t xml:space="preserve"> high 6% range, while homeowners' effective mortgage rates remain much lower due to mortgages locked in before rates increased. Existing home sales have fallen to levels near 2008, reflecting the mortgage "lock-in effect." Mr. Williams stated that because many homeowners' mortgage payments have not increased, household spending has remained resilient, helping prevent a recession. Mr. Casper confirmed that the effective mortgage rate is a weighted average of millions of mortgages from Freddie Mac and Fannie Mae.</w:t>
      </w:r>
    </w:p>
    <w:p w14:paraId="5A2E1CCA" w14:textId="77777777" w:rsidR="00151D56" w:rsidRDefault="00EF0349" w:rsidP="00151D56">
      <w:pPr>
        <w:rPr>
          <w:rFonts w:cs="Calibri"/>
        </w:rPr>
      </w:pPr>
      <w:r w:rsidRPr="00DE7C6D">
        <w:rPr>
          <w:rFonts w:cs="Calibri"/>
          <w:b/>
          <w:bCs/>
        </w:rPr>
        <w:lastRenderedPageBreak/>
        <w:t>Page 13</w:t>
      </w:r>
      <w:r w:rsidRPr="00DE7C6D">
        <w:rPr>
          <w:rFonts w:cs="Calibri"/>
        </w:rPr>
        <w:t xml:space="preserve"> </w:t>
      </w:r>
      <w:r w:rsidR="00151D56" w:rsidRPr="00151D56">
        <w:rPr>
          <w:rFonts w:cs="Calibri"/>
        </w:rPr>
        <w:t>Uses the Case-Shiller Home Price Index to show that limited housing supply continues to support elevated home prices. The primary takeaway is that constrained inventory remains the key driver of housing prices.</w:t>
      </w:r>
    </w:p>
    <w:p w14:paraId="0D22A4F4" w14:textId="4FCF27D0" w:rsidR="003A2802" w:rsidRPr="00DE7C6D" w:rsidRDefault="003A2802" w:rsidP="00151D56">
      <w:pPr>
        <w:rPr>
          <w:rFonts w:cs="Calibri"/>
        </w:rPr>
      </w:pPr>
      <w:r w:rsidRPr="00DE7C6D">
        <w:rPr>
          <w:rFonts w:cs="Calibri"/>
          <w:b/>
          <w:bCs/>
        </w:rPr>
        <w:t>Page 14</w:t>
      </w:r>
      <w:r w:rsidRPr="00DE7C6D">
        <w:rPr>
          <w:rFonts w:cs="Calibri"/>
        </w:rPr>
        <w:t xml:space="preserve"> </w:t>
      </w:r>
      <w:r w:rsidR="00151D56" w:rsidRPr="00151D56">
        <w:rPr>
          <w:rFonts w:cs="Calibri"/>
        </w:rPr>
        <w:t>Notes that tax cuts on overtime pay and tips, effective in 2025, are producing larger-than-expected tax refunds, which are expected to boost consumer spending going into 2026.</w:t>
      </w:r>
    </w:p>
    <w:p w14:paraId="3E602794" w14:textId="00A6542B" w:rsidR="00B66C99" w:rsidRPr="00DE7C6D" w:rsidRDefault="00B66C99" w:rsidP="009069C3">
      <w:pPr>
        <w:rPr>
          <w:rFonts w:cs="Calibri"/>
        </w:rPr>
      </w:pPr>
      <w:r w:rsidRPr="00DE7C6D">
        <w:rPr>
          <w:rFonts w:cs="Calibri"/>
          <w:b/>
          <w:bCs/>
        </w:rPr>
        <w:t>Page 15</w:t>
      </w:r>
      <w:r w:rsidRPr="00DE7C6D">
        <w:rPr>
          <w:rFonts w:cs="Calibri"/>
        </w:rPr>
        <w:t xml:space="preserve"> </w:t>
      </w:r>
      <w:r w:rsidR="009069C3" w:rsidRPr="009069C3">
        <w:rPr>
          <w:rFonts w:cs="Calibri"/>
        </w:rPr>
        <w:t>Warns about concentration risk within the S&amp;P 500. Although the index has returned approximately 15–16%, more than 30% of the index is concentrated in five companies—Nvidia, Microsoft, Apple, Amazon, and Alphabet—making overall performance heavily dependent on a small number of mega-cap stocks.</w:t>
      </w:r>
    </w:p>
    <w:p w14:paraId="2A36A610" w14:textId="36AB8F03" w:rsidR="008574BD" w:rsidRPr="00DE7C6D" w:rsidRDefault="008574BD" w:rsidP="00B66C99">
      <w:pPr>
        <w:rPr>
          <w:rFonts w:cs="Calibri"/>
        </w:rPr>
      </w:pPr>
      <w:r w:rsidRPr="00DE7C6D">
        <w:rPr>
          <w:rFonts w:cs="Calibri"/>
          <w:b/>
          <w:bCs/>
        </w:rPr>
        <w:t xml:space="preserve">Page 16 </w:t>
      </w:r>
      <w:r w:rsidR="009069C3" w:rsidRPr="009069C3">
        <w:rPr>
          <w:rFonts w:cs="Calibri"/>
        </w:rPr>
        <w:t>Provides an overall summary of the market and investment outlook.</w:t>
      </w:r>
    </w:p>
    <w:p w14:paraId="165A95DC" w14:textId="1A5C9507" w:rsidR="00263E7B" w:rsidRPr="00DE7C6D" w:rsidRDefault="008574BD" w:rsidP="009069C3">
      <w:pPr>
        <w:rPr>
          <w:rFonts w:cs="Calibri"/>
        </w:rPr>
      </w:pPr>
      <w:r w:rsidRPr="00DE7C6D">
        <w:rPr>
          <w:rFonts w:cs="Calibri"/>
          <w:b/>
          <w:bCs/>
        </w:rPr>
        <w:t>Page 17</w:t>
      </w:r>
      <w:r w:rsidRPr="00DE7C6D">
        <w:rPr>
          <w:rFonts w:cs="Calibri"/>
        </w:rPr>
        <w:t xml:space="preserve"> </w:t>
      </w:r>
      <w:r w:rsidR="009069C3" w:rsidRPr="009069C3">
        <w:rPr>
          <w:rFonts w:cs="Calibri"/>
        </w:rPr>
        <w:t>Reports portfolio growth from approximately $20.9 million at the end of 2024 to over $24 million, including roughly $3.5 million in unrealized gains and nearly $900,000 in interest and dividend income. Income has been enhanced by allocating part of $2.5 million into higher-yielding bonds earning 4–5% with maturities extending through 2028–2030. Defensive equity positions, including healthcare, utilities, aerospace and defense, and gold, have also contributed to performance while reducing volatility.</w:t>
      </w:r>
    </w:p>
    <w:p w14:paraId="6F212BA4" w14:textId="282E2431" w:rsidR="00263E7B" w:rsidRPr="00DE7C6D" w:rsidRDefault="00263E7B" w:rsidP="009069C3">
      <w:pPr>
        <w:rPr>
          <w:rFonts w:cs="Calibri"/>
        </w:rPr>
      </w:pPr>
      <w:r w:rsidRPr="00DE7C6D">
        <w:rPr>
          <w:rFonts w:cs="Calibri"/>
          <w:b/>
          <w:bCs/>
        </w:rPr>
        <w:t>Page 18</w:t>
      </w:r>
      <w:r w:rsidRPr="00DE7C6D">
        <w:rPr>
          <w:rFonts w:cs="Calibri"/>
        </w:rPr>
        <w:t xml:space="preserve"> </w:t>
      </w:r>
      <w:r w:rsidR="009069C3" w:rsidRPr="009069C3">
        <w:rPr>
          <w:rFonts w:cs="Calibri"/>
        </w:rPr>
        <w:t xml:space="preserve">Summarizes performance results. The portfolio </w:t>
      </w:r>
      <w:proofErr w:type="gramStart"/>
      <w:r w:rsidR="009069C3" w:rsidRPr="009069C3">
        <w:rPr>
          <w:rFonts w:cs="Calibri"/>
        </w:rPr>
        <w:t>is generating</w:t>
      </w:r>
      <w:proofErr w:type="gramEnd"/>
      <w:r w:rsidR="009069C3" w:rsidRPr="009069C3">
        <w:rPr>
          <w:rFonts w:cs="Calibri"/>
        </w:rPr>
        <w:t xml:space="preserve"> approximately 4.5% income, with strong total returns of 14.5% (1-year), 10.0% (2-year), 10.2% (3-year), and 7.5% (4-year). Mr. Williams noted these returns exceed actuarial assumptions, while future projections remain intentionally conservative.</w:t>
      </w:r>
    </w:p>
    <w:p w14:paraId="0D3957D9" w14:textId="0BE3B6A8" w:rsidR="00263E7B" w:rsidRPr="00DE7C6D" w:rsidRDefault="00263E7B" w:rsidP="009069C3">
      <w:pPr>
        <w:rPr>
          <w:rFonts w:cs="Calibri"/>
        </w:rPr>
      </w:pPr>
      <w:r w:rsidRPr="00DE7C6D">
        <w:rPr>
          <w:rFonts w:cs="Calibri"/>
          <w:b/>
          <w:bCs/>
        </w:rPr>
        <w:t>Page 19</w:t>
      </w:r>
      <w:r w:rsidRPr="00DE7C6D">
        <w:rPr>
          <w:rFonts w:cs="Calibri"/>
        </w:rPr>
        <w:t xml:space="preserve"> </w:t>
      </w:r>
      <w:r w:rsidR="009069C3" w:rsidRPr="009069C3">
        <w:rPr>
          <w:rFonts w:cs="Calibri"/>
        </w:rPr>
        <w:t>Reviews current asset allocation. Following the 2022 banking crisis, the portfolio increased its allocation to FDIC-insured CDs when banks offered yields above Treasuries. CDs now represent about 27% of the portfolio and are expected to decline gradually as they mature. The remaining investments remain close to the target 50/50 equity/fixed income allocation.</w:t>
      </w:r>
    </w:p>
    <w:p w14:paraId="3230BFE2" w14:textId="0BDC1F10" w:rsidR="00263E7B" w:rsidRPr="00DE7C6D" w:rsidRDefault="00263E7B" w:rsidP="00CC1080">
      <w:pPr>
        <w:rPr>
          <w:rFonts w:cs="Calibri"/>
        </w:rPr>
      </w:pPr>
      <w:r w:rsidRPr="00DE7C6D">
        <w:rPr>
          <w:rFonts w:cs="Calibri"/>
          <w:b/>
          <w:bCs/>
        </w:rPr>
        <w:t>Page 20</w:t>
      </w:r>
      <w:r w:rsidRPr="00DE7C6D">
        <w:rPr>
          <w:rFonts w:cs="Calibri"/>
        </w:rPr>
        <w:t xml:space="preserve"> </w:t>
      </w:r>
      <w:r w:rsidR="00CC1080" w:rsidRPr="00CC1080">
        <w:rPr>
          <w:rFonts w:cs="Calibri"/>
        </w:rPr>
        <w:t>Details securities purchased and portfolio rebalancing since the previous meeting. Most new fixed-income investments carry mid-4% yields with maturities in 2028–2030, positioning the portfolio to benefit from locking in higher rates before expected future declines.</w:t>
      </w:r>
      <w:r w:rsidRPr="00DE7C6D">
        <w:rPr>
          <w:rFonts w:cs="Calibri"/>
        </w:rPr>
        <w:t xml:space="preserve"> </w:t>
      </w:r>
    </w:p>
    <w:p w14:paraId="6BAE9FD1" w14:textId="5B0ACF0F" w:rsidR="00CD51AF" w:rsidRPr="00DE7C6D" w:rsidRDefault="00022A44" w:rsidP="00CC1080">
      <w:pPr>
        <w:rPr>
          <w:rFonts w:cs="Calibri"/>
        </w:rPr>
      </w:pPr>
      <w:r w:rsidRPr="00DE7C6D">
        <w:rPr>
          <w:rFonts w:cs="Calibri"/>
          <w:b/>
          <w:bCs/>
        </w:rPr>
        <w:t>Page 21</w:t>
      </w:r>
      <w:r w:rsidRPr="00DE7C6D">
        <w:rPr>
          <w:rFonts w:cs="Calibri"/>
        </w:rPr>
        <w:t xml:space="preserve"> </w:t>
      </w:r>
      <w:r w:rsidR="00CC1080" w:rsidRPr="00CC1080">
        <w:rPr>
          <w:rFonts w:cs="Calibri"/>
        </w:rPr>
        <w:t>Highlights portfolio attribution. Strong performers include the Vanguard Total Stock Market Index and Vanguard Value Index, generating over $750,000 in gains, and the Vanguard Developing Markets allocation with approximately $700,000 in gains. The gold allocation has grown from an initial $300,000 investment to approximately $470,000 in gains. An S&amp;P 500 equal-weight strategy was added to reduce concentration risk.</w:t>
      </w:r>
    </w:p>
    <w:p w14:paraId="166FF3E9" w14:textId="09A12733" w:rsidR="00CD51AF" w:rsidRPr="00CC1080" w:rsidRDefault="00CD51AF" w:rsidP="00CC1080">
      <w:pPr>
        <w:rPr>
          <w:rFonts w:cs="Calibri"/>
        </w:rPr>
      </w:pPr>
      <w:r w:rsidRPr="00DE7C6D">
        <w:rPr>
          <w:rFonts w:cs="Calibri"/>
          <w:b/>
          <w:bCs/>
        </w:rPr>
        <w:t>Page 23</w:t>
      </w:r>
      <w:r w:rsidRPr="00DE7C6D">
        <w:rPr>
          <w:rFonts w:cs="Calibri"/>
        </w:rPr>
        <w:t xml:space="preserve"> </w:t>
      </w:r>
      <w:r w:rsidR="00CC1080" w:rsidRPr="00CC1080">
        <w:rPr>
          <w:rFonts w:cs="Calibri"/>
        </w:rPr>
        <w:t xml:space="preserve">Reviews the portfolio's weakest investment, a preferred stock purchased during the 2020–2021 low-interest-rate environment. It currently has an unrealized loss of about $154,000 but continues generating approximately 5.75% in dividend income. Mr. Williams explained that because the investment continues producing steady income, it is </w:t>
      </w:r>
      <w:proofErr w:type="gramStart"/>
      <w:r w:rsidR="00CC1080" w:rsidRPr="00CC1080">
        <w:rPr>
          <w:rFonts w:cs="Calibri"/>
        </w:rPr>
        <w:t>being monitored</w:t>
      </w:r>
      <w:proofErr w:type="gramEnd"/>
      <w:r w:rsidR="00CC1080" w:rsidRPr="00CC1080">
        <w:rPr>
          <w:rFonts w:cs="Calibri"/>
        </w:rPr>
        <w:t xml:space="preserve"> rather than sold, and the portfolio still maintains approximately $3.5 million in total unrealized gains overall.</w:t>
      </w:r>
    </w:p>
    <w:p w14:paraId="5FECFC32" w14:textId="28F3F8C8" w:rsidR="00CD51AF" w:rsidRPr="00DE7C6D" w:rsidRDefault="00CD51AF" w:rsidP="00CD51AF">
      <w:pPr>
        <w:rPr>
          <w:rFonts w:cs="Calibri"/>
        </w:rPr>
      </w:pPr>
      <w:r w:rsidRPr="00DE7C6D">
        <w:rPr>
          <w:rFonts w:cs="Calibri"/>
        </w:rPr>
        <w:t>At this stage, the focus is on monitoring the position and evaluating it based on ongoing income generation versus potential changes in value.</w:t>
      </w:r>
    </w:p>
    <w:p w14:paraId="7AA6F20C" w14:textId="7AA6B0A5" w:rsidR="008574BD" w:rsidRPr="00DE7C6D" w:rsidRDefault="002A1A85" w:rsidP="00B66C99">
      <w:pPr>
        <w:rPr>
          <w:rFonts w:cs="Calibri"/>
        </w:rPr>
      </w:pPr>
      <w:r w:rsidRPr="00DE7C6D">
        <w:rPr>
          <w:rFonts w:cs="Calibri"/>
        </w:rPr>
        <w:lastRenderedPageBreak/>
        <w:t xml:space="preserve">Mr. Williams then </w:t>
      </w:r>
      <w:proofErr w:type="gramStart"/>
      <w:r w:rsidRPr="00DE7C6D">
        <w:rPr>
          <w:rFonts w:cs="Calibri"/>
        </w:rPr>
        <w:t>opens up</w:t>
      </w:r>
      <w:proofErr w:type="gramEnd"/>
      <w:r w:rsidRPr="00DE7C6D">
        <w:rPr>
          <w:rFonts w:cs="Calibri"/>
        </w:rPr>
        <w:t xml:space="preserve"> to the committee for any questions and thoughts on additional funds for this year and what recommendations he would make to the committee. </w:t>
      </w:r>
    </w:p>
    <w:p w14:paraId="3BE019E2" w14:textId="1EA7D3A6" w:rsidR="002A1A85" w:rsidRPr="00DE7C6D" w:rsidRDefault="003127FB" w:rsidP="00B66C99">
      <w:pPr>
        <w:rPr>
          <w:rFonts w:cs="Calibri"/>
        </w:rPr>
      </w:pPr>
      <w:r w:rsidRPr="00DE7C6D">
        <w:rPr>
          <w:rFonts w:cs="Calibri"/>
        </w:rPr>
        <w:t>Mr. Delquadro asks if there is an idea as to what we should argue for the actuaries to use in terms of the valuation?</w:t>
      </w:r>
    </w:p>
    <w:p w14:paraId="5104C619" w14:textId="77777777" w:rsidR="003127FB" w:rsidRPr="00DE7C6D" w:rsidRDefault="003127FB" w:rsidP="003127FB">
      <w:pPr>
        <w:rPr>
          <w:rFonts w:cs="Calibri"/>
        </w:rPr>
      </w:pPr>
      <w:r w:rsidRPr="00DE7C6D">
        <w:rPr>
          <w:rFonts w:cs="Calibri"/>
        </w:rPr>
        <w:t>Mr. Casper asked for clarification on what “trailing 4-year” returns mean.</w:t>
      </w:r>
    </w:p>
    <w:p w14:paraId="3F307E4E" w14:textId="77777777" w:rsidR="003127FB" w:rsidRPr="00DE7C6D" w:rsidRDefault="003127FB" w:rsidP="003127FB">
      <w:pPr>
        <w:rPr>
          <w:rFonts w:cs="Calibri"/>
        </w:rPr>
      </w:pPr>
      <w:r w:rsidRPr="00DE7C6D">
        <w:rPr>
          <w:rFonts w:cs="Calibri"/>
        </w:rPr>
        <w:t xml:space="preserve">Mr. Williams explained that this refers to the average annual return of the portfolio over the past four years. He also noted that, based on current portfolio positioning and the types of investments recently purchased, returns are likely to gradually normalize over time through a “reversion to the mean.” In his view, long-term returns would likely settle closer to the 7% range. He added that the current fixed income </w:t>
      </w:r>
      <w:proofErr w:type="gramStart"/>
      <w:r w:rsidRPr="00DE7C6D">
        <w:rPr>
          <w:rFonts w:cs="Calibri"/>
        </w:rPr>
        <w:t>positioning—</w:t>
      </w:r>
      <w:proofErr w:type="gramEnd"/>
      <w:r w:rsidRPr="00DE7C6D">
        <w:rPr>
          <w:rFonts w:cs="Calibri"/>
        </w:rPr>
        <w:t>particularly longer-</w:t>
      </w:r>
      <w:proofErr w:type="gramStart"/>
      <w:r w:rsidRPr="00DE7C6D">
        <w:rPr>
          <w:rFonts w:cs="Calibri"/>
        </w:rPr>
        <w:t>duration bonds—</w:t>
      </w:r>
      <w:proofErr w:type="gramEnd"/>
      <w:r w:rsidRPr="00DE7C6D">
        <w:rPr>
          <w:rFonts w:cs="Calibri"/>
        </w:rPr>
        <w:t>should support relatively strong performance over the next couple of years.</w:t>
      </w:r>
    </w:p>
    <w:p w14:paraId="426A4C47" w14:textId="77777777" w:rsidR="003127FB" w:rsidRPr="00DE7C6D" w:rsidRDefault="003127FB" w:rsidP="003127FB">
      <w:pPr>
        <w:rPr>
          <w:rFonts w:cs="Calibri"/>
        </w:rPr>
      </w:pPr>
      <w:r w:rsidRPr="00DE7C6D">
        <w:rPr>
          <w:rFonts w:cs="Calibri"/>
        </w:rPr>
        <w:t>Mr. Casper responded by noting that the figures presented primarily impact reporting and projections, but do not immediately change real-world conditions. He explained that these numbers are used in forward-looking reports and assessments, including those reviewed by rating agencies, and that the trust is currently in an overfunded position.</w:t>
      </w:r>
    </w:p>
    <w:p w14:paraId="00F20F84" w14:textId="5A27F636" w:rsidR="00DA396D" w:rsidRPr="00DE7C6D" w:rsidRDefault="00DA396D" w:rsidP="00DA396D">
      <w:r w:rsidRPr="00DE7C6D">
        <w:t>Mr. Williams stated that for the upcoming year, he recommends adjusting slightly upward, moving it into the low-6% range rather than the current projection of 5.7%.</w:t>
      </w:r>
    </w:p>
    <w:p w14:paraId="6149E3F0" w14:textId="787E8455" w:rsidR="00DA396D" w:rsidRPr="00DE7C6D" w:rsidRDefault="00DA396D" w:rsidP="00DA396D">
      <w:r w:rsidRPr="00DE7C6D">
        <w:t>Mr. Casper responded that the available data appears to support an assumption of at least 6.5%, particularly given the current portfolio structure. He noted that the significant allocation to fixed income could reasonably justify that higher expectation.</w:t>
      </w:r>
    </w:p>
    <w:p w14:paraId="44D99D72" w14:textId="22B638B6" w:rsidR="00DA396D" w:rsidRPr="00DE7C6D" w:rsidRDefault="00DA396D" w:rsidP="00DA396D">
      <w:r w:rsidRPr="00DE7C6D">
        <w:t xml:space="preserve">Mr. Casper asks if the committee has any thoughts on that. </w:t>
      </w:r>
    </w:p>
    <w:p w14:paraId="074C9CF6" w14:textId="77777777" w:rsidR="00DA396D" w:rsidRPr="00DE7C6D" w:rsidRDefault="00DA396D" w:rsidP="00DA396D">
      <w:r w:rsidRPr="00DE7C6D">
        <w:t xml:space="preserve">Mr. Delquadro stated that the best approach is to have the actuary </w:t>
      </w:r>
      <w:proofErr w:type="gramStart"/>
      <w:r w:rsidRPr="00DE7C6D">
        <w:t>take</w:t>
      </w:r>
      <w:proofErr w:type="gramEnd"/>
      <w:r w:rsidRPr="00DE7C6D">
        <w:t xml:space="preserve"> responsibility for determining the appropriate discount rate, using the information provided by the committee.</w:t>
      </w:r>
    </w:p>
    <w:p w14:paraId="212E3E0B" w14:textId="77777777" w:rsidR="00DA396D" w:rsidRPr="00DE7C6D" w:rsidRDefault="00DA396D" w:rsidP="00DA396D">
      <w:r w:rsidRPr="00DE7C6D">
        <w:t>His point is that the portfolio is currently performing better than originally expected, and therefore the actuary should select a discount rate that reflects this updated reality. In other words, rather than the committee prescribing a rate, the actuary should evaluate the actual results and assumptions and determine a rate that is consistent with current performance and conditions.</w:t>
      </w:r>
    </w:p>
    <w:p w14:paraId="37A4FE4E" w14:textId="77777777" w:rsidR="00F53040" w:rsidRPr="00DE7C6D" w:rsidRDefault="00F53040" w:rsidP="00F53040">
      <w:r w:rsidRPr="00DE7C6D">
        <w:t>He noted that there is no negative underlying story to report, so an accurate reflection of the rate in the next report is appropriate when it is issued.</w:t>
      </w:r>
    </w:p>
    <w:p w14:paraId="4FBCBAD2" w14:textId="0C85359C" w:rsidR="00F53040" w:rsidRPr="00DE7C6D" w:rsidRDefault="00F53040" w:rsidP="00F53040">
      <w:r w:rsidRPr="00DE7C6D">
        <w:t>The key issue is the relationship between revenue and the ADC. While the ADC may adjust based on updated assumptions, improving that gap would significantly reduce concern about the overall liability position.</w:t>
      </w:r>
    </w:p>
    <w:p w14:paraId="1657E4E1" w14:textId="4F6CF23C" w:rsidR="00F53040" w:rsidRPr="00DE7C6D" w:rsidRDefault="00F53040" w:rsidP="00F53040">
      <w:r w:rsidRPr="00DE7C6D">
        <w:t>He added that even though the total liability is around $100 million, it is not a major concern for the county in the broader context. However, he acknowledged that this type of liability would be a more serious issue for larger jurisdictions.</w:t>
      </w:r>
    </w:p>
    <w:p w14:paraId="0AF717CE" w14:textId="09072ADC" w:rsidR="00F53040" w:rsidRPr="00DE7C6D" w:rsidRDefault="00F53040" w:rsidP="00F53040">
      <w:r w:rsidRPr="00DE7C6D">
        <w:t xml:space="preserve">Mr. Casper states we should look at the fund, which is the next line </w:t>
      </w:r>
      <w:proofErr w:type="gramStart"/>
      <w:r w:rsidRPr="00DE7C6D">
        <w:t>item</w:t>
      </w:r>
      <w:proofErr w:type="gramEnd"/>
      <w:r w:rsidRPr="00DE7C6D">
        <w:t xml:space="preserve"> and he is good with Mr. </w:t>
      </w:r>
      <w:proofErr w:type="spellStart"/>
      <w:r w:rsidRPr="00DE7C6D">
        <w:t>Delquadro’s</w:t>
      </w:r>
      <w:proofErr w:type="spellEnd"/>
      <w:r w:rsidRPr="00DE7C6D">
        <w:t xml:space="preserve"> idea of having the actuary choose. </w:t>
      </w:r>
    </w:p>
    <w:p w14:paraId="4BD4A6DF" w14:textId="0E92B9D3" w:rsidR="00784AB4" w:rsidRPr="00DE7C6D" w:rsidRDefault="00784AB4" w:rsidP="00784AB4">
      <w:pPr>
        <w:pStyle w:val="ListParagraph"/>
        <w:numPr>
          <w:ilvl w:val="0"/>
          <w:numId w:val="1"/>
        </w:numPr>
        <w:rPr>
          <w:rFonts w:cs="Calibri"/>
          <w:b/>
          <w:bCs/>
        </w:rPr>
      </w:pPr>
      <w:r w:rsidRPr="00DE7C6D">
        <w:rPr>
          <w:rFonts w:cs="Calibri"/>
          <w:b/>
          <w:bCs/>
        </w:rPr>
        <w:lastRenderedPageBreak/>
        <w:t>Fund 995 – Becky Timothy</w:t>
      </w:r>
    </w:p>
    <w:p w14:paraId="33C14271" w14:textId="1495F251" w:rsidR="00DE7C6D" w:rsidRPr="00DE7C6D" w:rsidRDefault="00DE7C6D" w:rsidP="00DE7C6D">
      <w:pPr>
        <w:pStyle w:val="ListParagraph"/>
        <w:numPr>
          <w:ilvl w:val="0"/>
          <w:numId w:val="1"/>
        </w:numPr>
        <w:rPr>
          <w:rFonts w:cs="Calibri"/>
          <w:b/>
          <w:bCs/>
        </w:rPr>
      </w:pPr>
      <w:r w:rsidRPr="00DE7C6D">
        <w:rPr>
          <w:rFonts w:cs="Calibri"/>
          <w:b/>
          <w:bCs/>
        </w:rPr>
        <w:t>OPEB Rate for 2026 – Darrin Casper</w:t>
      </w:r>
    </w:p>
    <w:p w14:paraId="2852A7F9" w14:textId="77777777" w:rsidR="00417C62" w:rsidRPr="00DE7C6D" w:rsidRDefault="00F53040" w:rsidP="00417C62">
      <w:pPr>
        <w:spacing w:line="278" w:lineRule="auto"/>
        <w:rPr>
          <w:rFonts w:cs="Calibri"/>
        </w:rPr>
      </w:pPr>
      <w:r w:rsidRPr="00DE7C6D">
        <w:rPr>
          <w:rFonts w:cs="Calibri"/>
        </w:rPr>
        <w:t xml:space="preserve">Ms. Timothy </w:t>
      </w:r>
      <w:r w:rsidR="00417C62" w:rsidRPr="00DE7C6D">
        <w:rPr>
          <w:rFonts w:cs="Calibri"/>
        </w:rPr>
        <w:t xml:space="preserve">explained that, based on current spending of about three-quarters of a million dollars, expenses are slightly higher this year. This increase is mainly due to higher reinsurance costs and costs associated with the </w:t>
      </w:r>
      <w:proofErr w:type="spellStart"/>
      <w:r w:rsidR="00417C62" w:rsidRPr="00DE7C6D">
        <w:rPr>
          <w:rFonts w:cs="Calibri"/>
        </w:rPr>
        <w:t>SelectHealth</w:t>
      </w:r>
      <w:proofErr w:type="spellEnd"/>
      <w:r w:rsidR="00417C62" w:rsidRPr="00DE7C6D">
        <w:rPr>
          <w:rFonts w:cs="Calibri"/>
        </w:rPr>
        <w:t xml:space="preserve"> plans.</w:t>
      </w:r>
    </w:p>
    <w:p w14:paraId="0602C125" w14:textId="69488CB2" w:rsidR="00417C62" w:rsidRPr="00DE7C6D" w:rsidRDefault="00417C62" w:rsidP="00417C62">
      <w:pPr>
        <w:spacing w:line="278" w:lineRule="auto"/>
        <w:rPr>
          <w:rFonts w:cs="Calibri"/>
        </w:rPr>
      </w:pPr>
      <w:r w:rsidRPr="00DE7C6D">
        <w:rPr>
          <w:rFonts w:cs="Calibri"/>
        </w:rPr>
        <w:t xml:space="preserve">Despite those increases, the outlook still shows approximately $742,000 in net revenue. She emphasized that this estimate assumes there is no change to the OPEB charge in </w:t>
      </w:r>
      <w:r w:rsidR="00DE7C6D" w:rsidRPr="00DE7C6D">
        <w:rPr>
          <w:rFonts w:cs="Calibri"/>
        </w:rPr>
        <w:t>June and</w:t>
      </w:r>
      <w:r w:rsidRPr="00DE7C6D">
        <w:rPr>
          <w:rFonts w:cs="Calibri"/>
        </w:rPr>
        <w:t xml:space="preserve"> noted that any adjustment to that charge would directly affect the final number.</w:t>
      </w:r>
    </w:p>
    <w:p w14:paraId="0585502A" w14:textId="605B7D93" w:rsidR="00F53040" w:rsidRPr="00DE7C6D" w:rsidRDefault="00417C62" w:rsidP="00F53040">
      <w:pPr>
        <w:spacing w:line="278" w:lineRule="auto"/>
      </w:pPr>
      <w:r w:rsidRPr="00DE7C6D">
        <w:t xml:space="preserve">Mr. Casper asked Ms. Timothy what the operating fund balance is, not to be confused with the Meeder fund balance. </w:t>
      </w:r>
      <w:r w:rsidR="00F53040" w:rsidRPr="00DE7C6D">
        <w:t> </w:t>
      </w:r>
      <w:r w:rsidRPr="00DE7C6D">
        <w:t xml:space="preserve">He also asks if this is for the operations group 2025 in which Ms. Timothy clarified this is the projection for 2026. </w:t>
      </w:r>
    </w:p>
    <w:p w14:paraId="5A84ECA0" w14:textId="0394B099" w:rsidR="00D55F4A" w:rsidRPr="00DE7C6D" w:rsidRDefault="00417C62" w:rsidP="00D55F4A">
      <w:pPr>
        <w:rPr>
          <w:rFonts w:cs="Calibri"/>
        </w:rPr>
      </w:pPr>
      <w:r w:rsidRPr="00DE7C6D">
        <w:rPr>
          <w:rFonts w:cs="Calibri"/>
        </w:rPr>
        <w:t>Mr. Casper verifies that we are trending in 2026 to have a positive outcome of $750,000.</w:t>
      </w:r>
    </w:p>
    <w:p w14:paraId="24197AB4" w14:textId="17324B89" w:rsidR="00417C62" w:rsidRPr="00DE7C6D" w:rsidRDefault="00417C62" w:rsidP="00D55F4A">
      <w:pPr>
        <w:rPr>
          <w:rFonts w:cs="Calibri"/>
        </w:rPr>
      </w:pPr>
      <w:r w:rsidRPr="00DE7C6D">
        <w:rPr>
          <w:rFonts w:cs="Calibri"/>
        </w:rPr>
        <w:t>Mr. Folta noted that the unrestricted position on the balance sheet is currently $23.6 million and asked what that balance was at the end of 2025 for comparison.</w:t>
      </w:r>
    </w:p>
    <w:p w14:paraId="40010D24" w14:textId="77777777" w:rsidR="00A97DAF" w:rsidRPr="00DE7C6D" w:rsidRDefault="00A97DAF" w:rsidP="00A97DAF">
      <w:pPr>
        <w:rPr>
          <w:rFonts w:cs="Calibri"/>
        </w:rPr>
      </w:pPr>
      <w:r w:rsidRPr="00DE7C6D">
        <w:rPr>
          <w:rFonts w:cs="Calibri"/>
        </w:rPr>
        <w:t>Ms. Timothy reviewed the 2025 fund and identified an ending balance of $23.5 million.</w:t>
      </w:r>
    </w:p>
    <w:p w14:paraId="0361E8EF" w14:textId="77777777" w:rsidR="00A97DAF" w:rsidRPr="00DE7C6D" w:rsidRDefault="00A97DAF" w:rsidP="00A97DAF">
      <w:pPr>
        <w:rPr>
          <w:rFonts w:cs="Calibri"/>
        </w:rPr>
      </w:pPr>
      <w:r w:rsidRPr="00DE7C6D">
        <w:rPr>
          <w:rFonts w:cs="Calibri"/>
        </w:rPr>
        <w:t>Mr. Casper responded that this figure was not the appropriate comparison and requested the cash operating balance instead. He noted that the cash-related line items show a net of approximately $230,000. He further stated that the Board of Trustees has established a minimum reserve requirement of $250,000, and while the reserve is currently up by about $150,000, it is still early in the year.</w:t>
      </w:r>
    </w:p>
    <w:p w14:paraId="5E31DDE8" w14:textId="5A6A16C6" w:rsidR="00A97DAF" w:rsidRPr="00DE7C6D" w:rsidRDefault="00A97DAF" w:rsidP="00A97DAF">
      <w:pPr>
        <w:rPr>
          <w:rFonts w:cs="Calibri"/>
        </w:rPr>
      </w:pPr>
      <w:r w:rsidRPr="00DE7C6D">
        <w:rPr>
          <w:rFonts w:cs="Calibri"/>
        </w:rPr>
        <w:t xml:space="preserve">Based on that, he recommended waiting for a further review in July before making any decision to transfer funds, rather than </w:t>
      </w:r>
      <w:proofErr w:type="gramStart"/>
      <w:r w:rsidRPr="00DE7C6D">
        <w:rPr>
          <w:rFonts w:cs="Calibri"/>
        </w:rPr>
        <w:t>taking action</w:t>
      </w:r>
      <w:proofErr w:type="gramEnd"/>
      <w:r w:rsidRPr="00DE7C6D">
        <w:rPr>
          <w:rFonts w:cs="Calibri"/>
        </w:rPr>
        <w:t xml:space="preserve"> at this time.</w:t>
      </w:r>
      <w:r w:rsidR="00E67E56" w:rsidRPr="00DE7C6D">
        <w:rPr>
          <w:rFonts w:cs="Calibri"/>
        </w:rPr>
        <w:t xml:space="preserve"> Mr. Delquadro agreed. </w:t>
      </w:r>
    </w:p>
    <w:p w14:paraId="5E97011A" w14:textId="77777777" w:rsidR="00E67E56" w:rsidRPr="00DE7C6D" w:rsidRDefault="00E67E56" w:rsidP="00E67E56">
      <w:pPr>
        <w:rPr>
          <w:rFonts w:cs="Calibri"/>
        </w:rPr>
      </w:pPr>
      <w:r w:rsidRPr="00DE7C6D">
        <w:rPr>
          <w:rFonts w:cs="Calibri"/>
        </w:rPr>
        <w:t>Mr. Casper noted that actions taken in 2025 may have reduced the fund balance used for budgetary purposes. While financial tracking has improved, there is still a need to focus on potential actions in June, particularly regarding OPEB rates.</w:t>
      </w:r>
    </w:p>
    <w:p w14:paraId="621225B9" w14:textId="79288CF6" w:rsidR="00E67E56" w:rsidRPr="00DE7C6D" w:rsidRDefault="00E67E56" w:rsidP="00E67E56">
      <w:pPr>
        <w:rPr>
          <w:rFonts w:cs="Calibri"/>
        </w:rPr>
      </w:pPr>
      <w:r w:rsidRPr="00DE7C6D">
        <w:rPr>
          <w:rFonts w:cs="Calibri"/>
        </w:rPr>
        <w:t xml:space="preserve">Then asked Ms. Beecher to clarify what the difference is between current revenue and ADC, </w:t>
      </w:r>
      <w:proofErr w:type="gramStart"/>
      <w:r w:rsidRPr="00DE7C6D">
        <w:rPr>
          <w:rFonts w:cs="Calibri"/>
        </w:rPr>
        <w:t>in order to</w:t>
      </w:r>
      <w:proofErr w:type="gramEnd"/>
      <w:r w:rsidRPr="00DE7C6D">
        <w:rPr>
          <w:rFonts w:cs="Calibri"/>
        </w:rPr>
        <w:t xml:space="preserve"> better understand the funding gap.</w:t>
      </w:r>
    </w:p>
    <w:p w14:paraId="6AF8AAC2" w14:textId="0885C8EE" w:rsidR="007913BF" w:rsidRPr="00DE7C6D" w:rsidRDefault="007913BF" w:rsidP="007913BF">
      <w:pPr>
        <w:rPr>
          <w:rFonts w:cs="Calibri"/>
        </w:rPr>
      </w:pPr>
      <w:r w:rsidRPr="00DE7C6D">
        <w:rPr>
          <w:rFonts w:cs="Calibri"/>
        </w:rPr>
        <w:t xml:space="preserve">Ms. Beecher confirmed that the amount for 2025 was </w:t>
      </w:r>
      <w:r w:rsidR="00DE7C6D" w:rsidRPr="00DE7C6D">
        <w:rPr>
          <w:rFonts w:cs="Calibri"/>
        </w:rPr>
        <w:t>$3 million and</w:t>
      </w:r>
      <w:r w:rsidRPr="00DE7C6D">
        <w:rPr>
          <w:rFonts w:cs="Calibri"/>
        </w:rPr>
        <w:t xml:space="preserve"> noted that the ADC for 2026 is not yet available.</w:t>
      </w:r>
    </w:p>
    <w:p w14:paraId="60BBC8FD" w14:textId="77777777" w:rsidR="007913BF" w:rsidRPr="00DE7C6D" w:rsidRDefault="007913BF" w:rsidP="007913BF">
      <w:pPr>
        <w:rPr>
          <w:rFonts w:cs="Calibri"/>
        </w:rPr>
      </w:pPr>
      <w:r w:rsidRPr="00DE7C6D">
        <w:rPr>
          <w:rFonts w:cs="Calibri"/>
        </w:rPr>
        <w:t>She added that the 2024 ADC was the highest it has ever been at $7.5 million, before decreasing to $6.8 million. Over the past five years, the ADC has generally ranged between $6.7 million and $7.5 million.</w:t>
      </w:r>
    </w:p>
    <w:p w14:paraId="5D42495F" w14:textId="75635079" w:rsidR="00417C62" w:rsidRPr="00DE7C6D" w:rsidRDefault="007913BF" w:rsidP="00D55F4A">
      <w:pPr>
        <w:rPr>
          <w:rFonts w:cs="Calibri"/>
        </w:rPr>
      </w:pPr>
      <w:r w:rsidRPr="00DE7C6D">
        <w:rPr>
          <w:rFonts w:cs="Calibri"/>
        </w:rPr>
        <w:t>Ms. Timothy states the OPEB charge is $6.2M and the anticipated revenue for 2026</w:t>
      </w:r>
      <w:r w:rsidR="00A97DAF" w:rsidRPr="00DE7C6D">
        <w:rPr>
          <w:rFonts w:cs="Calibri"/>
        </w:rPr>
        <w:t xml:space="preserve"> </w:t>
      </w:r>
      <w:r w:rsidRPr="00DE7C6D">
        <w:rPr>
          <w:rFonts w:cs="Calibri"/>
        </w:rPr>
        <w:t>is $7.5M.</w:t>
      </w:r>
    </w:p>
    <w:p w14:paraId="3D032A83" w14:textId="77777777" w:rsidR="007913BF" w:rsidRPr="00DE7C6D" w:rsidRDefault="007913BF" w:rsidP="007913BF">
      <w:pPr>
        <w:rPr>
          <w:rFonts w:cs="Calibri"/>
        </w:rPr>
      </w:pPr>
      <w:r w:rsidRPr="00DE7C6D">
        <w:rPr>
          <w:rFonts w:cs="Calibri"/>
        </w:rPr>
        <w:t>Mr. Casper asked if there were any additional questions and noted that another meeting will be needed to review the next statement and prepare the presentation for County Council.</w:t>
      </w:r>
    </w:p>
    <w:p w14:paraId="3D82AD8B" w14:textId="77777777" w:rsidR="007913BF" w:rsidRPr="00DE7C6D" w:rsidRDefault="007913BF" w:rsidP="007913BF">
      <w:pPr>
        <w:rPr>
          <w:rFonts w:cs="Calibri"/>
        </w:rPr>
      </w:pPr>
      <w:r w:rsidRPr="00DE7C6D">
        <w:rPr>
          <w:rFonts w:cs="Calibri"/>
        </w:rPr>
        <w:lastRenderedPageBreak/>
        <w:t>He summarized that there appears to be approximately $1 million in additional revenue that will need to be identified over time to fully address the OPEB funding solution.</w:t>
      </w:r>
    </w:p>
    <w:p w14:paraId="5948920C" w14:textId="77777777" w:rsidR="007913BF" w:rsidRPr="00DE7C6D" w:rsidRDefault="007913BF" w:rsidP="007913BF">
      <w:pPr>
        <w:rPr>
          <w:rFonts w:cs="Calibri"/>
        </w:rPr>
      </w:pPr>
      <w:r w:rsidRPr="00DE7C6D">
        <w:rPr>
          <w:rFonts w:cs="Calibri"/>
        </w:rPr>
        <w:t>He then raised the question of whether a proposal should be prepared for the upcoming June budget, which is approaching quickly and likely before the next board meeting. He indicated that, if the group is comfortable with it, he would move forward with making that proposal.</w:t>
      </w:r>
    </w:p>
    <w:p w14:paraId="41418306" w14:textId="16F6E039" w:rsidR="007913BF" w:rsidRPr="00DE7C6D" w:rsidRDefault="007913BF" w:rsidP="00D55F4A">
      <w:pPr>
        <w:rPr>
          <w:rFonts w:cs="Calibri"/>
        </w:rPr>
      </w:pPr>
      <w:r w:rsidRPr="00DE7C6D">
        <w:rPr>
          <w:rFonts w:cs="Calibri"/>
        </w:rPr>
        <w:t xml:space="preserve">Finally, he noted that another meeting will still be required to review Zach’s recommendation and formally approve the final plans for both 2024 and 2025 before those items can be presented to Council. </w:t>
      </w:r>
    </w:p>
    <w:p w14:paraId="10045EFE" w14:textId="77777777" w:rsidR="00DE7C6D" w:rsidRPr="00DE7C6D" w:rsidRDefault="00DE7C6D" w:rsidP="00D55F4A">
      <w:pPr>
        <w:rPr>
          <w:rFonts w:cs="Calibri"/>
        </w:rPr>
      </w:pPr>
      <w:r w:rsidRPr="00DE7C6D">
        <w:rPr>
          <w:rFonts w:cs="Calibri"/>
        </w:rPr>
        <w:t>Mr. Delquadro asked whether the projected 2026 premium increases were included in the cost and revenue figures, noting that he understood the increase would exceed 20%.</w:t>
      </w:r>
    </w:p>
    <w:p w14:paraId="7A3E983F" w14:textId="77777777" w:rsidR="00DE7C6D" w:rsidRPr="00DE7C6D" w:rsidRDefault="00DE7C6D" w:rsidP="00D55F4A">
      <w:pPr>
        <w:rPr>
          <w:rFonts w:cs="Calibri"/>
        </w:rPr>
      </w:pPr>
      <w:r w:rsidRPr="00DE7C6D">
        <w:rPr>
          <w:rFonts w:cs="Calibri"/>
        </w:rPr>
        <w:t>Ms. Timothy confirmed that the projections do include the premium increases. She noted that the Medicare supplement costs increased by approximately $400,000 compared to last year.</w:t>
      </w:r>
    </w:p>
    <w:p w14:paraId="088E5636" w14:textId="77777777" w:rsidR="00DE7C6D" w:rsidRPr="00DE7C6D" w:rsidRDefault="00DE7C6D" w:rsidP="00D55F4A">
      <w:pPr>
        <w:rPr>
          <w:rFonts w:cs="Calibri"/>
        </w:rPr>
      </w:pPr>
      <w:r w:rsidRPr="00DE7C6D">
        <w:rPr>
          <w:rFonts w:cs="Calibri"/>
        </w:rPr>
        <w:t xml:space="preserve">Mr. Casper stated that there is a significant amount of information to review before the committee can make recommendations. He proposed using the July meeting to review the final reports and reach consensus before </w:t>
      </w:r>
      <w:proofErr w:type="gramStart"/>
      <w:r w:rsidRPr="00DE7C6D">
        <w:rPr>
          <w:rFonts w:cs="Calibri"/>
        </w:rPr>
        <w:t>reporting</w:t>
      </w:r>
      <w:proofErr w:type="gramEnd"/>
      <w:r w:rsidRPr="00DE7C6D">
        <w:rPr>
          <w:rFonts w:cs="Calibri"/>
        </w:rPr>
        <w:t xml:space="preserve"> to the County Council. In the meantime, he will conduct a more detailed review of the revenues and the ADC, as well as the June budget, to determine whether the applicable line item should be increased. He explained that this would be a technical budget adjustment requiring an explanation to the County Council and would only be pursued with the committee's overall goals in mind.</w:t>
      </w:r>
    </w:p>
    <w:p w14:paraId="59AB49FB" w14:textId="77777777" w:rsidR="00DE7C6D" w:rsidRPr="00DE7C6D" w:rsidRDefault="00DE7C6D" w:rsidP="00DE7C6D">
      <w:pPr>
        <w:rPr>
          <w:rFonts w:cs="Calibri"/>
        </w:rPr>
      </w:pPr>
      <w:r w:rsidRPr="00DE7C6D">
        <w:rPr>
          <w:rFonts w:cs="Calibri"/>
        </w:rPr>
        <w:t>Mr. Folta requested notification when the 2025 report is complete so that he can schedule the next meeting.</w:t>
      </w:r>
    </w:p>
    <w:p w14:paraId="1B41FCED" w14:textId="77777777" w:rsidR="00DE7C6D" w:rsidRPr="00DE7C6D" w:rsidRDefault="00DE7C6D" w:rsidP="00DE7C6D">
      <w:pPr>
        <w:rPr>
          <w:rFonts w:cs="Calibri"/>
        </w:rPr>
      </w:pPr>
      <w:r w:rsidRPr="00DE7C6D">
        <w:rPr>
          <w:rFonts w:cs="Calibri"/>
        </w:rPr>
        <w:t>Mr. Delquadro asked about the status of the actuarial study and when the latest version would be available. Ms. Beecher stated that it was received the previous week and that she would distribute it to all committee members.</w:t>
      </w:r>
    </w:p>
    <w:p w14:paraId="07BF2009" w14:textId="4A3CB1C4" w:rsidR="00DE7C6D" w:rsidRPr="00DE7C6D" w:rsidRDefault="00DE7C6D" w:rsidP="00DE7C6D">
      <w:pPr>
        <w:rPr>
          <w:rFonts w:cs="Calibri"/>
        </w:rPr>
      </w:pPr>
      <w:r w:rsidRPr="00DE7C6D">
        <w:rPr>
          <w:rFonts w:cs="Calibri"/>
        </w:rPr>
        <w:t xml:space="preserve">Mr. Casper asked whether there was any other business to discuss. Mr. Folta stated that there were no additional agenda items. The next committee meeting will be scheduled in July, and a County Council meeting will be scheduled once consensus has been reached on the reports. </w:t>
      </w:r>
    </w:p>
    <w:sectPr w:rsidR="00DE7C6D" w:rsidRPr="00DE7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3B6B2A69"/>
    <w:multiLevelType w:val="multilevel"/>
    <w:tmpl w:val="4E2E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763552">
    <w:abstractNumId w:val="0"/>
  </w:num>
  <w:num w:numId="2" w16cid:durableId="1107390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37"/>
    <w:rsid w:val="00004255"/>
    <w:rsid w:val="00022A44"/>
    <w:rsid w:val="000265D7"/>
    <w:rsid w:val="00036D59"/>
    <w:rsid w:val="00055EFD"/>
    <w:rsid w:val="000929CB"/>
    <w:rsid w:val="000E01F6"/>
    <w:rsid w:val="000F1D3C"/>
    <w:rsid w:val="00106FE1"/>
    <w:rsid w:val="0014263F"/>
    <w:rsid w:val="00151D56"/>
    <w:rsid w:val="00156037"/>
    <w:rsid w:val="00190553"/>
    <w:rsid w:val="001A2DBF"/>
    <w:rsid w:val="001B78E5"/>
    <w:rsid w:val="001E248A"/>
    <w:rsid w:val="00256E2E"/>
    <w:rsid w:val="00263E7B"/>
    <w:rsid w:val="00266BC1"/>
    <w:rsid w:val="00272FFD"/>
    <w:rsid w:val="00292FEF"/>
    <w:rsid w:val="002A1A85"/>
    <w:rsid w:val="002E6166"/>
    <w:rsid w:val="003127FB"/>
    <w:rsid w:val="00323E38"/>
    <w:rsid w:val="00326D40"/>
    <w:rsid w:val="003458AA"/>
    <w:rsid w:val="00366DC4"/>
    <w:rsid w:val="0038553E"/>
    <w:rsid w:val="003A2802"/>
    <w:rsid w:val="003D1B7B"/>
    <w:rsid w:val="003F1CEF"/>
    <w:rsid w:val="004105CA"/>
    <w:rsid w:val="00417C62"/>
    <w:rsid w:val="0042241B"/>
    <w:rsid w:val="004409C9"/>
    <w:rsid w:val="004748B4"/>
    <w:rsid w:val="00480BB4"/>
    <w:rsid w:val="00484FDF"/>
    <w:rsid w:val="004956A1"/>
    <w:rsid w:val="00510164"/>
    <w:rsid w:val="00524333"/>
    <w:rsid w:val="005256DB"/>
    <w:rsid w:val="00526693"/>
    <w:rsid w:val="00546FDE"/>
    <w:rsid w:val="00616105"/>
    <w:rsid w:val="006720A3"/>
    <w:rsid w:val="00674074"/>
    <w:rsid w:val="00684122"/>
    <w:rsid w:val="006B319B"/>
    <w:rsid w:val="006C25D4"/>
    <w:rsid w:val="006C74BD"/>
    <w:rsid w:val="006D46C6"/>
    <w:rsid w:val="00770F02"/>
    <w:rsid w:val="007820EB"/>
    <w:rsid w:val="00784AB4"/>
    <w:rsid w:val="007913BF"/>
    <w:rsid w:val="007C2F7A"/>
    <w:rsid w:val="007C30B6"/>
    <w:rsid w:val="007D4CF3"/>
    <w:rsid w:val="007E50A6"/>
    <w:rsid w:val="007E7783"/>
    <w:rsid w:val="00832F04"/>
    <w:rsid w:val="008359BD"/>
    <w:rsid w:val="00840D82"/>
    <w:rsid w:val="008574BD"/>
    <w:rsid w:val="008913B1"/>
    <w:rsid w:val="008A0F50"/>
    <w:rsid w:val="008A6BD2"/>
    <w:rsid w:val="008C0CBA"/>
    <w:rsid w:val="008E7CBF"/>
    <w:rsid w:val="009069C3"/>
    <w:rsid w:val="00953377"/>
    <w:rsid w:val="009714C8"/>
    <w:rsid w:val="00973DF4"/>
    <w:rsid w:val="00974B98"/>
    <w:rsid w:val="00991D56"/>
    <w:rsid w:val="009A4B86"/>
    <w:rsid w:val="009C3280"/>
    <w:rsid w:val="009D72C2"/>
    <w:rsid w:val="00A46780"/>
    <w:rsid w:val="00A547D9"/>
    <w:rsid w:val="00A97DAF"/>
    <w:rsid w:val="00AA43C2"/>
    <w:rsid w:val="00AB3B74"/>
    <w:rsid w:val="00AC04DD"/>
    <w:rsid w:val="00AC142C"/>
    <w:rsid w:val="00AC5204"/>
    <w:rsid w:val="00B21C66"/>
    <w:rsid w:val="00B25EA5"/>
    <w:rsid w:val="00B45916"/>
    <w:rsid w:val="00B4712E"/>
    <w:rsid w:val="00B54B9A"/>
    <w:rsid w:val="00B64072"/>
    <w:rsid w:val="00B66C99"/>
    <w:rsid w:val="00BA2AE0"/>
    <w:rsid w:val="00BA3780"/>
    <w:rsid w:val="00BA7E05"/>
    <w:rsid w:val="00BC4137"/>
    <w:rsid w:val="00C33669"/>
    <w:rsid w:val="00C46E14"/>
    <w:rsid w:val="00C62082"/>
    <w:rsid w:val="00C805A2"/>
    <w:rsid w:val="00CB1858"/>
    <w:rsid w:val="00CC1080"/>
    <w:rsid w:val="00CD51AF"/>
    <w:rsid w:val="00CE1339"/>
    <w:rsid w:val="00D00E59"/>
    <w:rsid w:val="00D07339"/>
    <w:rsid w:val="00D07D51"/>
    <w:rsid w:val="00D20628"/>
    <w:rsid w:val="00D40CD4"/>
    <w:rsid w:val="00D434F6"/>
    <w:rsid w:val="00D55F4A"/>
    <w:rsid w:val="00D624B9"/>
    <w:rsid w:val="00DA3378"/>
    <w:rsid w:val="00DA396D"/>
    <w:rsid w:val="00DC465A"/>
    <w:rsid w:val="00DD0AA4"/>
    <w:rsid w:val="00DD3293"/>
    <w:rsid w:val="00DE7C6D"/>
    <w:rsid w:val="00E0125B"/>
    <w:rsid w:val="00E10A2D"/>
    <w:rsid w:val="00E12DA2"/>
    <w:rsid w:val="00E339D0"/>
    <w:rsid w:val="00E40053"/>
    <w:rsid w:val="00E443CD"/>
    <w:rsid w:val="00E67E56"/>
    <w:rsid w:val="00E724F7"/>
    <w:rsid w:val="00E81E66"/>
    <w:rsid w:val="00E90A71"/>
    <w:rsid w:val="00EE387B"/>
    <w:rsid w:val="00EE5E9D"/>
    <w:rsid w:val="00EF0349"/>
    <w:rsid w:val="00F47996"/>
    <w:rsid w:val="00F53040"/>
    <w:rsid w:val="00F94250"/>
    <w:rsid w:val="00FA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D93B"/>
  <w15:chartTrackingRefBased/>
  <w15:docId w15:val="{18673EC9-3BDF-46D2-8F9B-0172E317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137"/>
    <w:pPr>
      <w:spacing w:line="259" w:lineRule="auto"/>
    </w:pPr>
    <w:rPr>
      <w:kern w:val="0"/>
      <w:sz w:val="22"/>
      <w:szCs w:val="22"/>
      <w14:ligatures w14:val="none"/>
    </w:rPr>
  </w:style>
  <w:style w:type="paragraph" w:styleId="Heading1">
    <w:name w:val="heading 1"/>
    <w:basedOn w:val="Normal"/>
    <w:next w:val="Normal"/>
    <w:link w:val="Heading1Char"/>
    <w:uiPriority w:val="9"/>
    <w:qFormat/>
    <w:rsid w:val="00BC4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37"/>
    <w:rPr>
      <w:rFonts w:eastAsiaTheme="majorEastAsia" w:cstheme="majorBidi"/>
      <w:color w:val="272727" w:themeColor="text1" w:themeTint="D8"/>
    </w:rPr>
  </w:style>
  <w:style w:type="paragraph" w:styleId="Title">
    <w:name w:val="Title"/>
    <w:basedOn w:val="Normal"/>
    <w:next w:val="Normal"/>
    <w:link w:val="TitleChar"/>
    <w:uiPriority w:val="10"/>
    <w:qFormat/>
    <w:rsid w:val="00BC4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37"/>
    <w:pPr>
      <w:spacing w:before="160"/>
      <w:jc w:val="center"/>
    </w:pPr>
    <w:rPr>
      <w:i/>
      <w:iCs/>
      <w:color w:val="404040" w:themeColor="text1" w:themeTint="BF"/>
    </w:rPr>
  </w:style>
  <w:style w:type="character" w:customStyle="1" w:styleId="QuoteChar">
    <w:name w:val="Quote Char"/>
    <w:basedOn w:val="DefaultParagraphFont"/>
    <w:link w:val="Quote"/>
    <w:uiPriority w:val="29"/>
    <w:rsid w:val="00BC4137"/>
    <w:rPr>
      <w:i/>
      <w:iCs/>
      <w:color w:val="404040" w:themeColor="text1" w:themeTint="BF"/>
    </w:rPr>
  </w:style>
  <w:style w:type="paragraph" w:styleId="ListParagraph">
    <w:name w:val="List Paragraph"/>
    <w:basedOn w:val="Normal"/>
    <w:uiPriority w:val="34"/>
    <w:qFormat/>
    <w:rsid w:val="00BC4137"/>
    <w:pPr>
      <w:ind w:left="720"/>
      <w:contextualSpacing/>
    </w:pPr>
  </w:style>
  <w:style w:type="character" w:styleId="IntenseEmphasis">
    <w:name w:val="Intense Emphasis"/>
    <w:basedOn w:val="DefaultParagraphFont"/>
    <w:uiPriority w:val="21"/>
    <w:qFormat/>
    <w:rsid w:val="00BC4137"/>
    <w:rPr>
      <w:i/>
      <w:iCs/>
      <w:color w:val="0F4761" w:themeColor="accent1" w:themeShade="BF"/>
    </w:rPr>
  </w:style>
  <w:style w:type="paragraph" w:styleId="IntenseQuote">
    <w:name w:val="Intense Quote"/>
    <w:basedOn w:val="Normal"/>
    <w:next w:val="Normal"/>
    <w:link w:val="IntenseQuoteChar"/>
    <w:uiPriority w:val="30"/>
    <w:qFormat/>
    <w:rsid w:val="00BC4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137"/>
    <w:rPr>
      <w:i/>
      <w:iCs/>
      <w:color w:val="0F4761" w:themeColor="accent1" w:themeShade="BF"/>
    </w:rPr>
  </w:style>
  <w:style w:type="character" w:styleId="IntenseReference">
    <w:name w:val="Intense Reference"/>
    <w:basedOn w:val="DefaultParagraphFont"/>
    <w:uiPriority w:val="32"/>
    <w:qFormat/>
    <w:rsid w:val="00BC4137"/>
    <w:rPr>
      <w:b/>
      <w:bCs/>
      <w:smallCaps/>
      <w:color w:val="0F4761" w:themeColor="accent1" w:themeShade="BF"/>
      <w:spacing w:val="5"/>
    </w:rPr>
  </w:style>
  <w:style w:type="character" w:styleId="Hyperlink">
    <w:name w:val="Hyperlink"/>
    <w:basedOn w:val="DefaultParagraphFont"/>
    <w:uiPriority w:val="99"/>
    <w:unhideWhenUsed/>
    <w:rsid w:val="00BC4137"/>
    <w:rPr>
      <w:color w:val="467886" w:themeColor="hyperlink"/>
      <w:u w:val="single"/>
    </w:rPr>
  </w:style>
  <w:style w:type="character" w:styleId="FollowedHyperlink">
    <w:name w:val="FollowedHyperlink"/>
    <w:basedOn w:val="DefaultParagraphFont"/>
    <w:uiPriority w:val="99"/>
    <w:semiHidden/>
    <w:unhideWhenUsed/>
    <w:rsid w:val="007E77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lco.webex.com/recordingservice/sites/slco/recording/f250d9c2ab494c1bae7d44ef251a48c9/playba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693</TotalTime>
  <Pages>8</Pages>
  <Words>3470</Words>
  <Characters>19781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Krystalyn Jensen</dc:creator>
  <cp:keywords/>
  <dc:description/>
  <cp:lastModifiedBy>Krystalyn Jensen</cp:lastModifiedBy>
  <cp:revision>37</cp:revision>
  <dcterms:created xsi:type="dcterms:W3CDTF">2026-05-29T19:10:00Z</dcterms:created>
  <dcterms:modified xsi:type="dcterms:W3CDTF">2026-07-29T15:51:00Z</dcterms:modified>
</cp:coreProperties>
</file>